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rPr>
          <w:rFonts w:hint="eastAsia" w:eastAsia="宋体"/>
          <w:b/>
          <w:color w:val="auto"/>
          <w:sz w:val="32"/>
          <w:szCs w:val="32"/>
          <w:highlight w:val="none"/>
          <w:lang w:eastAsia="zh-CN"/>
        </w:rPr>
      </w:pPr>
      <w:bookmarkStart w:id="0" w:name="_Toc288569727"/>
      <w:bookmarkStart w:id="1" w:name="_Toc289863654"/>
      <w:bookmarkStart w:id="2" w:name="_Toc231977954"/>
      <w:bookmarkStart w:id="998" w:name="_GoBack"/>
      <w:bookmarkEnd w:id="998"/>
    </w:p>
    <w:sdt>
      <w:sdtPr>
        <w:rPr>
          <w:rFonts w:ascii="Times New Roman" w:hAnsi="Times New Roman" w:eastAsia="宋体" w:cs="Times New Roman"/>
          <w:color w:val="auto"/>
          <w:kern w:val="2"/>
          <w:sz w:val="21"/>
          <w:szCs w:val="24"/>
          <w:highlight w:val="none"/>
          <w:lang w:val="zh-CN"/>
        </w:rPr>
        <w:id w:val="-441848838"/>
        <w:docPartObj>
          <w:docPartGallery w:val="Table of Contents"/>
          <w:docPartUnique/>
        </w:docPartObj>
      </w:sdtPr>
      <w:sdtEndPr>
        <w:rPr>
          <w:rFonts w:ascii="Times New Roman" w:hAnsi="Times New Roman" w:eastAsia="宋体" w:cs="Times New Roman"/>
          <w:b/>
          <w:bCs/>
          <w:color w:val="auto"/>
          <w:kern w:val="2"/>
          <w:sz w:val="21"/>
          <w:szCs w:val="24"/>
          <w:highlight w:val="none"/>
          <w:lang w:val="zh-CN"/>
        </w:rPr>
      </w:sdtEndPr>
      <w:sdtContent>
        <w:p>
          <w:pPr>
            <w:pStyle w:val="524"/>
            <w:spacing w:before="0" w:line="360" w:lineRule="auto"/>
            <w:jc w:val="center"/>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val="zh-CN"/>
            </w:rPr>
            <w:t>目录</w:t>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fldChar w:fldCharType="begin"/>
          </w:r>
          <w:r>
            <w:rPr>
              <w:rFonts w:hint="default" w:ascii="Times New Roman" w:hAnsi="Times New Roman" w:eastAsia="宋体" w:cs="Times New Roman"/>
              <w:i w:val="0"/>
              <w:iCs w:val="0"/>
              <w:color w:val="auto"/>
              <w:sz w:val="21"/>
              <w:szCs w:val="21"/>
              <w:highlight w:val="none"/>
            </w:rPr>
            <w:instrText xml:space="preserve"> TOC \o "1-3" \h \z \u </w:instrText>
          </w:r>
          <w:r>
            <w:rPr>
              <w:rFonts w:hint="default" w:ascii="Times New Roman" w:hAnsi="Times New Roman" w:eastAsia="宋体" w:cs="Times New Roman"/>
              <w:i w:val="0"/>
              <w:iCs w:val="0"/>
              <w:color w:val="auto"/>
              <w:sz w:val="21"/>
              <w:szCs w:val="21"/>
              <w:highlight w:val="none"/>
            </w:rPr>
            <w:fldChar w:fldCharType="separate"/>
          </w:r>
          <w:r>
            <w:rPr>
              <w:rFonts w:hint="default" w:ascii="Times New Roman" w:hAnsi="Times New Roman" w:eastAsia="宋体" w:cs="Times New Roman"/>
              <w:i w:val="0"/>
              <w:iCs w:val="0"/>
              <w:color w:val="auto"/>
              <w:sz w:val="21"/>
              <w:szCs w:val="21"/>
              <w:highlight w:val="none"/>
            </w:rPr>
            <w:fldChar w:fldCharType="begin"/>
          </w:r>
          <w:r>
            <w:rPr>
              <w:rFonts w:hint="default" w:ascii="Times New Roman" w:hAnsi="Times New Roman" w:eastAsia="宋体" w:cs="Times New Roman"/>
              <w:i w:val="0"/>
              <w:iCs w:val="0"/>
              <w:color w:val="auto"/>
              <w:sz w:val="21"/>
              <w:szCs w:val="21"/>
              <w:highlight w:val="none"/>
            </w:rPr>
            <w:instrText xml:space="preserve"> HYPERLINK \l _Toc27133 </w:instrText>
          </w:r>
          <w:r>
            <w:rPr>
              <w:rFonts w:hint="default" w:ascii="Times New Roman" w:hAnsi="Times New Roman" w:eastAsia="宋体" w:cs="Times New Roman"/>
              <w:i w:val="0"/>
              <w:iCs w:val="0"/>
              <w:color w:val="auto"/>
              <w:sz w:val="21"/>
              <w:szCs w:val="21"/>
              <w:highlight w:val="none"/>
            </w:rPr>
            <w:fldChar w:fldCharType="separate"/>
          </w:r>
          <w:r>
            <w:rPr>
              <w:rFonts w:hint="default" w:ascii="Times New Roman" w:hAnsi="Times New Roman" w:cs="Times New Roman"/>
              <w:bCs/>
              <w:i w:val="0"/>
              <w:iCs w:val="0"/>
              <w:color w:val="auto"/>
              <w:sz w:val="21"/>
              <w:szCs w:val="21"/>
              <w:highlight w:val="none"/>
            </w:rPr>
            <w:t>概述</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_Toc27133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i w:val="0"/>
              <w:iCs w:val="0"/>
              <w:color w:val="auto"/>
              <w:sz w:val="21"/>
              <w:szCs w:val="21"/>
              <w:highlight w:val="none"/>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_Toc23319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1、总则</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_Toc23319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_Toc25930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1.1编制依据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_Toc25930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_Toc19868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1.1.1法律、法规依据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_Toc19868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_Toc24977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1.1.2部门规章依据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_Toc24977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_Toc23013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1.1.3地方环境保护法规及政策</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_Toc23013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_Toc17281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1.1.4技术规范依据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_Toc17281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_Toc337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1.1.5项目资料</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_Toc337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_Toc16554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1.2评价目的与评价原则</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_Toc16554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_Toc7732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1.2.1评价目的</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_Toc7732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_Toc24838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1.2.2评价原则</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_Toc24838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_Toc15283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1.3环境影响识别与评价因子筛选</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_Toc15283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_Toc25071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1.3.1环境影响要素的识别</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_Toc25071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_Toc11618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1.3.2环境影响因子识别</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_Toc11618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_Toc11719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1.3.3评价因子筛选</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_Toc11719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_Toc27851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1.4评价标准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_Toc27851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_Toc30169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1.4.1环境质量标准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_Toc30169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_Toc13391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1.4.2污染物排放标准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_Toc13391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_Toc10298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1.5评价工作等级和评价范围</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_Toc10298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_Toc18949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1.5.1环境空气</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_Toc18949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_Toc2480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1.5.2地表水</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_Toc2480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_Toc17018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1.5.3地下水</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_Toc17018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_Toc15345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1.5.4声环境</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_Toc15345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_Toc636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1.5.5生态环境</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_Toc636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_Toc31414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1.5.6土壤环境</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_Toc31414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_Toc16486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1.5.7环境风险</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_Toc16486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_Toc28271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1.6评价内容及评价重点</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_Toc28271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_Toc2168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1.6.1评价内容</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_Toc2168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_Toc10658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1.6.2评价重点</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_Toc10658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_Toc9539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1.7污染控制目标</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_Toc9539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_Toc20026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1.8环境保护目标</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_Toc20026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_Toc5173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1.9环评工作程序</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_Toc5173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_Toc591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2、项目概况</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_Toc591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_Toc12234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1</w:t>
          </w:r>
          <w:r>
            <w:rPr>
              <w:rFonts w:hint="default" w:ascii="Times New Roman" w:hAnsi="Times New Roman" w:cs="Times New Roman"/>
              <w:i w:val="0"/>
              <w:iCs w:val="0"/>
              <w:color w:val="auto"/>
              <w:sz w:val="21"/>
              <w:szCs w:val="21"/>
              <w:highlight w:val="none"/>
            </w:rPr>
            <w:t>项目基本情况</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_Toc12234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_Toc22577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2</w:t>
          </w:r>
          <w:r>
            <w:rPr>
              <w:rFonts w:hint="default" w:ascii="Times New Roman" w:hAnsi="Times New Roman" w:cs="Times New Roman"/>
              <w:i w:val="0"/>
              <w:iCs w:val="0"/>
              <w:color w:val="auto"/>
              <w:sz w:val="21"/>
              <w:szCs w:val="21"/>
              <w:highlight w:val="none"/>
            </w:rPr>
            <w:t>项目建设内容</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_Toc22577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28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_Toc17383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3</w:t>
          </w:r>
          <w:r>
            <w:rPr>
              <w:rFonts w:hint="default" w:ascii="Times New Roman" w:hAnsi="Times New Roman" w:cs="Times New Roman"/>
              <w:i w:val="0"/>
              <w:iCs w:val="0"/>
              <w:color w:val="auto"/>
              <w:sz w:val="21"/>
              <w:szCs w:val="21"/>
              <w:highlight w:val="none"/>
            </w:rPr>
            <w:t>建设规模与产品方案</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_Toc17383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_Toc11190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4</w:t>
          </w:r>
          <w:r>
            <w:rPr>
              <w:rFonts w:hint="default" w:ascii="Times New Roman" w:hAnsi="Times New Roman" w:cs="Times New Roman"/>
              <w:i w:val="0"/>
              <w:iCs w:val="0"/>
              <w:color w:val="auto"/>
              <w:sz w:val="21"/>
              <w:szCs w:val="21"/>
              <w:highlight w:val="none"/>
            </w:rPr>
            <w:t>主要原辅料及能源消耗</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_Toc11190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_Toc9833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5</w:t>
          </w:r>
          <w:r>
            <w:rPr>
              <w:rFonts w:hint="default" w:ascii="Times New Roman" w:hAnsi="Times New Roman" w:cs="Times New Roman"/>
              <w:i w:val="0"/>
              <w:iCs w:val="0"/>
              <w:color w:val="auto"/>
              <w:sz w:val="21"/>
              <w:szCs w:val="21"/>
              <w:highlight w:val="none"/>
            </w:rPr>
            <w:t>主要生产设备</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_Toc9833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_Toc18208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6</w:t>
          </w:r>
          <w:r>
            <w:rPr>
              <w:rFonts w:hint="default" w:ascii="Times New Roman" w:hAnsi="Times New Roman" w:cs="Times New Roman"/>
              <w:i w:val="0"/>
              <w:iCs w:val="0"/>
              <w:color w:val="auto"/>
              <w:sz w:val="21"/>
              <w:szCs w:val="21"/>
              <w:highlight w:val="none"/>
            </w:rPr>
            <w:t>公用工程</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_Toc18208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_Toc31994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2.</w:t>
          </w:r>
          <w:r>
            <w:rPr>
              <w:rFonts w:hint="default" w:ascii="Times New Roman" w:hAnsi="Times New Roman" w:cs="Times New Roman"/>
              <w:bCs/>
              <w:i w:val="0"/>
              <w:iCs w:val="0"/>
              <w:color w:val="auto"/>
              <w:sz w:val="21"/>
              <w:szCs w:val="21"/>
              <w:highlight w:val="none"/>
              <w:lang w:val="en-US" w:eastAsia="zh-CN"/>
            </w:rPr>
            <w:t>6</w:t>
          </w:r>
          <w:r>
            <w:rPr>
              <w:rFonts w:hint="default" w:ascii="Times New Roman" w:hAnsi="Times New Roman" w:cs="Times New Roman"/>
              <w:bCs/>
              <w:i w:val="0"/>
              <w:iCs w:val="0"/>
              <w:color w:val="auto"/>
              <w:sz w:val="21"/>
              <w:szCs w:val="21"/>
              <w:highlight w:val="none"/>
            </w:rPr>
            <w:t>.1给排水</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_Toc31994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_Toc29722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2.</w:t>
          </w:r>
          <w:r>
            <w:rPr>
              <w:rFonts w:hint="default" w:ascii="Times New Roman" w:hAnsi="Times New Roman" w:cs="Times New Roman"/>
              <w:bCs/>
              <w:i w:val="0"/>
              <w:iCs w:val="0"/>
              <w:color w:val="auto"/>
              <w:sz w:val="21"/>
              <w:szCs w:val="21"/>
              <w:highlight w:val="none"/>
              <w:lang w:val="en-US" w:eastAsia="zh-CN"/>
            </w:rPr>
            <w:t>6</w:t>
          </w:r>
          <w:r>
            <w:rPr>
              <w:rFonts w:hint="default" w:ascii="Times New Roman" w:hAnsi="Times New Roman" w:cs="Times New Roman"/>
              <w:bCs/>
              <w:i w:val="0"/>
              <w:iCs w:val="0"/>
              <w:color w:val="auto"/>
              <w:sz w:val="21"/>
              <w:szCs w:val="21"/>
              <w:highlight w:val="none"/>
            </w:rPr>
            <w:t>.2供电</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_Toc29722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_Toc25248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2.</w:t>
          </w:r>
          <w:r>
            <w:rPr>
              <w:rFonts w:hint="default" w:ascii="Times New Roman" w:hAnsi="Times New Roman" w:cs="Times New Roman"/>
              <w:bCs/>
              <w:i w:val="0"/>
              <w:iCs w:val="0"/>
              <w:color w:val="auto"/>
              <w:sz w:val="21"/>
              <w:szCs w:val="21"/>
              <w:highlight w:val="none"/>
              <w:lang w:val="en-US" w:eastAsia="zh-CN"/>
            </w:rPr>
            <w:t>6</w:t>
          </w:r>
          <w:r>
            <w:rPr>
              <w:rFonts w:hint="default" w:ascii="Times New Roman" w:hAnsi="Times New Roman" w:cs="Times New Roman"/>
              <w:bCs/>
              <w:i w:val="0"/>
              <w:iCs w:val="0"/>
              <w:color w:val="auto"/>
              <w:sz w:val="21"/>
              <w:szCs w:val="21"/>
              <w:highlight w:val="none"/>
            </w:rPr>
            <w:t>.3供热制冷</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_Toc25248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_Toc402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7</w:t>
          </w:r>
          <w:r>
            <w:rPr>
              <w:rFonts w:hint="default" w:ascii="Times New Roman" w:hAnsi="Times New Roman" w:cs="Times New Roman"/>
              <w:i w:val="0"/>
              <w:iCs w:val="0"/>
              <w:color w:val="auto"/>
              <w:sz w:val="21"/>
              <w:szCs w:val="21"/>
              <w:highlight w:val="none"/>
            </w:rPr>
            <w:t>平面布置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_Toc402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_Toc29342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2.</w:t>
          </w:r>
          <w:r>
            <w:rPr>
              <w:rFonts w:hint="default" w:ascii="Times New Roman" w:hAnsi="Times New Roman" w:cs="Times New Roman"/>
              <w:i w:val="0"/>
              <w:iCs w:val="0"/>
              <w:color w:val="auto"/>
              <w:sz w:val="21"/>
              <w:szCs w:val="21"/>
              <w:highlight w:val="none"/>
              <w:lang w:val="en-US" w:eastAsia="zh-CN"/>
            </w:rPr>
            <w:t>8</w:t>
          </w:r>
          <w:r>
            <w:rPr>
              <w:rFonts w:hint="default" w:ascii="Times New Roman" w:hAnsi="Times New Roman" w:cs="Times New Roman"/>
              <w:i w:val="0"/>
              <w:iCs w:val="0"/>
              <w:color w:val="auto"/>
              <w:sz w:val="21"/>
              <w:szCs w:val="21"/>
              <w:highlight w:val="none"/>
            </w:rPr>
            <w:t>工作制度及劳动定员</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_Toc29342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_Toc19842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2.</w:t>
          </w:r>
          <w:r>
            <w:rPr>
              <w:rFonts w:hint="default" w:ascii="Times New Roman" w:hAnsi="Times New Roman" w:eastAsia="宋体" w:cs="Times New Roman"/>
              <w:i w:val="0"/>
              <w:iCs w:val="0"/>
              <w:color w:val="auto"/>
              <w:sz w:val="21"/>
              <w:szCs w:val="21"/>
              <w:highlight w:val="none"/>
              <w:lang w:val="en-US" w:eastAsia="zh-CN"/>
            </w:rPr>
            <w:t>9</w:t>
          </w:r>
          <w:r>
            <w:rPr>
              <w:rFonts w:hint="default" w:ascii="Times New Roman" w:hAnsi="Times New Roman" w:eastAsia="宋体" w:cs="Times New Roman"/>
              <w:i w:val="0"/>
              <w:iCs w:val="0"/>
              <w:color w:val="auto"/>
              <w:sz w:val="21"/>
              <w:szCs w:val="21"/>
              <w:highlight w:val="none"/>
            </w:rPr>
            <w:t>项目施工</w:t>
          </w:r>
          <w:r>
            <w:rPr>
              <w:rFonts w:hint="default" w:ascii="Times New Roman" w:hAnsi="Times New Roman" w:eastAsia="宋体" w:cs="Times New Roman"/>
              <w:i w:val="0"/>
              <w:iCs w:val="0"/>
              <w:color w:val="auto"/>
              <w:sz w:val="21"/>
              <w:szCs w:val="21"/>
              <w:highlight w:val="none"/>
              <w:lang w:val="en-US" w:eastAsia="zh-CN"/>
            </w:rPr>
            <w:t>方案</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_Toc19842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_Toc11179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kern w:val="44"/>
              <w:sz w:val="21"/>
              <w:szCs w:val="21"/>
              <w:highlight w:val="none"/>
            </w:rPr>
            <w:t>3、工程分析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_Toc11179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_Toc6630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3.1施工期环境影响因素分析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_Toc6630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_Toc30083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pacing w:val="4"/>
              <w:sz w:val="21"/>
              <w:szCs w:val="21"/>
              <w:highlight w:val="none"/>
            </w:rPr>
            <w:t>施工机械及车辆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_Toc30083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_Toc28268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pacing w:val="4"/>
              <w:sz w:val="21"/>
              <w:szCs w:val="21"/>
              <w:highlight w:val="none"/>
            </w:rPr>
            <w:t>施工扬尘</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_Toc28268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_Toc9313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pacing w:val="4"/>
              <w:sz w:val="21"/>
              <w:szCs w:val="21"/>
              <w:highlight w:val="none"/>
            </w:rPr>
            <w:t>生活污水</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_Toc9313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_Toc5285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3.2运营期环境影响因素分析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_Toc5285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37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_Toc28897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3.3工程水平衡与物料平衡</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_Toc28897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_Toc27328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3.3.1水平衡</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_Toc27328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_Toc20572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3.3.2物料平衡</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_Toc20572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_Toc26899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3.4施工期污染源分析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_Toc26899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_Toc14524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3.4.1废气</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_Toc14524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_Toc22787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3.4.2废水</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_Toc22787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_Toc29786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3.4.3噪声</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_Toc29786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_Toc28676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3.4.4固体废弃物</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_Toc28676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_Toc3430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3.5运营期污染源分析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_Toc3430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_Toc22477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3.5.1废气</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_Toc22477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47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_Toc21987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3.5.2废水</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_Toc21987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54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_Toc13553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i w:val="0"/>
              <w:iCs w:val="0"/>
              <w:color w:val="auto"/>
              <w:sz w:val="21"/>
              <w:szCs w:val="21"/>
              <w:highlight w:val="none"/>
            </w:rPr>
            <w:t>3.5.3噪声</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_Toc13553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57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_Toc30789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i w:val="0"/>
              <w:iCs w:val="0"/>
              <w:color w:val="auto"/>
              <w:sz w:val="21"/>
              <w:szCs w:val="21"/>
              <w:highlight w:val="none"/>
            </w:rPr>
            <w:t>3.5.4固体废弃物</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_Toc30789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57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_Toc1917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3.6非正常工况污染物排放情况</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_Toc1917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_Toc7724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3.7污染物排放量汇总</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_Toc7724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_Toc23883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kern w:val="44"/>
              <w:sz w:val="21"/>
              <w:szCs w:val="21"/>
              <w:highlight w:val="none"/>
            </w:rPr>
            <w:t>4、环境现状调查与评价</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_Toc23883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_Toc26070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4.1自然环境概况</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_Toc26070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_Toc19499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4.1.1地理位置及交通</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_Toc19499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_Toc25660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4.1.2地形、地貌</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_Toc25660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_Toc6671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4.1.3 地质</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_Toc6671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_Toc8434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4.1.4 气候、气象</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_Toc8434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_Toc27614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4.1.5 水文、水系</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_Toc27614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_Toc8781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4.1.6</w:t>
          </w:r>
          <w:r>
            <w:rPr>
              <w:rFonts w:hint="default" w:ascii="Times New Roman" w:hAnsi="Times New Roman" w:cs="Times New Roman"/>
              <w:i w:val="0"/>
              <w:iCs w:val="0"/>
              <w:color w:val="auto"/>
              <w:sz w:val="21"/>
              <w:szCs w:val="21"/>
              <w:highlight w:val="none"/>
              <w:lang w:val="en-US" w:eastAsia="zh-CN"/>
            </w:rPr>
            <w:t>水文特征</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_Toc8781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_Toc22427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4.1.7 动植物及生物多样性</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_Toc22427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_Toc4945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4.1.8 土壤</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_Toc4945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_Toc23807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4.2环境现状调查与评价</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_Toc23807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_Toc6773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4.2.1 环境空气质量现状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_Toc6773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68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_Toc8128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4.2.2地表水环境质量现状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_Toc8128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73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_Toc28492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4.2.3地下水环境质量现状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_Toc28492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74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_Toc22798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4.2.4声环境质量现状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_Toc22798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74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_Toc28293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4.2.5土壤环境质量现状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_Toc28293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76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_Toc25112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4.2.6生态环境质量现状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_Toc25112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_Toc1940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4.</w:t>
          </w:r>
          <w:r>
            <w:rPr>
              <w:rFonts w:hint="default" w:ascii="Times New Roman" w:hAnsi="Times New Roman" w:cs="Times New Roman"/>
              <w:i w:val="0"/>
              <w:iCs w:val="0"/>
              <w:color w:val="auto"/>
              <w:sz w:val="21"/>
              <w:szCs w:val="21"/>
              <w:highlight w:val="none"/>
              <w:lang w:val="en-US" w:eastAsia="zh-CN"/>
            </w:rPr>
            <w:t>3</w:t>
          </w:r>
          <w:r>
            <w:rPr>
              <w:rFonts w:hint="default" w:ascii="Times New Roman" w:hAnsi="Times New Roman" w:cs="Times New Roman"/>
              <w:i w:val="0"/>
              <w:iCs w:val="0"/>
              <w:color w:val="auto"/>
              <w:sz w:val="21"/>
              <w:szCs w:val="21"/>
              <w:highlight w:val="none"/>
            </w:rPr>
            <w:t>周边污染源调查</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_Toc1940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_Toc28466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5环境影响预测预评价</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_Toc28466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_Toc5786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5.1施工期环境影响预测评价</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_Toc5786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_Toc21518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5.1.1施工期大气环境影响分析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_Toc21518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_Toc21849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5.1.2施工期水环境影响分析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_Toc21849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_Toc26226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5.1.3施工期声环境影响分析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_Toc26226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_Toc28267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5.1.4施工期固废影响分析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_Toc28267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90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_Toc30239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5.1.5施工期生态影响分析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_Toc30239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90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_Toc19414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5.2运营期环境影响预测评价</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_Toc19414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92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_Toc24873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5.2.1运营期大气环境影响分析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_Toc24873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92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_Toc1783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5.2.2运营期地表水环境影响分析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_Toc1783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105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_Toc10409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5.2.3 地下水环境影响分析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_Toc10409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109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_Toc31981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5.2.4 运营期声环境影响分析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_Toc31981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110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_Toc15365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5.2.5固体废物环境影响分析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_Toc15365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117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_Toc21313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5.2.6土壤环境影响分析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_Toc21313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119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_Toc14196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i w:val="0"/>
              <w:iCs w:val="0"/>
              <w:color w:val="auto"/>
              <w:sz w:val="21"/>
              <w:szCs w:val="21"/>
              <w:highlight w:val="none"/>
              <w:lang w:val="en-US" w:eastAsia="zh-CN"/>
            </w:rPr>
            <w:t>5.2.7生态影响分析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_Toc14196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_Toc22232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6、环境风险评价</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_Toc22232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_Toc30630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6.1评价依据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_Toc30630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_Toc12151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6.1.1风险调查</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_Toc12151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_Toc13249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6.1.2 环境风险潜势初判</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_Toc13249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_Toc29792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6.1.3评价工作等级划分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_Toc29792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_Toc6147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6.2环境敏感目标</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_Toc6147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_Toc21194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6.3环境风险识别</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_Toc21194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_Toc28370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6.3.1物质危险性识别</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_Toc28370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129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_Toc15695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6.3.2生产系统危险性识别</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_Toc15695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_Toc4873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6.3.3风险识别结果</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_Toc4873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_Toc4989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6.4环境风险分析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_Toc4989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_Toc32173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6.5环境风险防范措施及应急要求</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_Toc32173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_Toc27431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6.5.1风险防范措施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_Toc27431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_Toc4741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6.5.2应急预案</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_Toc4741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_Toc12603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6.6分析结论</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_Toc12603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_Toc10782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7、环境保护措施及其可行性论证</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_Toc10782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_Toc17940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val="0"/>
              <w:i w:val="0"/>
              <w:iCs w:val="0"/>
              <w:color w:val="auto"/>
              <w:sz w:val="21"/>
              <w:szCs w:val="21"/>
              <w:highlight w:val="none"/>
            </w:rPr>
            <w:t>7.1施工期污染防治措施及可行性分析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_Toc17940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_Toc3395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7.1.1施工期大气污染防治措施及可行性分析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_Toc3395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_Toc6573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7.1.2施工期水污染防治措施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_Toc6573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_Toc29947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7.1.3施工期噪声防治措施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_Toc29947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_Toc11808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7.1.4施工期固体废物污染防治措施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_Toc11808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_Toc31607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val="0"/>
              <w:i w:val="0"/>
              <w:iCs w:val="0"/>
              <w:color w:val="auto"/>
              <w:sz w:val="21"/>
              <w:szCs w:val="21"/>
              <w:highlight w:val="none"/>
            </w:rPr>
            <w:t>7.2运营期污染防治措施及可行性分析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_Toc31607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_Toc23372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7.2.1 大气污染防治措施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_Toc23372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138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_Toc3499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7.2.2 水污染防治措施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_Toc3499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141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_Toc17574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lang w:val="en-US" w:eastAsia="zh-CN"/>
            </w:rPr>
            <w:t>7.2.3地下水污染防治措施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_Toc17574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143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_Toc10845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7.2.</w:t>
          </w:r>
          <w:r>
            <w:rPr>
              <w:rFonts w:hint="default" w:ascii="Times New Roman" w:hAnsi="Times New Roman" w:cs="Times New Roman"/>
              <w:bCs/>
              <w:i w:val="0"/>
              <w:iCs w:val="0"/>
              <w:color w:val="auto"/>
              <w:sz w:val="21"/>
              <w:szCs w:val="21"/>
              <w:highlight w:val="none"/>
              <w:lang w:val="en-US" w:eastAsia="zh-CN"/>
            </w:rPr>
            <w:t xml:space="preserve">4 </w:t>
          </w:r>
          <w:r>
            <w:rPr>
              <w:rFonts w:hint="default" w:ascii="Times New Roman" w:hAnsi="Times New Roman" w:cs="Times New Roman"/>
              <w:bCs/>
              <w:i w:val="0"/>
              <w:iCs w:val="0"/>
              <w:color w:val="auto"/>
              <w:sz w:val="21"/>
              <w:szCs w:val="21"/>
              <w:highlight w:val="none"/>
            </w:rPr>
            <w:t>噪声污染防治措施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_Toc10845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143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_Toc14964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7.2.5 固体废物处置措施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_Toc14964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144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_Toc25321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7.3</w:t>
          </w:r>
          <w:r>
            <w:rPr>
              <w:rFonts w:hint="default" w:ascii="Times New Roman" w:hAnsi="Times New Roman" w:eastAsia="宋体" w:cs="Times New Roman"/>
              <w:bCs w:val="0"/>
              <w:i w:val="0"/>
              <w:iCs w:val="0"/>
              <w:color w:val="auto"/>
              <w:sz w:val="21"/>
              <w:szCs w:val="21"/>
              <w:highlight w:val="none"/>
            </w:rPr>
            <w:t>环境保护措施汇总</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_Toc25321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146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_Toc18953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8、选址合理性及相关政策符合性</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_Toc18953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149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_Toc29469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val="0"/>
              <w:i w:val="0"/>
              <w:iCs w:val="0"/>
              <w:color w:val="auto"/>
              <w:sz w:val="21"/>
              <w:szCs w:val="21"/>
              <w:highlight w:val="none"/>
            </w:rPr>
            <w:t>8.1选址合理性</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_Toc29469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149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_Toc7354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8.2</w:t>
          </w:r>
          <w:r>
            <w:rPr>
              <w:rFonts w:hint="default" w:ascii="Times New Roman" w:hAnsi="Times New Roman" w:eastAsia="宋体" w:cs="Times New Roman"/>
              <w:bCs w:val="0"/>
              <w:i w:val="0"/>
              <w:iCs w:val="0"/>
              <w:color w:val="auto"/>
              <w:sz w:val="21"/>
              <w:szCs w:val="21"/>
              <w:highlight w:val="none"/>
            </w:rPr>
            <w:t>相关政策符合性</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_Toc7354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151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_Toc12486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9、环境影响经济损益分析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_Toc12486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_Toc933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i w:val="0"/>
              <w:iCs w:val="0"/>
              <w:color w:val="auto"/>
              <w:sz w:val="21"/>
              <w:szCs w:val="21"/>
              <w:highlight w:val="none"/>
            </w:rPr>
            <w:t>9.1环境保护投资</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_Toc933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_Toc22769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val="0"/>
              <w:i w:val="0"/>
              <w:iCs w:val="0"/>
              <w:color w:val="auto"/>
              <w:sz w:val="21"/>
              <w:szCs w:val="21"/>
              <w:highlight w:val="none"/>
            </w:rPr>
            <w:t>9.2环境效益分析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_Toc22769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_Toc16000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val="0"/>
              <w:i w:val="0"/>
              <w:iCs w:val="0"/>
              <w:color w:val="auto"/>
              <w:sz w:val="21"/>
              <w:szCs w:val="21"/>
              <w:highlight w:val="none"/>
            </w:rPr>
            <w:t>9.3社会效益分析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_Toc16000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_Toc12269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eastAsia="宋体" w:cs="Times New Roman"/>
              <w:bCs w:val="0"/>
              <w:i w:val="0"/>
              <w:iCs w:val="0"/>
              <w:color w:val="auto"/>
              <w:sz w:val="21"/>
              <w:szCs w:val="21"/>
              <w:highlight w:val="none"/>
            </w:rPr>
            <w:t>9.4小结</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_Toc12269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174</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_Toc15878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10、环境管理与监测计划</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_Toc15878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_Toc21129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10.1 环境管理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_Toc21129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_Toc26311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10.2 污染物排放管理要求</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_Toc26311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_Toc18987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10.2.1 污染物排放清单</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_Toc18987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175</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_Toc16216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10.2.2 污染物总量控制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_Toc16216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_Toc17071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10.2.3 排污口规范化管理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_Toc17071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179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_Toc3396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10.2.4 企业信息公开</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_Toc3396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_Toc30767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10.3 环境管理要求</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_Toc30767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_Toc15903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10.3.1 环境管理组织机构设置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_Toc15903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181</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_Toc25639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10.3.2 管理职责</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_Toc25639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_Toc9909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10.3.3 环境管理台账</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_Toc9909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_Toc11406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10.3.4 环保措施建设情况及运营维护费用保障计划</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_Toc11406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182</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_Toc12329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10.4 环境监测</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_Toc12329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_Toc11481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10.4.1 环境监测计划</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_Toc11481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_Toc2933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10.4.2 项目竣工环保验收管理</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_Toc2933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183</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37"/>
            <w:tabs>
              <w:tab w:val="right" w:leader="dot" w:pos="8333"/>
              <w:tab w:val="clear" w:pos="8948"/>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_Toc28682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11、环境影响评价结论</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_Toc28682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_Toc1472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11.1 工程概况</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_Toc1472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_Toc27698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11.2 环境质量现状</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_Toc27698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_Toc11342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11.3环境影响及污染防治措施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_Toc11342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_Toc4883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11.3.1环境空气影响及污染防治措施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_Toc4883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186</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_Toc9508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11.3.2 地表水环境影响及污染防治措施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_Toc9508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_Toc10439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11.3.</w:t>
          </w:r>
          <w:r>
            <w:rPr>
              <w:rFonts w:hint="default" w:ascii="Times New Roman" w:hAnsi="Times New Roman" w:cs="Times New Roman"/>
              <w:bCs/>
              <w:i w:val="0"/>
              <w:iCs w:val="0"/>
              <w:color w:val="auto"/>
              <w:sz w:val="21"/>
              <w:szCs w:val="21"/>
              <w:highlight w:val="none"/>
              <w:lang w:val="en-US" w:eastAsia="zh-CN"/>
            </w:rPr>
            <w:t xml:space="preserve">3 </w:t>
          </w:r>
          <w:r>
            <w:rPr>
              <w:rFonts w:hint="default" w:ascii="Times New Roman" w:hAnsi="Times New Roman" w:cs="Times New Roman"/>
              <w:bCs/>
              <w:i w:val="0"/>
              <w:iCs w:val="0"/>
              <w:color w:val="auto"/>
              <w:sz w:val="21"/>
              <w:szCs w:val="21"/>
              <w:highlight w:val="none"/>
            </w:rPr>
            <w:t>声环境影响及控制措施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_Toc10439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_Toc2447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11.3.</w:t>
          </w:r>
          <w:r>
            <w:rPr>
              <w:rFonts w:hint="default" w:ascii="Times New Roman" w:hAnsi="Times New Roman" w:cs="Times New Roman"/>
              <w:bCs/>
              <w:i w:val="0"/>
              <w:iCs w:val="0"/>
              <w:color w:val="auto"/>
              <w:sz w:val="21"/>
              <w:szCs w:val="21"/>
              <w:highlight w:val="none"/>
              <w:lang w:val="en-US" w:eastAsia="zh-CN"/>
            </w:rPr>
            <w:t>4</w:t>
          </w:r>
          <w:r>
            <w:rPr>
              <w:rFonts w:hint="default" w:ascii="Times New Roman" w:hAnsi="Times New Roman" w:cs="Times New Roman"/>
              <w:bCs/>
              <w:i w:val="0"/>
              <w:iCs w:val="0"/>
              <w:color w:val="auto"/>
              <w:sz w:val="21"/>
              <w:szCs w:val="21"/>
              <w:highlight w:val="none"/>
            </w:rPr>
            <w:t xml:space="preserve"> 固体废物环境影响及处置措施</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_Toc2447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_Toc6286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11.3.</w:t>
          </w:r>
          <w:r>
            <w:rPr>
              <w:rFonts w:hint="default" w:ascii="Times New Roman" w:hAnsi="Times New Roman" w:cs="Times New Roman"/>
              <w:bCs/>
              <w:i w:val="0"/>
              <w:iCs w:val="0"/>
              <w:color w:val="auto"/>
              <w:sz w:val="21"/>
              <w:szCs w:val="21"/>
              <w:highlight w:val="none"/>
              <w:lang w:val="en-US" w:eastAsia="zh-CN"/>
            </w:rPr>
            <w:t>5</w:t>
          </w:r>
          <w:r>
            <w:rPr>
              <w:rFonts w:hint="default" w:ascii="Times New Roman" w:hAnsi="Times New Roman" w:cs="Times New Roman"/>
              <w:bCs/>
              <w:i w:val="0"/>
              <w:iCs w:val="0"/>
              <w:color w:val="auto"/>
              <w:sz w:val="21"/>
              <w:szCs w:val="21"/>
              <w:highlight w:val="none"/>
            </w:rPr>
            <w:t xml:space="preserve"> 土壤环境影响分析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_Toc6286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187</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_Toc14904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11.4 环境风险</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_Toc14904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_Toc315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11.5 环境影响损益分析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_Toc315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_Toc8287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11.6 公众参与</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_Toc8287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188</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_Toc15830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11.7 与产业政策及相关规划的符合性分析</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_Toc15830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_Toc11899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11.8 环境管理与监测计划</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_Toc11899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_Toc5219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11.9 项目环境影响可行性结论</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_Toc5219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189</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4"/>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_Toc16977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i w:val="0"/>
              <w:iCs w:val="0"/>
              <w:color w:val="auto"/>
              <w:sz w:val="21"/>
              <w:szCs w:val="21"/>
              <w:highlight w:val="none"/>
            </w:rPr>
            <w:t>11.10 要求与建议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_Toc16977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190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_Toc17408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11.10.1 主要要求</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_Toc17408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190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pStyle w:val="29"/>
            <w:tabs>
              <w:tab w:val="right" w:leader="dot" w:pos="8333"/>
            </w:tabs>
            <w:rPr>
              <w:rFonts w:hint="default" w:ascii="Times New Roman" w:hAnsi="Times New Roman" w:cs="Times New Roman"/>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val="zh-CN"/>
            </w:rPr>
            <w:fldChar w:fldCharType="begin"/>
          </w:r>
          <w:r>
            <w:rPr>
              <w:rFonts w:hint="default" w:ascii="Times New Roman" w:hAnsi="Times New Roman" w:eastAsia="宋体" w:cs="Times New Roman"/>
              <w:bCs/>
              <w:i w:val="0"/>
              <w:iCs w:val="0"/>
              <w:color w:val="auto"/>
              <w:sz w:val="21"/>
              <w:szCs w:val="21"/>
              <w:highlight w:val="none"/>
              <w:lang w:val="zh-CN"/>
            </w:rPr>
            <w:instrText xml:space="preserve"> HYPERLINK \l _Toc23866 </w:instrText>
          </w:r>
          <w:r>
            <w:rPr>
              <w:rFonts w:hint="default" w:ascii="Times New Roman" w:hAnsi="Times New Roman" w:eastAsia="宋体" w:cs="Times New Roman"/>
              <w:bCs/>
              <w:i w:val="0"/>
              <w:iCs w:val="0"/>
              <w:color w:val="auto"/>
              <w:sz w:val="21"/>
              <w:szCs w:val="21"/>
              <w:highlight w:val="none"/>
              <w:lang w:val="zh-CN"/>
            </w:rPr>
            <w:fldChar w:fldCharType="separate"/>
          </w:r>
          <w:r>
            <w:rPr>
              <w:rFonts w:hint="default" w:ascii="Times New Roman" w:hAnsi="Times New Roman" w:cs="Times New Roman"/>
              <w:bCs/>
              <w:i w:val="0"/>
              <w:iCs w:val="0"/>
              <w:color w:val="auto"/>
              <w:sz w:val="21"/>
              <w:szCs w:val="21"/>
              <w:highlight w:val="none"/>
            </w:rPr>
            <w:t>11.10.2 建议</w:t>
          </w:r>
          <w:r>
            <w:rPr>
              <w:rFonts w:hint="default" w:ascii="Times New Roman" w:hAnsi="Times New Roman" w:cs="Times New Roman"/>
              <w:i w:val="0"/>
              <w:iCs w:val="0"/>
              <w:color w:val="auto"/>
              <w:sz w:val="21"/>
              <w:szCs w:val="21"/>
              <w:highlight w:val="none"/>
            </w:rPr>
            <w:tab/>
          </w:r>
          <w:r>
            <w:rPr>
              <w:rFonts w:hint="default" w:ascii="Times New Roman" w:hAnsi="Times New Roman" w:cs="Times New Roman"/>
              <w:i w:val="0"/>
              <w:iCs w:val="0"/>
              <w:color w:val="auto"/>
              <w:sz w:val="21"/>
              <w:szCs w:val="21"/>
              <w:highlight w:val="none"/>
            </w:rPr>
            <w:fldChar w:fldCharType="begin"/>
          </w:r>
          <w:r>
            <w:rPr>
              <w:rFonts w:hint="default" w:ascii="Times New Roman" w:hAnsi="Times New Roman" w:cs="Times New Roman"/>
              <w:i w:val="0"/>
              <w:iCs w:val="0"/>
              <w:color w:val="auto"/>
              <w:sz w:val="21"/>
              <w:szCs w:val="21"/>
              <w:highlight w:val="none"/>
            </w:rPr>
            <w:instrText xml:space="preserve"> PAGEREF _Toc23866 \h </w:instrText>
          </w:r>
          <w:r>
            <w:rPr>
              <w:rFonts w:hint="default" w:ascii="Times New Roman" w:hAnsi="Times New Roman" w:cs="Times New Roman"/>
              <w:i w:val="0"/>
              <w:iCs w:val="0"/>
              <w:color w:val="auto"/>
              <w:sz w:val="21"/>
              <w:szCs w:val="21"/>
              <w:highlight w:val="none"/>
            </w:rPr>
            <w:fldChar w:fldCharType="separate"/>
          </w:r>
          <w:r>
            <w:rPr>
              <w:rFonts w:hint="default" w:ascii="Times New Roman" w:hAnsi="Times New Roman" w:cs="Times New Roman"/>
              <w:i w:val="0"/>
              <w:iCs w:val="0"/>
              <w:color w:val="auto"/>
              <w:sz w:val="21"/>
              <w:szCs w:val="21"/>
              <w:highlight w:val="none"/>
            </w:rPr>
            <w:t>190</w:t>
          </w:r>
          <w:r>
            <w:rPr>
              <w:rFonts w:hint="default" w:ascii="Times New Roman" w:hAnsi="Times New Roman" w:cs="Times New Roman"/>
              <w:i w:val="0"/>
              <w:iCs w:val="0"/>
              <w:color w:val="auto"/>
              <w:sz w:val="21"/>
              <w:szCs w:val="21"/>
              <w:highlight w:val="none"/>
            </w:rPr>
            <w:fldChar w:fldCharType="end"/>
          </w:r>
          <w:r>
            <w:rPr>
              <w:rFonts w:hint="default" w:ascii="Times New Roman" w:hAnsi="Times New Roman" w:eastAsia="宋体" w:cs="Times New Roman"/>
              <w:bCs/>
              <w:i w:val="0"/>
              <w:iCs w:val="0"/>
              <w:color w:val="auto"/>
              <w:sz w:val="21"/>
              <w:szCs w:val="21"/>
              <w:highlight w:val="none"/>
              <w:lang w:val="zh-CN"/>
            </w:rPr>
            <w:fldChar w:fldCharType="end"/>
          </w:r>
        </w:p>
        <w:p>
          <w:pPr>
            <w:spacing w:line="360" w:lineRule="auto"/>
            <w:rPr>
              <w:color w:val="auto"/>
              <w:highlight w:val="none"/>
            </w:rPr>
          </w:pPr>
          <w:r>
            <w:rPr>
              <w:rFonts w:hint="default" w:ascii="Times New Roman" w:hAnsi="Times New Roman" w:eastAsia="宋体" w:cs="Times New Roman"/>
              <w:bCs/>
              <w:i w:val="0"/>
              <w:iCs w:val="0"/>
              <w:color w:val="auto"/>
              <w:sz w:val="21"/>
              <w:szCs w:val="21"/>
              <w:highlight w:val="none"/>
              <w:lang w:val="zh-CN"/>
            </w:rPr>
            <w:fldChar w:fldCharType="end"/>
          </w:r>
        </w:p>
      </w:sdtContent>
    </w:sdt>
    <w:p>
      <w:pPr>
        <w:autoSpaceDE w:val="0"/>
        <w:autoSpaceDN w:val="0"/>
        <w:spacing w:line="360" w:lineRule="auto"/>
        <w:rPr>
          <w:b/>
          <w:bCs/>
          <w:caps/>
          <w:color w:val="auto"/>
          <w:sz w:val="24"/>
          <w:highlight w:val="none"/>
        </w:rPr>
      </w:pPr>
      <w:r>
        <w:rPr>
          <w:b/>
          <w:bCs/>
          <w:caps/>
          <w:color w:val="auto"/>
          <w:sz w:val="24"/>
          <w:highlight w:val="none"/>
        </w:rPr>
        <w:br w:type="page"/>
      </w:r>
    </w:p>
    <w:p>
      <w:pPr>
        <w:autoSpaceDE w:val="0"/>
        <w:autoSpaceDN w:val="0"/>
        <w:spacing w:line="360" w:lineRule="auto"/>
        <w:jc w:val="left"/>
        <w:rPr>
          <w:b/>
          <w:bCs/>
          <w:caps/>
          <w:color w:val="auto"/>
          <w:sz w:val="24"/>
          <w:highlight w:val="none"/>
        </w:rPr>
      </w:pPr>
      <w:r>
        <w:rPr>
          <w:b/>
          <w:bCs/>
          <w:caps/>
          <w:color w:val="auto"/>
          <w:sz w:val="24"/>
          <w:highlight w:val="none"/>
        </w:rPr>
        <w:t>附表：</w:t>
      </w:r>
    </w:p>
    <w:p>
      <w:pPr>
        <w:autoSpaceDE w:val="0"/>
        <w:autoSpaceDN w:val="0"/>
        <w:spacing w:line="360" w:lineRule="auto"/>
        <w:ind w:firstLine="480" w:firstLineChars="200"/>
        <w:jc w:val="left"/>
        <w:rPr>
          <w:caps/>
          <w:color w:val="auto"/>
          <w:sz w:val="24"/>
          <w:highlight w:val="none"/>
        </w:rPr>
      </w:pPr>
      <w:r>
        <w:rPr>
          <w:caps/>
          <w:color w:val="auto"/>
          <w:sz w:val="24"/>
          <w:highlight w:val="none"/>
        </w:rPr>
        <w:t>建设项目环境影响报告书审批基础信息表</w:t>
      </w:r>
    </w:p>
    <w:p>
      <w:pPr>
        <w:autoSpaceDE w:val="0"/>
        <w:autoSpaceDN w:val="0"/>
        <w:spacing w:line="360" w:lineRule="auto"/>
        <w:jc w:val="left"/>
        <w:rPr>
          <w:b/>
          <w:bCs/>
          <w:caps/>
          <w:color w:val="auto"/>
          <w:sz w:val="24"/>
          <w:highlight w:val="none"/>
        </w:rPr>
      </w:pPr>
      <w:r>
        <w:rPr>
          <w:b/>
          <w:bCs/>
          <w:caps/>
          <w:color w:val="auto"/>
          <w:sz w:val="24"/>
          <w:highlight w:val="none"/>
        </w:rPr>
        <w:t>附件：</w:t>
      </w:r>
    </w:p>
    <w:p>
      <w:pPr>
        <w:spacing w:line="360" w:lineRule="auto"/>
        <w:ind w:firstLine="480" w:firstLineChars="200"/>
        <w:rPr>
          <w:color w:val="auto"/>
          <w:sz w:val="24"/>
          <w:highlight w:val="none"/>
        </w:rPr>
      </w:pPr>
      <w:r>
        <w:rPr>
          <w:color w:val="auto"/>
          <w:sz w:val="24"/>
          <w:highlight w:val="none"/>
        </w:rPr>
        <w:t>附件1：委托书</w:t>
      </w:r>
      <w:r>
        <w:rPr>
          <w:rFonts w:hint="eastAsia"/>
          <w:color w:val="auto"/>
          <w:sz w:val="24"/>
          <w:highlight w:val="none"/>
        </w:rPr>
        <w:t>；</w:t>
      </w:r>
    </w:p>
    <w:p>
      <w:pPr>
        <w:autoSpaceDE w:val="0"/>
        <w:autoSpaceDN w:val="0"/>
        <w:spacing w:line="360" w:lineRule="auto"/>
        <w:ind w:firstLine="480" w:firstLineChars="200"/>
        <w:rPr>
          <w:color w:val="auto"/>
          <w:sz w:val="24"/>
          <w:highlight w:val="none"/>
        </w:rPr>
      </w:pPr>
      <w:r>
        <w:rPr>
          <w:color w:val="auto"/>
          <w:sz w:val="24"/>
          <w:highlight w:val="none"/>
        </w:rPr>
        <w:t>附件2：投资项目备案证</w:t>
      </w:r>
      <w:r>
        <w:rPr>
          <w:rFonts w:hint="eastAsia"/>
          <w:color w:val="auto"/>
          <w:sz w:val="24"/>
          <w:highlight w:val="none"/>
        </w:rPr>
        <w:t>；</w:t>
      </w:r>
    </w:p>
    <w:p>
      <w:pPr>
        <w:autoSpaceDE w:val="0"/>
        <w:autoSpaceDN w:val="0"/>
        <w:spacing w:line="360" w:lineRule="auto"/>
        <w:ind w:firstLine="480" w:firstLineChars="200"/>
        <w:rPr>
          <w:rFonts w:hint="eastAsia" w:eastAsia="宋体"/>
          <w:color w:val="auto"/>
          <w:sz w:val="24"/>
          <w:highlight w:val="none"/>
          <w:lang w:val="en-US" w:eastAsia="zh-CN"/>
        </w:rPr>
      </w:pPr>
      <w:r>
        <w:rPr>
          <w:color w:val="auto"/>
          <w:sz w:val="24"/>
          <w:highlight w:val="none"/>
        </w:rPr>
        <w:t>附件3：</w:t>
      </w:r>
      <w:r>
        <w:rPr>
          <w:rFonts w:hint="eastAsia"/>
          <w:color w:val="auto"/>
          <w:sz w:val="24"/>
          <w:highlight w:val="none"/>
          <w:lang w:val="en-US" w:eastAsia="zh-CN"/>
        </w:rPr>
        <w:t>营业执照；</w:t>
      </w:r>
    </w:p>
    <w:p>
      <w:pPr>
        <w:autoSpaceDE w:val="0"/>
        <w:autoSpaceDN w:val="0"/>
        <w:spacing w:line="360" w:lineRule="auto"/>
        <w:ind w:firstLine="480" w:firstLineChars="200"/>
        <w:rPr>
          <w:color w:val="auto"/>
          <w:sz w:val="24"/>
          <w:highlight w:val="none"/>
        </w:rPr>
      </w:pPr>
      <w:r>
        <w:rPr>
          <w:rFonts w:hint="eastAsia"/>
          <w:color w:val="auto"/>
          <w:sz w:val="24"/>
          <w:highlight w:val="none"/>
          <w:lang w:val="en-US" w:eastAsia="zh-CN"/>
        </w:rPr>
        <w:t>附件4：租房协议</w:t>
      </w:r>
      <w:r>
        <w:rPr>
          <w:rFonts w:hint="eastAsia"/>
          <w:color w:val="auto"/>
          <w:sz w:val="24"/>
          <w:highlight w:val="none"/>
        </w:rPr>
        <w:t>；</w:t>
      </w:r>
    </w:p>
    <w:p>
      <w:pPr>
        <w:autoSpaceDE w:val="0"/>
        <w:autoSpaceDN w:val="0"/>
        <w:spacing w:line="360" w:lineRule="auto"/>
        <w:ind w:firstLine="480" w:firstLineChars="200"/>
        <w:jc w:val="left"/>
        <w:rPr>
          <w:rFonts w:hint="eastAsia" w:eastAsia="宋体"/>
          <w:b w:val="0"/>
          <w:bCs w:val="0"/>
          <w:color w:val="auto"/>
          <w:sz w:val="24"/>
          <w:highlight w:val="none"/>
          <w:lang w:val="en-US" w:eastAsia="zh-CN"/>
        </w:rPr>
      </w:pPr>
      <w:r>
        <w:rPr>
          <w:b w:val="0"/>
          <w:bCs w:val="0"/>
          <w:color w:val="auto"/>
          <w:sz w:val="24"/>
          <w:highlight w:val="none"/>
        </w:rPr>
        <w:t>附件</w:t>
      </w:r>
      <w:r>
        <w:rPr>
          <w:rFonts w:hint="eastAsia"/>
          <w:b w:val="0"/>
          <w:bCs w:val="0"/>
          <w:color w:val="auto"/>
          <w:sz w:val="24"/>
          <w:highlight w:val="none"/>
          <w:lang w:val="en-US" w:eastAsia="zh-CN"/>
        </w:rPr>
        <w:t>5</w:t>
      </w:r>
      <w:r>
        <w:rPr>
          <w:b w:val="0"/>
          <w:bCs w:val="0"/>
          <w:color w:val="auto"/>
          <w:sz w:val="24"/>
          <w:highlight w:val="none"/>
        </w:rPr>
        <w:t>：</w:t>
      </w:r>
      <w:r>
        <w:rPr>
          <w:rFonts w:hint="eastAsia"/>
          <w:b w:val="0"/>
          <w:bCs w:val="0"/>
          <w:color w:val="auto"/>
          <w:sz w:val="24"/>
          <w:highlight w:val="none"/>
          <w:lang w:val="en-US" w:eastAsia="zh-CN"/>
        </w:rPr>
        <w:t>产权证；</w:t>
      </w:r>
    </w:p>
    <w:p>
      <w:pPr>
        <w:autoSpaceDE w:val="0"/>
        <w:autoSpaceDN w:val="0"/>
        <w:spacing w:line="360" w:lineRule="auto"/>
        <w:ind w:firstLine="480" w:firstLineChars="200"/>
        <w:jc w:val="left"/>
        <w:rPr>
          <w:rFonts w:hint="default" w:eastAsia="宋体"/>
          <w:color w:val="auto"/>
          <w:sz w:val="24"/>
          <w:highlight w:val="none"/>
          <w:lang w:val="en-US" w:eastAsia="zh-CN"/>
        </w:rPr>
      </w:pPr>
      <w:r>
        <w:rPr>
          <w:rFonts w:hint="eastAsia"/>
          <w:color w:val="auto"/>
          <w:sz w:val="24"/>
          <w:highlight w:val="none"/>
          <w:lang w:val="en-US" w:eastAsia="zh-CN"/>
        </w:rPr>
        <w:t>附件6：三区三线查询结果；</w:t>
      </w:r>
    </w:p>
    <w:p>
      <w:pPr>
        <w:widowControl/>
        <w:adjustRightInd w:val="0"/>
        <w:snapToGrid w:val="0"/>
        <w:spacing w:line="360" w:lineRule="auto"/>
        <w:ind w:firstLine="480" w:firstLineChars="200"/>
        <w:jc w:val="left"/>
        <w:rPr>
          <w:rFonts w:hint="default" w:eastAsia="宋体"/>
          <w:color w:val="auto"/>
          <w:sz w:val="24"/>
          <w:highlight w:val="none"/>
          <w:lang w:val="en-US" w:eastAsia="zh-CN"/>
        </w:rPr>
      </w:pPr>
      <w:r>
        <w:rPr>
          <w:rFonts w:hint="eastAsia"/>
          <w:color w:val="auto"/>
          <w:sz w:val="24"/>
          <w:highlight w:val="none"/>
          <w:lang w:val="en-US" w:eastAsia="zh-CN"/>
        </w:rPr>
        <w:t>附件7：三线一单查询结果；</w:t>
      </w:r>
    </w:p>
    <w:p>
      <w:pPr>
        <w:autoSpaceDE w:val="0"/>
        <w:autoSpaceDN w:val="0"/>
        <w:spacing w:line="360" w:lineRule="auto"/>
        <w:ind w:firstLine="480" w:firstLineChars="200"/>
        <w:jc w:val="left"/>
        <w:rPr>
          <w:rFonts w:hint="eastAsia"/>
          <w:b w:val="0"/>
          <w:bCs w:val="0"/>
          <w:color w:val="auto"/>
          <w:sz w:val="24"/>
          <w:highlight w:val="none"/>
        </w:rPr>
      </w:pPr>
      <w:r>
        <w:rPr>
          <w:rFonts w:hint="eastAsia"/>
          <w:b w:val="0"/>
          <w:bCs w:val="0"/>
          <w:color w:val="auto"/>
          <w:sz w:val="24"/>
          <w:highlight w:val="none"/>
        </w:rPr>
        <w:t>附件8：环境质量现状监测报告；</w:t>
      </w:r>
    </w:p>
    <w:p>
      <w:pPr>
        <w:autoSpaceDE w:val="0"/>
        <w:autoSpaceDN w:val="0"/>
        <w:spacing w:line="360" w:lineRule="auto"/>
        <w:ind w:firstLine="480" w:firstLineChars="200"/>
        <w:jc w:val="left"/>
        <w:rPr>
          <w:rFonts w:hint="default"/>
          <w:b w:val="0"/>
          <w:bCs w:val="0"/>
          <w:color w:val="auto"/>
          <w:sz w:val="24"/>
          <w:highlight w:val="none"/>
          <w:lang w:val="en-US" w:eastAsia="zh-CN"/>
        </w:rPr>
      </w:pPr>
      <w:r>
        <w:rPr>
          <w:rFonts w:hint="eastAsia"/>
          <w:b w:val="0"/>
          <w:bCs w:val="0"/>
          <w:color w:val="auto"/>
          <w:sz w:val="24"/>
          <w:highlight w:val="none"/>
          <w:lang w:val="en-US" w:eastAsia="zh-CN"/>
        </w:rPr>
        <w:t>附件9：生活污水委托处理合同；</w:t>
      </w:r>
    </w:p>
    <w:p>
      <w:pPr>
        <w:autoSpaceDE w:val="0"/>
        <w:autoSpaceDN w:val="0"/>
        <w:spacing w:line="360" w:lineRule="auto"/>
        <w:ind w:firstLine="480" w:firstLineChars="200"/>
        <w:jc w:val="left"/>
        <w:rPr>
          <w:rFonts w:hint="eastAsia"/>
          <w:b w:val="0"/>
          <w:bCs w:val="0"/>
          <w:color w:val="auto"/>
          <w:sz w:val="24"/>
          <w:highlight w:val="none"/>
          <w:lang w:val="en-US" w:eastAsia="zh-CN"/>
        </w:rPr>
      </w:pPr>
      <w:r>
        <w:rPr>
          <w:rFonts w:hint="eastAsia"/>
          <w:b w:val="0"/>
          <w:bCs w:val="0"/>
          <w:color w:val="auto"/>
          <w:sz w:val="24"/>
          <w:highlight w:val="none"/>
          <w:lang w:val="en-US" w:eastAsia="zh-CN"/>
        </w:rPr>
        <w:t>附件10：项目进度表；</w:t>
      </w:r>
    </w:p>
    <w:p>
      <w:pPr>
        <w:autoSpaceDE w:val="0"/>
        <w:autoSpaceDN w:val="0"/>
        <w:spacing w:line="360" w:lineRule="auto"/>
        <w:ind w:firstLine="480" w:firstLineChars="200"/>
        <w:jc w:val="left"/>
        <w:rPr>
          <w:rFonts w:hint="eastAsia"/>
          <w:b w:val="0"/>
          <w:bCs w:val="0"/>
          <w:color w:val="auto"/>
          <w:sz w:val="24"/>
          <w:highlight w:val="none"/>
          <w:lang w:val="en-US" w:eastAsia="zh-CN"/>
        </w:rPr>
      </w:pPr>
      <w:r>
        <w:rPr>
          <w:rFonts w:hint="eastAsia"/>
          <w:b w:val="0"/>
          <w:bCs w:val="0"/>
          <w:color w:val="auto"/>
          <w:sz w:val="24"/>
          <w:highlight w:val="none"/>
          <w:lang w:val="en-US" w:eastAsia="zh-CN"/>
        </w:rPr>
        <w:t>附件11：项目审核表；</w:t>
      </w:r>
    </w:p>
    <w:p>
      <w:pPr>
        <w:autoSpaceDE w:val="0"/>
        <w:autoSpaceDN w:val="0"/>
        <w:spacing w:line="360" w:lineRule="auto"/>
        <w:ind w:firstLine="480" w:firstLineChars="200"/>
        <w:jc w:val="left"/>
        <w:rPr>
          <w:rFonts w:hint="default"/>
          <w:b w:val="0"/>
          <w:bCs w:val="0"/>
          <w:color w:val="auto"/>
          <w:sz w:val="24"/>
          <w:highlight w:val="none"/>
          <w:lang w:val="en-US" w:eastAsia="zh-CN"/>
        </w:rPr>
      </w:pPr>
      <w:r>
        <w:rPr>
          <w:rFonts w:hint="eastAsia"/>
          <w:b w:val="0"/>
          <w:bCs w:val="0"/>
          <w:color w:val="auto"/>
          <w:sz w:val="24"/>
          <w:highlight w:val="none"/>
          <w:lang w:val="en-US" w:eastAsia="zh-CN"/>
        </w:rPr>
        <w:t>附件12：技术服务合同；</w:t>
      </w:r>
    </w:p>
    <w:p>
      <w:pPr>
        <w:autoSpaceDE w:val="0"/>
        <w:autoSpaceDN w:val="0"/>
        <w:spacing w:line="360" w:lineRule="auto"/>
        <w:jc w:val="left"/>
        <w:rPr>
          <w:b/>
          <w:bCs/>
          <w:color w:val="auto"/>
          <w:sz w:val="24"/>
          <w:highlight w:val="none"/>
        </w:rPr>
      </w:pPr>
      <w:r>
        <w:rPr>
          <w:b/>
          <w:bCs/>
          <w:color w:val="auto"/>
          <w:sz w:val="24"/>
          <w:highlight w:val="none"/>
        </w:rPr>
        <w:t>附图：</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附图1：</w:t>
      </w:r>
      <w:r>
        <w:rPr>
          <w:rFonts w:hint="eastAsia"/>
          <w:color w:val="auto"/>
          <w:sz w:val="24"/>
          <w:highlight w:val="none"/>
        </w:rPr>
        <w:t>地理位置图；</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附图2：</w:t>
      </w:r>
      <w:r>
        <w:rPr>
          <w:rFonts w:hint="eastAsia"/>
          <w:color w:val="auto"/>
          <w:sz w:val="24"/>
          <w:highlight w:val="none"/>
        </w:rPr>
        <w:t>项目区域水系图；</w:t>
      </w:r>
    </w:p>
    <w:p>
      <w:pPr>
        <w:autoSpaceDE w:val="0"/>
        <w:autoSpaceDN w:val="0"/>
        <w:adjustRightInd w:val="0"/>
        <w:snapToGrid w:val="0"/>
        <w:spacing w:line="360" w:lineRule="auto"/>
        <w:ind w:firstLine="480" w:firstLineChars="200"/>
        <w:jc w:val="left"/>
        <w:rPr>
          <w:color w:val="auto"/>
          <w:sz w:val="24"/>
          <w:highlight w:val="none"/>
        </w:rPr>
      </w:pPr>
      <w:r>
        <w:rPr>
          <w:rFonts w:hint="eastAsia"/>
          <w:color w:val="auto"/>
          <w:sz w:val="24"/>
          <w:highlight w:val="none"/>
        </w:rPr>
        <w:t>附图3：本项目平面布置图；</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附图</w:t>
      </w:r>
      <w:r>
        <w:rPr>
          <w:rFonts w:hint="eastAsia"/>
          <w:color w:val="auto"/>
          <w:sz w:val="24"/>
          <w:highlight w:val="none"/>
        </w:rPr>
        <w:t>4</w:t>
      </w:r>
      <w:r>
        <w:rPr>
          <w:color w:val="auto"/>
          <w:sz w:val="24"/>
          <w:highlight w:val="none"/>
        </w:rPr>
        <w:t>：项目评价范围</w:t>
      </w:r>
      <w:r>
        <w:rPr>
          <w:rFonts w:hint="eastAsia"/>
          <w:color w:val="auto"/>
          <w:sz w:val="24"/>
          <w:highlight w:val="none"/>
        </w:rPr>
        <w:t>及保护目标分布</w:t>
      </w:r>
      <w:r>
        <w:rPr>
          <w:color w:val="auto"/>
          <w:sz w:val="24"/>
          <w:highlight w:val="none"/>
        </w:rPr>
        <w:t>图</w:t>
      </w:r>
      <w:r>
        <w:rPr>
          <w:rFonts w:hint="eastAsia"/>
          <w:color w:val="auto"/>
          <w:sz w:val="24"/>
          <w:highlight w:val="none"/>
        </w:rPr>
        <w:t>；</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附图</w:t>
      </w:r>
      <w:r>
        <w:rPr>
          <w:rFonts w:hint="eastAsia"/>
          <w:color w:val="auto"/>
          <w:sz w:val="24"/>
          <w:highlight w:val="none"/>
        </w:rPr>
        <w:t>5</w:t>
      </w:r>
      <w:r>
        <w:rPr>
          <w:color w:val="auto"/>
          <w:sz w:val="24"/>
          <w:highlight w:val="none"/>
        </w:rPr>
        <w:t>：</w:t>
      </w:r>
      <w:r>
        <w:rPr>
          <w:rFonts w:hint="eastAsia"/>
          <w:color w:val="auto"/>
          <w:sz w:val="24"/>
          <w:highlight w:val="none"/>
        </w:rPr>
        <w:t>监测布点图；</w:t>
      </w:r>
    </w:p>
    <w:p>
      <w:pPr>
        <w:autoSpaceDE w:val="0"/>
        <w:autoSpaceDN w:val="0"/>
        <w:adjustRightInd w:val="0"/>
        <w:snapToGrid w:val="0"/>
        <w:spacing w:line="360" w:lineRule="auto"/>
        <w:ind w:firstLine="480" w:firstLineChars="200"/>
        <w:jc w:val="left"/>
        <w:rPr>
          <w:rFonts w:hint="eastAsia"/>
          <w:color w:val="auto"/>
          <w:sz w:val="24"/>
          <w:highlight w:val="none"/>
        </w:rPr>
      </w:pPr>
      <w:r>
        <w:rPr>
          <w:color w:val="auto"/>
          <w:sz w:val="24"/>
          <w:highlight w:val="none"/>
        </w:rPr>
        <w:t>附图</w:t>
      </w:r>
      <w:r>
        <w:rPr>
          <w:rFonts w:hint="eastAsia"/>
          <w:color w:val="auto"/>
          <w:sz w:val="24"/>
          <w:highlight w:val="none"/>
          <w:lang w:val="en-US" w:eastAsia="zh-CN"/>
        </w:rPr>
        <w:t>8</w:t>
      </w:r>
      <w:r>
        <w:rPr>
          <w:color w:val="auto"/>
          <w:sz w:val="24"/>
          <w:highlight w:val="none"/>
        </w:rPr>
        <w:t>：项目区与牛栏江（云南段）水环境保护分区位置关系图</w:t>
      </w:r>
      <w:r>
        <w:rPr>
          <w:rFonts w:hint="eastAsia"/>
          <w:color w:val="auto"/>
          <w:sz w:val="24"/>
          <w:highlight w:val="none"/>
        </w:rPr>
        <w:t>；</w:t>
      </w:r>
    </w:p>
    <w:p>
      <w:pPr>
        <w:autoSpaceDE w:val="0"/>
        <w:autoSpaceDN w:val="0"/>
        <w:adjustRightInd w:val="0"/>
        <w:snapToGrid w:val="0"/>
        <w:spacing w:line="360" w:lineRule="auto"/>
        <w:ind w:firstLine="480" w:firstLineChars="200"/>
        <w:jc w:val="left"/>
        <w:rPr>
          <w:rFonts w:hint="default"/>
          <w:color w:val="auto"/>
          <w:sz w:val="24"/>
          <w:highlight w:val="none"/>
          <w:lang w:val="en-US" w:eastAsia="zh-CN"/>
        </w:rPr>
      </w:pPr>
      <w:r>
        <w:rPr>
          <w:rFonts w:hint="eastAsia"/>
          <w:color w:val="auto"/>
          <w:sz w:val="24"/>
          <w:highlight w:val="none"/>
          <w:lang w:val="en-US" w:eastAsia="zh-CN"/>
        </w:rPr>
        <w:t>附图9：项目区与牛栏江（寻甸段）水环境保护分区位置关系图；</w:t>
      </w:r>
    </w:p>
    <w:p>
      <w:pPr>
        <w:autoSpaceDE w:val="0"/>
        <w:autoSpaceDN w:val="0"/>
        <w:adjustRightInd w:val="0"/>
        <w:snapToGrid w:val="0"/>
        <w:spacing w:line="360" w:lineRule="auto"/>
        <w:ind w:firstLine="480" w:firstLineChars="200"/>
        <w:jc w:val="left"/>
        <w:rPr>
          <w:rFonts w:hint="eastAsia"/>
          <w:color w:val="auto"/>
          <w:sz w:val="24"/>
          <w:highlight w:val="none"/>
          <w:lang w:val="en-US" w:eastAsia="zh-CN"/>
        </w:rPr>
      </w:pPr>
      <w:r>
        <w:rPr>
          <w:rFonts w:hint="eastAsia"/>
          <w:color w:val="auto"/>
          <w:sz w:val="24"/>
          <w:highlight w:val="none"/>
          <w:lang w:val="en-US" w:eastAsia="zh-CN"/>
        </w:rPr>
        <w:t>附图10：项目与云南省主体功能区位置关系图；</w:t>
      </w:r>
    </w:p>
    <w:p>
      <w:pPr>
        <w:autoSpaceDE w:val="0"/>
        <w:autoSpaceDN w:val="0"/>
        <w:adjustRightInd w:val="0"/>
        <w:snapToGrid w:val="0"/>
        <w:spacing w:line="360" w:lineRule="auto"/>
        <w:ind w:firstLine="480" w:firstLineChars="200"/>
        <w:jc w:val="left"/>
        <w:rPr>
          <w:rFonts w:hint="default"/>
          <w:color w:val="auto"/>
          <w:sz w:val="24"/>
          <w:highlight w:val="none"/>
          <w:lang w:val="en-US" w:eastAsia="zh-CN"/>
        </w:rPr>
      </w:pPr>
      <w:r>
        <w:rPr>
          <w:rFonts w:hint="eastAsia"/>
          <w:color w:val="auto"/>
          <w:sz w:val="24"/>
          <w:highlight w:val="none"/>
          <w:lang w:val="en-US" w:eastAsia="zh-CN"/>
        </w:rPr>
        <w:t xml:space="preserve">附图11：项目与云南省生态功能区划位置关系图； </w:t>
      </w:r>
    </w:p>
    <w:p>
      <w:pPr>
        <w:autoSpaceDE w:val="0"/>
        <w:autoSpaceDN w:val="0"/>
        <w:adjustRightInd w:val="0"/>
        <w:snapToGrid w:val="0"/>
        <w:spacing w:line="360" w:lineRule="auto"/>
        <w:ind w:firstLine="480" w:firstLineChars="200"/>
        <w:jc w:val="left"/>
        <w:rPr>
          <w:rFonts w:hint="eastAsia"/>
          <w:color w:val="auto"/>
          <w:sz w:val="24"/>
          <w:highlight w:val="none"/>
          <w:lang w:val="en-US" w:eastAsia="zh-CN"/>
        </w:rPr>
      </w:pPr>
      <w:r>
        <w:rPr>
          <w:rFonts w:hint="eastAsia"/>
          <w:color w:val="auto"/>
          <w:sz w:val="24"/>
          <w:highlight w:val="none"/>
          <w:lang w:val="en-US" w:eastAsia="zh-CN"/>
        </w:rPr>
        <w:t>附图12：项目生态影响评价范围土地利用现状图；</w:t>
      </w:r>
    </w:p>
    <w:p>
      <w:pPr>
        <w:autoSpaceDE w:val="0"/>
        <w:autoSpaceDN w:val="0"/>
        <w:adjustRightInd w:val="0"/>
        <w:snapToGrid w:val="0"/>
        <w:spacing w:line="360" w:lineRule="auto"/>
        <w:ind w:firstLine="480" w:firstLineChars="200"/>
        <w:jc w:val="left"/>
        <w:rPr>
          <w:rFonts w:hint="default"/>
          <w:color w:val="auto"/>
          <w:sz w:val="24"/>
          <w:highlight w:val="none"/>
          <w:lang w:val="en-US" w:eastAsia="zh-CN"/>
        </w:rPr>
        <w:sectPr>
          <w:headerReference r:id="rId3" w:type="default"/>
          <w:footerReference r:id="rId4" w:type="default"/>
          <w:pgSz w:w="11906" w:h="16838"/>
          <w:pgMar w:top="1418" w:right="1418" w:bottom="1418" w:left="2155" w:header="992" w:footer="992" w:gutter="0"/>
          <w:pgBorders>
            <w:top w:val="none" w:sz="0" w:space="0"/>
            <w:left w:val="none" w:sz="0" w:space="0"/>
            <w:bottom w:val="none" w:sz="0" w:space="0"/>
            <w:right w:val="none" w:sz="0" w:space="0"/>
          </w:pgBorders>
          <w:pgNumType w:fmt="upperRoman" w:start="1"/>
          <w:cols w:space="425" w:num="1"/>
          <w:docGrid w:linePitch="312" w:charSpace="0"/>
        </w:sectPr>
      </w:pPr>
      <w:r>
        <w:rPr>
          <w:rFonts w:hint="eastAsia"/>
          <w:color w:val="auto"/>
          <w:sz w:val="24"/>
          <w:highlight w:val="none"/>
          <w:lang w:val="en-US" w:eastAsia="zh-CN"/>
        </w:rPr>
        <w:t>附图13：项目生态影响评价范围植被类型图；</w:t>
      </w:r>
    </w:p>
    <w:p>
      <w:pPr>
        <w:autoSpaceDE w:val="0"/>
        <w:autoSpaceDN w:val="0"/>
        <w:spacing w:line="360" w:lineRule="auto"/>
        <w:jc w:val="center"/>
        <w:outlineLvl w:val="0"/>
        <w:rPr>
          <w:b/>
          <w:bCs/>
          <w:color w:val="auto"/>
          <w:sz w:val="32"/>
          <w:szCs w:val="32"/>
          <w:highlight w:val="none"/>
        </w:rPr>
      </w:pPr>
      <w:bookmarkStart w:id="3" w:name="_Toc75908579"/>
      <w:bookmarkStart w:id="4" w:name="_Toc27133"/>
      <w:r>
        <w:rPr>
          <w:b/>
          <w:bCs/>
          <w:color w:val="auto"/>
          <w:sz w:val="32"/>
          <w:szCs w:val="32"/>
          <w:highlight w:val="none"/>
        </w:rPr>
        <w:t>概述</w:t>
      </w:r>
      <w:bookmarkEnd w:id="3"/>
      <w:bookmarkEnd w:id="4"/>
    </w:p>
    <w:p>
      <w:pPr>
        <w:autoSpaceDE w:val="0"/>
        <w:autoSpaceDN w:val="0"/>
        <w:spacing w:line="360" w:lineRule="auto"/>
        <w:rPr>
          <w:b/>
          <w:bCs/>
          <w:color w:val="auto"/>
          <w:sz w:val="24"/>
          <w:highlight w:val="none"/>
        </w:rPr>
      </w:pPr>
      <w:bookmarkStart w:id="5" w:name="_Toc532819537"/>
      <w:bookmarkStart w:id="6" w:name="_Toc503157649"/>
      <w:bookmarkStart w:id="7" w:name="_Toc532992639"/>
      <w:bookmarkStart w:id="8" w:name="_Toc501599587"/>
      <w:bookmarkStart w:id="9" w:name="_Toc534057483"/>
      <w:bookmarkStart w:id="10" w:name="_Toc501531286"/>
      <w:bookmarkStart w:id="11" w:name="_Toc513947161"/>
      <w:bookmarkStart w:id="12" w:name="_Toc15929812"/>
      <w:bookmarkStart w:id="13" w:name="_Toc22913330"/>
      <w:bookmarkStart w:id="14" w:name="_Toc16495651"/>
      <w:bookmarkStart w:id="15" w:name="_Toc16785077"/>
      <w:bookmarkStart w:id="16" w:name="_Toc75908580"/>
      <w:r>
        <w:rPr>
          <w:b/>
          <w:bCs/>
          <w:color w:val="auto"/>
          <w:sz w:val="24"/>
          <w:highlight w:val="none"/>
        </w:rPr>
        <w:t>一、建设项目由来</w:t>
      </w:r>
      <w:bookmarkEnd w:id="5"/>
      <w:bookmarkEnd w:id="6"/>
      <w:bookmarkEnd w:id="7"/>
      <w:bookmarkEnd w:id="8"/>
      <w:bookmarkEnd w:id="9"/>
      <w:bookmarkEnd w:id="10"/>
      <w:bookmarkEnd w:id="11"/>
      <w:bookmarkEnd w:id="12"/>
      <w:bookmarkEnd w:id="13"/>
      <w:bookmarkEnd w:id="14"/>
      <w:bookmarkEnd w:id="15"/>
      <w:r>
        <w:rPr>
          <w:b/>
          <w:bCs/>
          <w:color w:val="auto"/>
          <w:sz w:val="24"/>
          <w:highlight w:val="none"/>
        </w:rPr>
        <w:t>及特点</w:t>
      </w:r>
      <w:bookmarkEnd w:id="16"/>
    </w:p>
    <w:p>
      <w:pPr>
        <w:autoSpaceDE w:val="0"/>
        <w:autoSpaceDN w:val="0"/>
        <w:spacing w:line="360" w:lineRule="auto"/>
        <w:rPr>
          <w:b/>
          <w:bCs/>
          <w:color w:val="auto"/>
          <w:sz w:val="24"/>
          <w:highlight w:val="none"/>
        </w:rPr>
      </w:pPr>
      <w:r>
        <w:rPr>
          <w:b/>
          <w:bCs/>
          <w:color w:val="auto"/>
          <w:sz w:val="24"/>
          <w:highlight w:val="none"/>
        </w:rPr>
        <w:t>1、建设项目由来</w:t>
      </w:r>
    </w:p>
    <w:p>
      <w:pPr>
        <w:autoSpaceDE w:val="0"/>
        <w:autoSpaceDN w:val="0"/>
        <w:spacing w:line="360" w:lineRule="auto"/>
        <w:ind w:firstLine="480" w:firstLineChars="200"/>
        <w:rPr>
          <w:rFonts w:hint="eastAsia"/>
          <w:color w:val="auto"/>
          <w:sz w:val="24"/>
          <w:highlight w:val="none"/>
        </w:rPr>
      </w:pPr>
      <w:r>
        <w:rPr>
          <w:rFonts w:hint="eastAsia"/>
          <w:color w:val="auto"/>
          <w:sz w:val="24"/>
          <w:highlight w:val="none"/>
        </w:rPr>
        <w:t>塑料制品是采用塑料为主要原料加工而成的生活用品、工业用品的统称</w:t>
      </w:r>
      <w:r>
        <w:rPr>
          <w:rFonts w:hint="eastAsia"/>
          <w:color w:val="auto"/>
          <w:sz w:val="24"/>
          <w:highlight w:val="none"/>
          <w:lang w:eastAsia="zh-CN"/>
        </w:rPr>
        <w:t>，</w:t>
      </w:r>
      <w:r>
        <w:rPr>
          <w:rFonts w:hint="eastAsia"/>
          <w:color w:val="auto"/>
          <w:sz w:val="24"/>
          <w:highlight w:val="none"/>
        </w:rPr>
        <w:t>包括塑料为原料的所有注塑、吹塑等工艺制品。塑料是一类具有可塑性的高分子材料，与合成树胶合成纤维形成了当今日常生活不可缺少的三大合成材料。随着我国经济飞速猛进的发展以及政府对经济刺激计划的实施和落实，为塑料制品行业发展提供了新的广阔天地。</w:t>
      </w:r>
      <w:r>
        <w:rPr>
          <w:rFonts w:hint="eastAsia"/>
          <w:color w:val="auto"/>
          <w:sz w:val="24"/>
          <w:highlight w:val="none"/>
          <w:lang w:val="en-US" w:eastAsia="zh-CN"/>
        </w:rPr>
        <w:t>寻甸县</w:t>
      </w:r>
      <w:r>
        <w:rPr>
          <w:rFonts w:hint="eastAsia"/>
          <w:color w:val="auto"/>
          <w:sz w:val="24"/>
          <w:highlight w:val="none"/>
        </w:rPr>
        <w:t>种植的</w:t>
      </w:r>
      <w:r>
        <w:rPr>
          <w:rFonts w:hint="eastAsia"/>
          <w:color w:val="auto"/>
          <w:sz w:val="24"/>
          <w:highlight w:val="none"/>
          <w:lang w:val="en-US" w:eastAsia="zh-CN"/>
        </w:rPr>
        <w:t>蔬菜种</w:t>
      </w:r>
      <w:r>
        <w:rPr>
          <w:rFonts w:hint="eastAsia"/>
          <w:color w:val="auto"/>
          <w:sz w:val="24"/>
          <w:highlight w:val="none"/>
        </w:rPr>
        <w:t>类主要为西红柿、黄瓜、</w:t>
      </w:r>
      <w:r>
        <w:rPr>
          <w:rFonts w:hint="eastAsia"/>
          <w:color w:val="auto"/>
          <w:sz w:val="24"/>
          <w:highlight w:val="none"/>
          <w:lang w:val="en-US" w:eastAsia="zh-CN"/>
        </w:rPr>
        <w:t>白菜、茄子</w:t>
      </w:r>
      <w:r>
        <w:rPr>
          <w:rFonts w:hint="eastAsia"/>
          <w:color w:val="auto"/>
          <w:sz w:val="24"/>
          <w:highlight w:val="none"/>
        </w:rPr>
        <w:t>等，是</w:t>
      </w:r>
      <w:r>
        <w:rPr>
          <w:rFonts w:hint="eastAsia"/>
          <w:color w:val="auto"/>
          <w:sz w:val="24"/>
          <w:highlight w:val="none"/>
          <w:lang w:val="en-US" w:eastAsia="zh-CN"/>
        </w:rPr>
        <w:t>蔬菜品</w:t>
      </w:r>
      <w:r>
        <w:rPr>
          <w:rFonts w:hint="eastAsia"/>
          <w:color w:val="auto"/>
          <w:sz w:val="24"/>
          <w:highlight w:val="none"/>
        </w:rPr>
        <w:t>的集散地，每年当地收购的</w:t>
      </w:r>
      <w:r>
        <w:rPr>
          <w:rFonts w:hint="eastAsia"/>
          <w:color w:val="auto"/>
          <w:sz w:val="24"/>
          <w:highlight w:val="none"/>
          <w:lang w:val="en-US" w:eastAsia="zh-CN"/>
        </w:rPr>
        <w:t>蔬菜</w:t>
      </w:r>
      <w:r>
        <w:rPr>
          <w:rFonts w:hint="eastAsia"/>
          <w:color w:val="auto"/>
          <w:sz w:val="24"/>
          <w:highlight w:val="none"/>
        </w:rPr>
        <w:t>都源</w:t>
      </w:r>
      <w:r>
        <w:rPr>
          <w:rFonts w:hint="eastAsia"/>
          <w:color w:val="auto"/>
          <w:sz w:val="24"/>
          <w:highlight w:val="none"/>
          <w:lang w:val="en-US" w:eastAsia="zh-CN"/>
        </w:rPr>
        <w:t>源</w:t>
      </w:r>
      <w:r>
        <w:rPr>
          <w:rFonts w:hint="eastAsia"/>
          <w:color w:val="auto"/>
          <w:sz w:val="24"/>
          <w:highlight w:val="none"/>
        </w:rPr>
        <w:t>不断地输向外地市场，在收购、销售</w:t>
      </w:r>
      <w:r>
        <w:rPr>
          <w:rFonts w:hint="eastAsia"/>
          <w:color w:val="auto"/>
          <w:sz w:val="24"/>
          <w:highlight w:val="none"/>
          <w:lang w:val="en-US" w:eastAsia="zh-CN"/>
        </w:rPr>
        <w:t>蔬菜</w:t>
      </w:r>
      <w:r>
        <w:rPr>
          <w:rFonts w:hint="eastAsia"/>
          <w:color w:val="auto"/>
          <w:sz w:val="24"/>
          <w:highlight w:val="none"/>
        </w:rPr>
        <w:t>过程中需要使用大量的塑料</w:t>
      </w:r>
      <w:r>
        <w:rPr>
          <w:rFonts w:hint="eastAsia"/>
          <w:color w:val="auto"/>
          <w:sz w:val="24"/>
          <w:highlight w:val="none"/>
          <w:lang w:val="en-US" w:eastAsia="zh-CN"/>
        </w:rPr>
        <w:t>框</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lang w:val="en-US" w:eastAsia="zh-CN"/>
        </w:rPr>
        <w:t>寻甸县蜀滇塑料制品经营部</w:t>
      </w:r>
      <w:r>
        <w:rPr>
          <w:rFonts w:hint="eastAsia"/>
          <w:color w:val="auto"/>
          <w:sz w:val="24"/>
          <w:highlight w:val="none"/>
        </w:rPr>
        <w:t>(以下简称“建设单位”)于20</w:t>
      </w:r>
      <w:r>
        <w:rPr>
          <w:rFonts w:hint="eastAsia"/>
          <w:color w:val="auto"/>
          <w:sz w:val="24"/>
          <w:highlight w:val="none"/>
          <w:lang w:val="en-US" w:eastAsia="zh-CN"/>
        </w:rPr>
        <w:t>23</w:t>
      </w:r>
      <w:r>
        <w:rPr>
          <w:rFonts w:hint="eastAsia"/>
          <w:color w:val="auto"/>
          <w:sz w:val="24"/>
          <w:highlight w:val="none"/>
        </w:rPr>
        <w:t>年</w:t>
      </w:r>
      <w:r>
        <w:rPr>
          <w:rFonts w:hint="eastAsia"/>
          <w:color w:val="auto"/>
          <w:sz w:val="24"/>
          <w:highlight w:val="none"/>
          <w:lang w:val="en-US" w:eastAsia="zh-CN"/>
        </w:rPr>
        <w:t>10</w:t>
      </w:r>
      <w:r>
        <w:rPr>
          <w:rFonts w:hint="eastAsia"/>
          <w:color w:val="auto"/>
          <w:sz w:val="24"/>
          <w:highlight w:val="none"/>
        </w:rPr>
        <w:t>月1</w:t>
      </w:r>
      <w:r>
        <w:rPr>
          <w:rFonts w:hint="eastAsia"/>
          <w:color w:val="auto"/>
          <w:sz w:val="24"/>
          <w:highlight w:val="none"/>
          <w:lang w:val="en-US" w:eastAsia="zh-CN"/>
        </w:rPr>
        <w:t>3</w:t>
      </w:r>
      <w:r>
        <w:rPr>
          <w:rFonts w:hint="eastAsia"/>
          <w:color w:val="auto"/>
          <w:sz w:val="24"/>
          <w:highlight w:val="none"/>
        </w:rPr>
        <w:t>日注册成立，计划在</w:t>
      </w:r>
      <w:r>
        <w:rPr>
          <w:rFonts w:hint="eastAsia"/>
          <w:color w:val="auto"/>
          <w:sz w:val="24"/>
          <w:highlight w:val="none"/>
          <w:lang w:val="en-US" w:eastAsia="zh-CN"/>
        </w:rPr>
        <w:t>寻甸</w:t>
      </w:r>
      <w:r>
        <w:rPr>
          <w:rFonts w:hint="eastAsia"/>
          <w:color w:val="auto"/>
          <w:sz w:val="24"/>
          <w:highlight w:val="none"/>
        </w:rPr>
        <w:t>开展“</w:t>
      </w:r>
      <w:r>
        <w:rPr>
          <w:rFonts w:hint="eastAsia"/>
          <w:color w:val="auto"/>
          <w:sz w:val="24"/>
          <w:highlight w:val="none"/>
          <w:lang w:val="en-US" w:eastAsia="zh-CN"/>
        </w:rPr>
        <w:t>寻甸县蜀滇塑料制品经营部蔬菜框生产</w:t>
      </w:r>
      <w:r>
        <w:rPr>
          <w:rFonts w:hint="eastAsia"/>
          <w:color w:val="auto"/>
          <w:sz w:val="24"/>
          <w:highlight w:val="none"/>
        </w:rPr>
        <w:t>项目”，项目位于</w:t>
      </w:r>
      <w:r>
        <w:rPr>
          <w:rFonts w:hint="eastAsia"/>
          <w:color w:val="auto"/>
          <w:sz w:val="24"/>
          <w:highlight w:val="none"/>
          <w:lang w:val="en-US" w:eastAsia="zh-CN"/>
        </w:rPr>
        <w:t>寻甸县仁德街道建设社区三月三村，租用昆明市寻甸县仁德街道建设社区三月三原铸造厂的厂房，</w:t>
      </w:r>
      <w:r>
        <w:rPr>
          <w:rFonts w:hint="eastAsia"/>
          <w:color w:val="auto"/>
          <w:sz w:val="24"/>
          <w:highlight w:val="none"/>
        </w:rPr>
        <w:t>建设性质为新建</w:t>
      </w:r>
      <w:r>
        <w:rPr>
          <w:rFonts w:hint="eastAsia"/>
          <w:color w:val="auto"/>
          <w:sz w:val="24"/>
          <w:highlight w:val="none"/>
          <w:lang w:eastAsia="zh-CN"/>
        </w:rPr>
        <w:t>。</w:t>
      </w:r>
      <w:r>
        <w:rPr>
          <w:rFonts w:hint="eastAsia"/>
          <w:color w:val="auto"/>
          <w:sz w:val="24"/>
          <w:highlight w:val="none"/>
          <w:lang w:val="en-US" w:eastAsia="zh-CN"/>
        </w:rPr>
        <w:t>寻甸县三月三铸造厂因经营不善关闭后，将厂房及土地使用权转让给个人苏成章，2015年2月17日通过苏成章将原三月三铸造厂厂房及土地使用权转让给王文富永久使用，建设单位从王文富手中租用原三月三铸造厂厂房进行生产，</w:t>
      </w:r>
      <w:r>
        <w:rPr>
          <w:rFonts w:hint="eastAsia"/>
          <w:color w:val="auto"/>
          <w:sz w:val="24"/>
          <w:highlight w:val="none"/>
        </w:rPr>
        <w:t>项目占地面积约</w:t>
      </w:r>
      <w:r>
        <w:rPr>
          <w:rFonts w:hint="eastAsia"/>
          <w:color w:val="auto"/>
          <w:sz w:val="24"/>
          <w:highlight w:val="none"/>
          <w:lang w:val="en-US" w:eastAsia="zh-CN"/>
        </w:rPr>
        <w:t>1994.56平方米</w:t>
      </w:r>
      <w:r>
        <w:rPr>
          <w:rFonts w:hint="eastAsia"/>
          <w:color w:val="auto"/>
          <w:sz w:val="24"/>
          <w:highlight w:val="none"/>
        </w:rPr>
        <w:t>，用地性质为工业用地</w:t>
      </w:r>
      <w:r>
        <w:rPr>
          <w:rFonts w:hint="eastAsia"/>
          <w:color w:val="auto"/>
          <w:sz w:val="24"/>
          <w:highlight w:val="none"/>
          <w:lang w:eastAsia="zh-CN"/>
        </w:rPr>
        <w:t>，</w:t>
      </w:r>
      <w:r>
        <w:rPr>
          <w:rFonts w:hint="eastAsia"/>
          <w:color w:val="auto"/>
          <w:sz w:val="24"/>
          <w:highlight w:val="none"/>
        </w:rPr>
        <w:t>总投资</w:t>
      </w:r>
      <w:r>
        <w:rPr>
          <w:rFonts w:hint="eastAsia"/>
          <w:color w:val="auto"/>
          <w:sz w:val="24"/>
          <w:highlight w:val="none"/>
          <w:lang w:val="en-US" w:eastAsia="zh-CN"/>
        </w:rPr>
        <w:t>500</w:t>
      </w:r>
      <w:r>
        <w:rPr>
          <w:rFonts w:hint="eastAsia"/>
          <w:color w:val="auto"/>
          <w:sz w:val="24"/>
          <w:highlight w:val="none"/>
        </w:rPr>
        <w:t>万元</w:t>
      </w:r>
      <w:r>
        <w:rPr>
          <w:rFonts w:hint="eastAsia"/>
          <w:color w:val="auto"/>
          <w:sz w:val="24"/>
          <w:highlight w:val="none"/>
          <w:lang w:eastAsia="zh-CN"/>
        </w:rPr>
        <w:t>，</w:t>
      </w:r>
      <w:r>
        <w:rPr>
          <w:rFonts w:hint="eastAsia"/>
          <w:color w:val="auto"/>
          <w:sz w:val="24"/>
          <w:highlight w:val="none"/>
        </w:rPr>
        <w:t>建设</w:t>
      </w:r>
      <w:r>
        <w:rPr>
          <w:rFonts w:hint="eastAsia"/>
          <w:color w:val="auto"/>
          <w:sz w:val="24"/>
          <w:highlight w:val="none"/>
          <w:lang w:val="en-US" w:eastAsia="zh-CN"/>
        </w:rPr>
        <w:t>蔬菜框</w:t>
      </w:r>
      <w:r>
        <w:rPr>
          <w:rFonts w:hint="eastAsia"/>
          <w:color w:val="auto"/>
          <w:sz w:val="24"/>
          <w:highlight w:val="none"/>
        </w:rPr>
        <w:t>生产线，建成后年产</w:t>
      </w:r>
      <w:r>
        <w:rPr>
          <w:rFonts w:hint="eastAsia"/>
          <w:color w:val="auto"/>
          <w:sz w:val="24"/>
          <w:highlight w:val="none"/>
          <w:lang w:val="en-US" w:eastAsia="zh-CN"/>
        </w:rPr>
        <w:t>50</w:t>
      </w:r>
      <w:r>
        <w:rPr>
          <w:rFonts w:hint="eastAsia"/>
          <w:color w:val="auto"/>
          <w:sz w:val="24"/>
          <w:highlight w:val="none"/>
        </w:rPr>
        <w:t>万</w:t>
      </w:r>
      <w:r>
        <w:rPr>
          <w:rFonts w:hint="eastAsia"/>
          <w:color w:val="auto"/>
          <w:sz w:val="24"/>
          <w:highlight w:val="none"/>
          <w:lang w:val="en-US" w:eastAsia="zh-CN"/>
        </w:rPr>
        <w:t>只蔬菜框</w:t>
      </w:r>
      <w:r>
        <w:rPr>
          <w:rFonts w:hint="eastAsia"/>
          <w:color w:val="auto"/>
          <w:sz w:val="24"/>
          <w:highlight w:val="none"/>
        </w:rPr>
        <w:t>。</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根据《中共昆明市委 昆明市人民政府关于加快开发区及产业园区高质量发展的意见》（昆发[2021]12号）第二十四条“对达不到入园条件的标准的农副产品加工、一般加工制造类项目或预拌混凝土搅拌站等不宜入园的特殊行业，须经所在地县（市）区政府/开发区管委会审核同意并报市工高办备案后方可办理其他有关审批手续”和《昆明市生态环境局关于印发《服务经济社会发展 助推项目建设的若干措施》的通知第四条“对达不到入园条件和标准的农副产品加工、一般加工制造类项目或预拌混凝土搅拌站等不宜入园的特殊行业建设项目，按照经济主管部门投资备案及立项意见，开展项目环评审批”。因此，该项目可不入园发展，项目已于</w:t>
      </w:r>
      <w:r>
        <w:rPr>
          <w:rFonts w:hint="eastAsia"/>
          <w:color w:val="auto"/>
          <w:sz w:val="24"/>
          <w:highlight w:val="none"/>
        </w:rPr>
        <w:t>2023年</w:t>
      </w:r>
      <w:r>
        <w:rPr>
          <w:rFonts w:hint="eastAsia"/>
          <w:color w:val="auto"/>
          <w:sz w:val="24"/>
          <w:highlight w:val="none"/>
          <w:lang w:val="en-US" w:eastAsia="zh-CN"/>
        </w:rPr>
        <w:t>11</w:t>
      </w:r>
      <w:r>
        <w:rPr>
          <w:rFonts w:hint="eastAsia"/>
          <w:color w:val="auto"/>
          <w:sz w:val="24"/>
          <w:highlight w:val="none"/>
        </w:rPr>
        <w:t>月</w:t>
      </w:r>
      <w:r>
        <w:rPr>
          <w:rFonts w:hint="eastAsia"/>
          <w:color w:val="auto"/>
          <w:sz w:val="24"/>
          <w:highlight w:val="none"/>
          <w:lang w:val="en-US" w:eastAsia="zh-CN"/>
        </w:rPr>
        <w:t>1</w:t>
      </w:r>
      <w:r>
        <w:rPr>
          <w:rFonts w:hint="eastAsia"/>
          <w:color w:val="auto"/>
          <w:sz w:val="24"/>
          <w:highlight w:val="none"/>
        </w:rPr>
        <w:t>6日取得了</w:t>
      </w:r>
      <w:r>
        <w:rPr>
          <w:rFonts w:hint="eastAsia"/>
          <w:color w:val="auto"/>
          <w:sz w:val="24"/>
          <w:highlight w:val="none"/>
          <w:lang w:val="en-US" w:eastAsia="zh-CN"/>
        </w:rPr>
        <w:t>寻甸回族彝族自治县</w:t>
      </w:r>
      <w:r>
        <w:rPr>
          <w:rFonts w:hint="eastAsia"/>
          <w:color w:val="auto"/>
          <w:sz w:val="24"/>
          <w:highlight w:val="none"/>
        </w:rPr>
        <w:t>发展和改革局《云南省固定资产投资项目备案证》(项目代码</w:t>
      </w:r>
      <w:r>
        <w:rPr>
          <w:rFonts w:hint="eastAsia"/>
          <w:color w:val="auto"/>
          <w:sz w:val="24"/>
          <w:highlight w:val="none"/>
          <w:lang w:val="en-US" w:eastAsia="zh-CN"/>
        </w:rPr>
        <w:t>2311-530129-04-01-845291），正在依法办理环评手续。</w:t>
      </w:r>
    </w:p>
    <w:p>
      <w:pPr>
        <w:spacing w:line="360" w:lineRule="auto"/>
        <w:ind w:firstLine="480" w:firstLineChars="200"/>
        <w:rPr>
          <w:rFonts w:hint="default" w:eastAsia="宋体"/>
          <w:color w:val="auto"/>
          <w:sz w:val="24"/>
          <w:highlight w:val="none"/>
          <w:lang w:val="en-US" w:eastAsia="zh-CN"/>
        </w:rPr>
      </w:pPr>
      <w:r>
        <w:rPr>
          <w:color w:val="auto"/>
          <w:sz w:val="24"/>
          <w:highlight w:val="none"/>
        </w:rPr>
        <w:t>根据《中华人民共和国环境保护法》（2015年1月1日起实施）、《中华人民共和国环境影响评价法》（2018年12月29日修正），以及《建设项目环境保护管理条例》（中华人民共和国国务院令第682号）等有关条款规定，本项目需进行环境影响评价。根据GB/T 4754-2017《国民经济行业分类》国家标准第1号修改单，项目属于“C292</w:t>
      </w:r>
      <w:r>
        <w:rPr>
          <w:rFonts w:hint="eastAsia"/>
          <w:color w:val="auto"/>
          <w:sz w:val="24"/>
          <w:highlight w:val="none"/>
          <w:lang w:val="en-US" w:eastAsia="zh-CN"/>
        </w:rPr>
        <w:t>6塑料包装箱及容器制造</w:t>
      </w:r>
      <w:r>
        <w:rPr>
          <w:color w:val="auto"/>
          <w:sz w:val="24"/>
          <w:highlight w:val="none"/>
        </w:rPr>
        <w:t>”，根据《建设项目环境影响评价分类管理名录（2021年版）》（2021年1月1日施行）</w:t>
      </w:r>
      <w:r>
        <w:rPr>
          <w:rFonts w:hint="eastAsia"/>
          <w:color w:val="auto"/>
          <w:sz w:val="24"/>
          <w:highlight w:val="none"/>
          <w:lang w:val="en-US" w:eastAsia="zh-CN"/>
        </w:rPr>
        <w:t>中有关规定</w:t>
      </w:r>
      <w:r>
        <w:rPr>
          <w:color w:val="auto"/>
          <w:sz w:val="24"/>
          <w:highlight w:val="none"/>
        </w:rPr>
        <w:t>，</w:t>
      </w:r>
      <w:r>
        <w:rPr>
          <w:rFonts w:hint="eastAsia"/>
          <w:color w:val="auto"/>
          <w:sz w:val="24"/>
          <w:highlight w:val="none"/>
          <w:lang w:val="en-US" w:eastAsia="zh-CN"/>
        </w:rPr>
        <w:t>项目塑料框生产过程中使用一部分再生塑料颗粒为原料，属于</w:t>
      </w:r>
      <w:r>
        <w:rPr>
          <w:color w:val="auto"/>
          <w:sz w:val="24"/>
          <w:highlight w:val="none"/>
        </w:rPr>
        <w:t>“二十六、橡胶和塑料制品业29”中“53塑料制品业292”中“以再生塑料为原料生产的”，应编制环境影响报告书，以便对项目建设的环境影响做出分析和评价，论证该项目实施的环境可行性，并提出有效的污染防治和生态保护措施以及风险预防措施等。</w:t>
      </w:r>
      <w:r>
        <w:rPr>
          <w:rFonts w:hint="eastAsia"/>
          <w:color w:val="auto"/>
          <w:sz w:val="24"/>
          <w:highlight w:val="none"/>
          <w:lang w:val="en-US" w:eastAsia="zh-CN"/>
        </w:rPr>
        <w:t>为此，寻甸县蜀滇塑料制品经营部委托云南清蓝源环保科技有限公司（以下简称“我单位”）对项目进行环境影响报告书的编制工作，我公司接受委托后，进行了现场踏勘和资料收集等工作，依据相关法律法规及环评技术导则，编制了《寻甸县蜀滇塑料制品经营部蔬菜框生产</w:t>
      </w:r>
      <w:r>
        <w:rPr>
          <w:rFonts w:hint="eastAsia"/>
          <w:color w:val="auto"/>
          <w:sz w:val="24"/>
          <w:highlight w:val="none"/>
        </w:rPr>
        <w:t>项目</w:t>
      </w:r>
      <w:r>
        <w:rPr>
          <w:rFonts w:hint="eastAsia"/>
          <w:color w:val="auto"/>
          <w:sz w:val="24"/>
          <w:highlight w:val="none"/>
          <w:lang w:val="en-US" w:eastAsia="zh-CN"/>
        </w:rPr>
        <w:t>环境影响报告书》，并根据相关要求进行了现场公示、送审前公示、登报公示等工作，以供建设单位报管理部分，作为项目环境管理的依据。</w:t>
      </w:r>
    </w:p>
    <w:p>
      <w:pPr>
        <w:pStyle w:val="23"/>
        <w:spacing w:after="0" w:line="360" w:lineRule="auto"/>
        <w:ind w:left="0" w:leftChars="0"/>
        <w:rPr>
          <w:b/>
          <w:bCs/>
          <w:color w:val="auto"/>
          <w:sz w:val="24"/>
          <w:highlight w:val="none"/>
        </w:rPr>
      </w:pPr>
      <w:bookmarkStart w:id="17" w:name="_Toc16495654"/>
      <w:bookmarkStart w:id="18" w:name="_Toc16785080"/>
      <w:bookmarkStart w:id="19" w:name="_Toc22913333"/>
      <w:bookmarkStart w:id="20" w:name="_Toc15929815"/>
      <w:r>
        <w:rPr>
          <w:b/>
          <w:bCs/>
          <w:color w:val="auto"/>
          <w:sz w:val="24"/>
          <w:highlight w:val="none"/>
        </w:rPr>
        <w:t>2、建设项目特点</w:t>
      </w:r>
    </w:p>
    <w:bookmarkEnd w:id="17"/>
    <w:bookmarkEnd w:id="18"/>
    <w:bookmarkEnd w:id="19"/>
    <w:bookmarkEnd w:id="20"/>
    <w:p>
      <w:pPr>
        <w:pStyle w:val="23"/>
        <w:spacing w:after="0" w:line="360" w:lineRule="auto"/>
        <w:ind w:left="0" w:leftChars="0" w:firstLine="480" w:firstLineChars="200"/>
        <w:rPr>
          <w:color w:val="auto"/>
          <w:sz w:val="24"/>
          <w:highlight w:val="none"/>
        </w:rPr>
      </w:pPr>
      <w:r>
        <w:rPr>
          <w:color w:val="auto"/>
          <w:sz w:val="24"/>
          <w:highlight w:val="none"/>
        </w:rPr>
        <w:t>（1）项目</w:t>
      </w:r>
      <w:r>
        <w:rPr>
          <w:rFonts w:hint="eastAsia"/>
          <w:color w:val="auto"/>
          <w:sz w:val="24"/>
          <w:highlight w:val="none"/>
          <w:lang w:val="en-US" w:eastAsia="zh-CN"/>
        </w:rPr>
        <w:t>使用一部分再生塑料颗粒作为原料生产蔬菜框，实现了资源再生循环利用，具有极其重要的意义</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（2）项目</w:t>
      </w:r>
      <w:r>
        <w:rPr>
          <w:rFonts w:hint="eastAsia"/>
          <w:color w:val="auto"/>
          <w:sz w:val="24"/>
          <w:highlight w:val="none"/>
          <w:lang w:val="en-US" w:eastAsia="zh-CN"/>
        </w:rPr>
        <w:t>生产塑料框所用原料为聚丙烯塑料颗粒（再</w:t>
      </w:r>
      <w:r>
        <w:rPr>
          <w:rFonts w:hint="eastAsia" w:ascii="Times New Roman" w:hAnsi="Times New Roman" w:eastAsia="宋体" w:cs="Times New Roman"/>
          <w:color w:val="auto"/>
          <w:kern w:val="0"/>
          <w:sz w:val="24"/>
          <w:szCs w:val="20"/>
          <w:highlight w:val="none"/>
          <w:lang w:val="en-US" w:eastAsia="zh-CN" w:bidi="ar-SA"/>
        </w:rPr>
        <w:t>生料、新料），项目不使用含</w:t>
      </w:r>
      <w:r>
        <w:rPr>
          <w:rFonts w:hint="default" w:ascii="Times New Roman" w:hAnsi="Times New Roman" w:eastAsia="宋体" w:cs="Times New Roman"/>
          <w:color w:val="auto"/>
          <w:kern w:val="0"/>
          <w:sz w:val="24"/>
          <w:szCs w:val="20"/>
          <w:highlight w:val="none"/>
          <w:lang w:val="en-US" w:eastAsia="zh-CN" w:bidi="ar-SA"/>
        </w:rPr>
        <w:t>氯化物、氟化物等烯烃类塑料，项目不涉及医疗废物和危险废物的废旧塑料，不涉及有毒有害原材料，原料主要</w:t>
      </w:r>
      <w:r>
        <w:rPr>
          <w:rFonts w:hint="eastAsia" w:cs="Times New Roman"/>
          <w:color w:val="auto"/>
          <w:kern w:val="0"/>
          <w:sz w:val="24"/>
          <w:szCs w:val="20"/>
          <w:highlight w:val="none"/>
          <w:lang w:val="en-US" w:eastAsia="zh-CN" w:bidi="ar-SA"/>
        </w:rPr>
        <w:t>来自</w:t>
      </w:r>
      <w:r>
        <w:rPr>
          <w:rFonts w:hint="default" w:ascii="Times New Roman" w:hAnsi="Times New Roman" w:eastAsia="宋体" w:cs="Times New Roman"/>
          <w:color w:val="auto"/>
          <w:kern w:val="0"/>
          <w:sz w:val="24"/>
          <w:szCs w:val="20"/>
          <w:highlight w:val="none"/>
          <w:lang w:val="en-US" w:eastAsia="zh-CN" w:bidi="ar-SA"/>
        </w:rPr>
        <w:t>周边地区市场提供。</w:t>
      </w:r>
    </w:p>
    <w:p>
      <w:pPr>
        <w:pStyle w:val="23"/>
        <w:spacing w:after="0" w:line="360" w:lineRule="auto"/>
        <w:ind w:left="0" w:leftChars="0" w:firstLine="540" w:firstLineChars="225"/>
        <w:rPr>
          <w:color w:val="auto"/>
          <w:sz w:val="24"/>
          <w:highlight w:val="none"/>
        </w:rPr>
      </w:pPr>
      <w:r>
        <w:rPr>
          <w:color w:val="auto"/>
          <w:sz w:val="24"/>
          <w:highlight w:val="none"/>
        </w:rPr>
        <w:t>（3）项目位于云南省昆明市</w:t>
      </w:r>
      <w:r>
        <w:rPr>
          <w:color w:val="auto"/>
          <w:sz w:val="24"/>
          <w:szCs w:val="24"/>
          <w:highlight w:val="none"/>
        </w:rPr>
        <w:t>寻甸</w:t>
      </w:r>
      <w:r>
        <w:rPr>
          <w:rFonts w:hint="eastAsia"/>
          <w:color w:val="auto"/>
          <w:sz w:val="24"/>
          <w:szCs w:val="24"/>
          <w:highlight w:val="none"/>
          <w:lang w:val="en-US" w:eastAsia="zh-CN"/>
        </w:rPr>
        <w:t>县三月三村</w:t>
      </w:r>
      <w:r>
        <w:rPr>
          <w:color w:val="auto"/>
          <w:sz w:val="24"/>
          <w:highlight w:val="none"/>
        </w:rPr>
        <w:t>，属于《云南省牛栏江保护条例》中的重点污染控制区，根据《云南省牛栏江保护条例》、《牛栏江流域（云南部分）水环境保护规划（2009~2030）》、《牛栏江流域（寻甸段）水环境保护规划（2011~2030）》，企业废水</w:t>
      </w:r>
      <w:r>
        <w:rPr>
          <w:rFonts w:hint="eastAsia"/>
          <w:color w:val="auto"/>
          <w:sz w:val="24"/>
          <w:highlight w:val="none"/>
          <w:lang w:val="en-US" w:eastAsia="zh-CN"/>
        </w:rPr>
        <w:t>不外排</w:t>
      </w:r>
      <w:r>
        <w:rPr>
          <w:color w:val="auto"/>
          <w:sz w:val="24"/>
          <w:highlight w:val="none"/>
        </w:rPr>
        <w:t>，因此工程不得设置排污口。</w:t>
      </w:r>
    </w:p>
    <w:p>
      <w:pPr>
        <w:pStyle w:val="23"/>
        <w:spacing w:after="0" w:line="360" w:lineRule="auto"/>
        <w:ind w:left="0" w:leftChars="0" w:firstLine="540" w:firstLineChars="225"/>
        <w:rPr>
          <w:color w:val="auto"/>
          <w:sz w:val="24"/>
          <w:highlight w:val="none"/>
        </w:rPr>
      </w:pPr>
      <w:r>
        <w:rPr>
          <w:color w:val="auto"/>
          <w:sz w:val="24"/>
          <w:highlight w:val="none"/>
        </w:rPr>
        <w:t>（4）项目主要环境影响以生产工艺废气（非甲烷总烃、颗粒物、臭气）为主。</w:t>
      </w:r>
    </w:p>
    <w:p>
      <w:pPr>
        <w:pStyle w:val="23"/>
        <w:spacing w:after="0" w:line="360" w:lineRule="auto"/>
        <w:ind w:left="0" w:leftChars="0"/>
        <w:rPr>
          <w:b/>
          <w:bCs/>
          <w:color w:val="auto"/>
          <w:sz w:val="24"/>
          <w:szCs w:val="24"/>
          <w:highlight w:val="none"/>
        </w:rPr>
      </w:pPr>
      <w:bookmarkStart w:id="21" w:name="_Toc15929813"/>
      <w:bookmarkStart w:id="22" w:name="_Toc367281402"/>
      <w:bookmarkStart w:id="23" w:name="_Toc75908581"/>
      <w:bookmarkStart w:id="24" w:name="_Toc22913331"/>
      <w:bookmarkStart w:id="25" w:name="_Toc532992640"/>
      <w:bookmarkStart w:id="26" w:name="_Toc503157650"/>
      <w:bookmarkStart w:id="27" w:name="_Toc534057484"/>
      <w:bookmarkStart w:id="28" w:name="_Toc513947162"/>
      <w:bookmarkStart w:id="29" w:name="_Toc16495652"/>
      <w:bookmarkStart w:id="30" w:name="_Toc16785078"/>
      <w:bookmarkStart w:id="31" w:name="_Toc344130199"/>
      <w:bookmarkStart w:id="32" w:name="_Toc501531287"/>
      <w:bookmarkStart w:id="33" w:name="_Toc532819538"/>
      <w:bookmarkStart w:id="34" w:name="_Toc501599588"/>
      <w:bookmarkStart w:id="35" w:name="_Toc325809537"/>
      <w:bookmarkStart w:id="36" w:name="_Toc367281985"/>
      <w:r>
        <w:rPr>
          <w:b/>
          <w:bCs/>
          <w:color w:val="auto"/>
          <w:sz w:val="24"/>
          <w:szCs w:val="24"/>
          <w:highlight w:val="none"/>
        </w:rPr>
        <w:t>二、环境影响评价工作过程</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spacing w:line="360" w:lineRule="auto"/>
        <w:ind w:firstLine="360" w:firstLineChars="150"/>
        <w:rPr>
          <w:color w:val="auto"/>
          <w:sz w:val="24"/>
          <w:highlight w:val="none"/>
        </w:rPr>
      </w:pPr>
      <w:r>
        <w:rPr>
          <w:color w:val="auto"/>
          <w:sz w:val="24"/>
          <w:highlight w:val="none"/>
        </w:rPr>
        <w:t>（1）环境影响评价工作过程</w:t>
      </w:r>
    </w:p>
    <w:p>
      <w:pPr>
        <w:pStyle w:val="21"/>
        <w:spacing w:after="0" w:line="360" w:lineRule="auto"/>
        <w:ind w:firstLine="480" w:firstLineChars="200"/>
        <w:rPr>
          <w:color w:val="auto"/>
          <w:sz w:val="24"/>
          <w:highlight w:val="none"/>
        </w:rPr>
      </w:pPr>
      <w:r>
        <w:rPr>
          <w:color w:val="auto"/>
          <w:sz w:val="24"/>
          <w:highlight w:val="none"/>
        </w:rPr>
        <w:t>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11</w:t>
      </w:r>
      <w:r>
        <w:rPr>
          <w:color w:val="auto"/>
          <w:sz w:val="24"/>
          <w:highlight w:val="none"/>
        </w:rPr>
        <w:t>月</w:t>
      </w:r>
      <w:r>
        <w:rPr>
          <w:rFonts w:hint="eastAsia"/>
          <w:color w:val="auto"/>
          <w:sz w:val="24"/>
          <w:highlight w:val="none"/>
          <w:lang w:val="en-US" w:eastAsia="zh-CN"/>
        </w:rPr>
        <w:t>27</w:t>
      </w:r>
      <w:r>
        <w:rPr>
          <w:color w:val="auto"/>
          <w:sz w:val="24"/>
          <w:highlight w:val="none"/>
        </w:rPr>
        <w:t>日，</w:t>
      </w:r>
      <w:r>
        <w:rPr>
          <w:rFonts w:hint="eastAsia"/>
          <w:color w:val="auto"/>
          <w:sz w:val="24"/>
          <w:highlight w:val="none"/>
          <w:lang w:val="en-US" w:eastAsia="zh-CN"/>
        </w:rPr>
        <w:t>寻甸县蜀滇塑料制品经营部</w:t>
      </w:r>
      <w:r>
        <w:rPr>
          <w:color w:val="auto"/>
          <w:sz w:val="24"/>
          <w:highlight w:val="none"/>
        </w:rPr>
        <w:t>（以下简称“建设单位”）委托我单位承担“</w:t>
      </w:r>
      <w:r>
        <w:rPr>
          <w:rFonts w:hint="eastAsia"/>
          <w:color w:val="auto"/>
          <w:sz w:val="24"/>
          <w:highlight w:val="none"/>
          <w:lang w:val="en-US" w:eastAsia="zh-CN"/>
        </w:rPr>
        <w:t>寻甸县蜀滇塑料制品经营部蔬菜框生产项目</w:t>
      </w:r>
      <w:r>
        <w:rPr>
          <w:color w:val="auto"/>
          <w:sz w:val="24"/>
          <w:highlight w:val="none"/>
        </w:rPr>
        <w:t>”环境影响报告书的编制工作。接受委托后，我单位组成了环评项目组，积极收集项目相关资料，在研究了相关技术文件和其他有关文件的基础上，制定了工作计划，于202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11</w:t>
      </w:r>
      <w:r>
        <w:rPr>
          <w:color w:val="auto"/>
          <w:sz w:val="24"/>
          <w:highlight w:val="none"/>
        </w:rPr>
        <w:t>月对项目区域进行了实地踏勘和资料调研工作，重点调查了项目区域的环境现状、项目周边的环境敏感目标（包括大气、地表水和声环境以及生态环境等）</w:t>
      </w:r>
      <w:r>
        <w:rPr>
          <w:color w:val="auto"/>
          <w:spacing w:val="8"/>
          <w:sz w:val="24"/>
          <w:highlight w:val="none"/>
        </w:rPr>
        <w:t>。</w:t>
      </w:r>
    </w:p>
    <w:p>
      <w:pPr>
        <w:pStyle w:val="525"/>
        <w:ind w:firstLine="508"/>
        <w:jc w:val="both"/>
        <w:rPr>
          <w:color w:val="auto"/>
          <w:spacing w:val="8"/>
          <w:highlight w:val="none"/>
        </w:rPr>
      </w:pPr>
      <w:r>
        <w:rPr>
          <w:bCs/>
          <w:color w:val="auto"/>
          <w:spacing w:val="14"/>
          <w:highlight w:val="none"/>
        </w:rPr>
        <w:t>根据国家生态环境部颁发的《环境影响评价公众参与办法》（2019年1月1日施行）的要求，建设单位</w:t>
      </w:r>
      <w:r>
        <w:rPr>
          <w:color w:val="auto"/>
          <w:spacing w:val="8"/>
          <w:highlight w:val="none"/>
        </w:rPr>
        <w:t>于</w:t>
      </w:r>
      <w:r>
        <w:rPr>
          <w:color w:val="auto"/>
          <w:highlight w:val="none"/>
        </w:rPr>
        <w:t>202</w:t>
      </w:r>
      <w:r>
        <w:rPr>
          <w:rFonts w:hint="eastAsia"/>
          <w:color w:val="auto"/>
          <w:highlight w:val="none"/>
          <w:lang w:val="en-US" w:eastAsia="zh-CN"/>
        </w:rPr>
        <w:t>3</w:t>
      </w:r>
      <w:r>
        <w:rPr>
          <w:color w:val="auto"/>
          <w:highlight w:val="none"/>
        </w:rPr>
        <w:t>年</w:t>
      </w:r>
      <w:r>
        <w:rPr>
          <w:rFonts w:hint="eastAsia"/>
          <w:color w:val="auto"/>
          <w:highlight w:val="none"/>
          <w:lang w:val="en-US" w:eastAsia="zh-CN"/>
        </w:rPr>
        <w:t>11</w:t>
      </w:r>
      <w:r>
        <w:rPr>
          <w:color w:val="auto"/>
          <w:highlight w:val="none"/>
        </w:rPr>
        <w:t>月</w:t>
      </w:r>
      <w:r>
        <w:rPr>
          <w:rFonts w:hint="eastAsia"/>
          <w:color w:val="auto"/>
          <w:highlight w:val="none"/>
          <w:lang w:val="en-US" w:eastAsia="zh-CN"/>
        </w:rPr>
        <w:t>30</w:t>
      </w:r>
      <w:r>
        <w:rPr>
          <w:color w:val="auto"/>
          <w:highlight w:val="none"/>
        </w:rPr>
        <w:t>日</w:t>
      </w:r>
      <w:r>
        <w:rPr>
          <w:bCs/>
          <w:color w:val="auto"/>
          <w:spacing w:val="14"/>
          <w:highlight w:val="none"/>
        </w:rPr>
        <w:t>在</w:t>
      </w:r>
      <w:r>
        <w:rPr>
          <w:color w:val="auto"/>
          <w:highlight w:val="none"/>
        </w:rPr>
        <w:t>寻甸</w:t>
      </w:r>
      <w:r>
        <w:rPr>
          <w:rFonts w:hint="eastAsia"/>
          <w:color w:val="auto"/>
          <w:highlight w:val="none"/>
          <w:lang w:val="en-US" w:eastAsia="zh-CN"/>
        </w:rPr>
        <w:t>在线融媒平台</w:t>
      </w:r>
      <w:r>
        <w:rPr>
          <w:bCs/>
          <w:color w:val="auto"/>
          <w:spacing w:val="14"/>
          <w:highlight w:val="none"/>
        </w:rPr>
        <w:t>（</w:t>
      </w:r>
      <w:r>
        <w:rPr>
          <w:rFonts w:hint="eastAsia"/>
          <w:bCs/>
          <w:color w:val="auto"/>
          <w:spacing w:val="14"/>
          <w:highlight w:val="none"/>
        </w:rPr>
        <w:t>http://www.xundian.ccoo.cn/post/shenghuo/3408570x.html</w:t>
      </w:r>
      <w:r>
        <w:rPr>
          <w:bCs/>
          <w:color w:val="auto"/>
          <w:spacing w:val="14"/>
          <w:highlight w:val="none"/>
        </w:rPr>
        <w:t>）上进行了环境影响评价第一次公示。</w:t>
      </w:r>
      <w:r>
        <w:rPr>
          <w:rFonts w:hint="eastAsia"/>
          <w:bCs/>
          <w:color w:val="auto"/>
          <w:spacing w:val="14"/>
          <w:highlight w:val="none"/>
          <w:lang w:val="en-US" w:eastAsia="zh-CN"/>
        </w:rPr>
        <w:t>公示日期：2023年11月30日-12月13日，共10个工作日。</w:t>
      </w:r>
      <w:r>
        <w:rPr>
          <w:color w:val="auto"/>
          <w:highlight w:val="none"/>
        </w:rPr>
        <w:t>公开的信息为：（1）建设项目名称、选址选线、建设内容等基本情况；（2）建设单位名称和联系方式；（3）环境影响报告书编制单位名称；（4）公众意见表的网络链接；（5）提交公众意见表的方式和途径。</w:t>
      </w:r>
      <w:r>
        <w:rPr>
          <w:color w:val="auto"/>
          <w:spacing w:val="8"/>
          <w:highlight w:val="none"/>
        </w:rPr>
        <w:t>第一次公众参与调查期间，未收到公众的咨询和电话，未收到公众的问卷调查表，</w:t>
      </w:r>
      <w:r>
        <w:rPr>
          <w:color w:val="auto"/>
          <w:highlight w:val="none"/>
        </w:rPr>
        <w:t>未收到任何公众反对意见</w:t>
      </w:r>
      <w:r>
        <w:rPr>
          <w:color w:val="auto"/>
          <w:spacing w:val="8"/>
          <w:highlight w:val="none"/>
        </w:rPr>
        <w:t>。</w:t>
      </w:r>
    </w:p>
    <w:p>
      <w:pPr>
        <w:adjustRightInd w:val="0"/>
        <w:snapToGrid w:val="0"/>
        <w:spacing w:line="360" w:lineRule="auto"/>
        <w:ind w:firstLine="480" w:firstLineChars="200"/>
        <w:rPr>
          <w:color w:val="auto"/>
          <w:sz w:val="24"/>
          <w:highlight w:val="none"/>
        </w:rPr>
      </w:pPr>
      <w:r>
        <w:rPr>
          <w:color w:val="auto"/>
          <w:sz w:val="24"/>
          <w:highlight w:val="none"/>
        </w:rPr>
        <w:t>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27</w:t>
      </w:r>
      <w:r>
        <w:rPr>
          <w:color w:val="auto"/>
          <w:sz w:val="24"/>
          <w:highlight w:val="none"/>
        </w:rPr>
        <w:t>日-</w:t>
      </w:r>
      <w:r>
        <w:rPr>
          <w:rFonts w:hint="eastAsia"/>
          <w:color w:val="auto"/>
          <w:sz w:val="24"/>
          <w:highlight w:val="none"/>
          <w:lang w:val="en-US" w:eastAsia="zh-CN"/>
        </w:rPr>
        <w:t>2024年1月2</w:t>
      </w:r>
      <w:r>
        <w:rPr>
          <w:color w:val="auto"/>
          <w:sz w:val="24"/>
          <w:highlight w:val="none"/>
        </w:rPr>
        <w:t>日，建设单位开展前期工作时委托云南鼎祺检测有限公司对本项目区域环境空气、声环境</w:t>
      </w:r>
      <w:r>
        <w:rPr>
          <w:rFonts w:hint="eastAsia"/>
          <w:color w:val="auto"/>
          <w:sz w:val="24"/>
          <w:highlight w:val="none"/>
          <w:lang w:eastAsia="zh-CN"/>
        </w:rPr>
        <w:t>、</w:t>
      </w:r>
      <w:r>
        <w:rPr>
          <w:rFonts w:hint="eastAsia"/>
          <w:color w:val="auto"/>
          <w:sz w:val="24"/>
          <w:highlight w:val="none"/>
          <w:lang w:val="en-US" w:eastAsia="zh-CN"/>
        </w:rPr>
        <w:t>土壤环境</w:t>
      </w:r>
      <w:r>
        <w:rPr>
          <w:color w:val="auto"/>
          <w:sz w:val="24"/>
          <w:highlight w:val="none"/>
        </w:rPr>
        <w:t>等进行调查与环境现状监测工作。</w:t>
      </w:r>
    </w:p>
    <w:p>
      <w:pPr>
        <w:adjustRightInd w:val="0"/>
        <w:snapToGrid w:val="0"/>
        <w:spacing w:line="360" w:lineRule="auto"/>
        <w:ind w:firstLine="480" w:firstLineChars="200"/>
        <w:rPr>
          <w:color w:val="auto"/>
          <w:sz w:val="24"/>
          <w:highlight w:val="none"/>
        </w:rPr>
      </w:pP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w:t>
      </w:r>
      <w:r>
        <w:rPr>
          <w:color w:val="auto"/>
          <w:sz w:val="24"/>
          <w:highlight w:val="none"/>
        </w:rPr>
        <w:t>月</w:t>
      </w:r>
      <w:r>
        <w:rPr>
          <w:rFonts w:hint="eastAsia"/>
          <w:color w:val="auto"/>
          <w:sz w:val="24"/>
          <w:highlight w:val="none"/>
          <w:lang w:val="en-US" w:eastAsia="zh-CN"/>
        </w:rPr>
        <w:t>25</w:t>
      </w:r>
      <w:r>
        <w:rPr>
          <w:color w:val="auto"/>
          <w:sz w:val="24"/>
          <w:highlight w:val="none"/>
        </w:rPr>
        <w:t>日~</w:t>
      </w:r>
      <w:r>
        <w:rPr>
          <w:rFonts w:hint="eastAsia"/>
          <w:color w:val="auto"/>
          <w:sz w:val="24"/>
          <w:highlight w:val="none"/>
          <w:lang w:val="en-US" w:eastAsia="zh-CN"/>
        </w:rPr>
        <w:t>2</w:t>
      </w:r>
      <w:r>
        <w:rPr>
          <w:color w:val="auto"/>
          <w:sz w:val="24"/>
          <w:highlight w:val="none"/>
        </w:rPr>
        <w:t>月</w:t>
      </w:r>
      <w:r>
        <w:rPr>
          <w:rFonts w:hint="eastAsia"/>
          <w:color w:val="auto"/>
          <w:sz w:val="24"/>
          <w:highlight w:val="none"/>
          <w:lang w:val="en-US" w:eastAsia="zh-CN"/>
        </w:rPr>
        <w:t>6</w:t>
      </w:r>
      <w:r>
        <w:rPr>
          <w:color w:val="auto"/>
          <w:sz w:val="24"/>
          <w:highlight w:val="none"/>
        </w:rPr>
        <w:t>日，建设单位根据《环境影响评价公众参与办法》中的要求，在</w:t>
      </w:r>
      <w:r>
        <w:rPr>
          <w:rFonts w:hint="eastAsia"/>
          <w:color w:val="auto"/>
          <w:sz w:val="24"/>
          <w:highlight w:val="none"/>
          <w:lang w:val="en-US" w:eastAsia="zh-CN"/>
        </w:rPr>
        <w:t>寻</w:t>
      </w:r>
      <w:r>
        <w:rPr>
          <w:rFonts w:hint="eastAsia" w:ascii="Times New Roman" w:hAnsi="Times New Roman" w:eastAsia="宋体" w:cs="Times New Roman"/>
          <w:color w:val="auto"/>
          <w:sz w:val="24"/>
          <w:highlight w:val="none"/>
          <w:lang w:val="en-US" w:eastAsia="zh-CN"/>
        </w:rPr>
        <w:t>甸在线融媒平台</w:t>
      </w:r>
      <w:r>
        <w:rPr>
          <w:rFonts w:hint="eastAsia" w:ascii="Times New Roman" w:hAnsi="Times New Roman" w:eastAsia="宋体" w:cs="Times New Roman"/>
          <w:color w:val="auto"/>
          <w:sz w:val="24"/>
          <w:highlight w:val="none"/>
        </w:rPr>
        <w:t>上</w:t>
      </w:r>
      <w:r>
        <w:rPr>
          <w:rFonts w:ascii="Times New Roman" w:hAnsi="Times New Roman" w:eastAsia="宋体" w:cs="Times New Roman"/>
          <w:color w:val="auto"/>
          <w:sz w:val="24"/>
          <w:highlight w:val="none"/>
        </w:rPr>
        <w:t>进行了《</w:t>
      </w:r>
      <w:r>
        <w:rPr>
          <w:rFonts w:hint="eastAsia" w:ascii="Times New Roman" w:hAnsi="Times New Roman" w:eastAsia="宋体" w:cs="Times New Roman"/>
          <w:color w:val="auto"/>
          <w:sz w:val="24"/>
          <w:highlight w:val="none"/>
          <w:lang w:val="en-US" w:eastAsia="zh-CN"/>
        </w:rPr>
        <w:t>寻甸县蜀滇塑料制品经营部蔬菜框生产项目</w:t>
      </w:r>
      <w:r>
        <w:rPr>
          <w:rFonts w:ascii="Times New Roman" w:hAnsi="Times New Roman" w:eastAsia="宋体" w:cs="Times New Roman"/>
          <w:color w:val="auto"/>
          <w:sz w:val="24"/>
          <w:highlight w:val="none"/>
        </w:rPr>
        <w:t>环境影响报</w:t>
      </w:r>
      <w:r>
        <w:rPr>
          <w:color w:val="auto"/>
          <w:sz w:val="24"/>
          <w:highlight w:val="none"/>
        </w:rPr>
        <w:t>告书》（征求意见稿）信息网络公示，公示链接</w:t>
      </w:r>
      <w:r>
        <w:rPr>
          <w:rFonts w:hint="eastAsia"/>
          <w:color w:val="auto"/>
          <w:sz w:val="24"/>
          <w:highlight w:val="none"/>
        </w:rPr>
        <w:t>http://www.xundian.ccoo.cn/post/shenghuo/3410391x.html</w:t>
      </w:r>
      <w:r>
        <w:rPr>
          <w:color w:val="auto"/>
          <w:sz w:val="24"/>
          <w:highlight w:val="none"/>
        </w:rPr>
        <w:t>。</w:t>
      </w:r>
    </w:p>
    <w:p>
      <w:pPr>
        <w:adjustRightInd w:val="0"/>
        <w:snapToGrid w:val="0"/>
        <w:spacing w:line="360" w:lineRule="auto"/>
        <w:ind w:firstLine="480" w:firstLineChars="200"/>
        <w:rPr>
          <w:rFonts w:hint="default" w:eastAsia="宋体"/>
          <w:color w:val="auto"/>
          <w:sz w:val="24"/>
          <w:highlight w:val="none"/>
          <w:lang w:val="en-US" w:eastAsia="zh-CN"/>
        </w:rPr>
      </w:pP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w:t>
      </w:r>
      <w:r>
        <w:rPr>
          <w:color w:val="auto"/>
          <w:sz w:val="24"/>
          <w:highlight w:val="none"/>
        </w:rPr>
        <w:t>月</w:t>
      </w:r>
      <w:r>
        <w:rPr>
          <w:rFonts w:hint="eastAsia"/>
          <w:color w:val="auto"/>
          <w:sz w:val="24"/>
          <w:highlight w:val="none"/>
          <w:lang w:val="en-US" w:eastAsia="zh-CN"/>
        </w:rPr>
        <w:t>30</w:t>
      </w:r>
      <w:r>
        <w:rPr>
          <w:color w:val="auto"/>
          <w:sz w:val="24"/>
          <w:highlight w:val="none"/>
        </w:rPr>
        <w:t>日、</w:t>
      </w:r>
      <w:r>
        <w:rPr>
          <w:rFonts w:hint="eastAsia"/>
          <w:color w:val="auto"/>
          <w:sz w:val="24"/>
          <w:highlight w:val="none"/>
          <w:lang w:val="en-US" w:eastAsia="zh-CN"/>
        </w:rPr>
        <w:t>2</w:t>
      </w:r>
      <w:r>
        <w:rPr>
          <w:color w:val="auto"/>
          <w:sz w:val="24"/>
          <w:highlight w:val="none"/>
        </w:rPr>
        <w:t>月2日，建设单位在云南信息报进行了《</w:t>
      </w:r>
      <w:r>
        <w:rPr>
          <w:rFonts w:hint="eastAsia" w:ascii="Times New Roman" w:hAnsi="Times New Roman" w:eastAsia="宋体" w:cs="Times New Roman"/>
          <w:color w:val="auto"/>
          <w:sz w:val="24"/>
          <w:highlight w:val="none"/>
          <w:lang w:val="en-US" w:eastAsia="zh-CN"/>
        </w:rPr>
        <w:t>寻甸县蜀滇塑料制品经营部蔬菜框生产项目</w:t>
      </w:r>
      <w:r>
        <w:rPr>
          <w:color w:val="auto"/>
          <w:sz w:val="24"/>
          <w:highlight w:val="none"/>
        </w:rPr>
        <w:t>环境影响报告书》（征求意见稿）信息报纸公示（总第</w:t>
      </w:r>
      <w:r>
        <w:rPr>
          <w:rFonts w:hint="eastAsia"/>
          <w:color w:val="auto"/>
          <w:sz w:val="24"/>
          <w:highlight w:val="none"/>
          <w:lang w:val="en-US" w:eastAsia="zh-CN"/>
        </w:rPr>
        <w:t>9741</w:t>
      </w:r>
      <w:r>
        <w:rPr>
          <w:rFonts w:hint="eastAsia"/>
          <w:color w:val="auto"/>
          <w:sz w:val="24"/>
          <w:highlight w:val="none"/>
        </w:rPr>
        <w:t>期</w:t>
      </w:r>
      <w:r>
        <w:rPr>
          <w:color w:val="auto"/>
          <w:sz w:val="24"/>
          <w:highlight w:val="none"/>
        </w:rPr>
        <w:t>和总第</w:t>
      </w:r>
      <w:r>
        <w:rPr>
          <w:rFonts w:hint="eastAsia"/>
          <w:color w:val="auto"/>
          <w:sz w:val="24"/>
          <w:highlight w:val="none"/>
          <w:lang w:val="en-US" w:eastAsia="zh-CN"/>
        </w:rPr>
        <w:t>9742</w:t>
      </w:r>
      <w:r>
        <w:rPr>
          <w:color w:val="auto"/>
          <w:sz w:val="24"/>
          <w:highlight w:val="none"/>
        </w:rPr>
        <w:t>期），公示时间为</w:t>
      </w:r>
      <w:r>
        <w:rPr>
          <w:rFonts w:hint="eastAsia"/>
          <w:color w:val="auto"/>
          <w:sz w:val="24"/>
          <w:highlight w:val="none"/>
          <w:lang w:val="en-US" w:eastAsia="zh-CN"/>
        </w:rPr>
        <w:t>10个工作日</w:t>
      </w:r>
      <w:r>
        <w:rPr>
          <w:color w:val="auto"/>
          <w:sz w:val="24"/>
          <w:highlight w:val="none"/>
        </w:rPr>
        <w:t>。</w:t>
      </w:r>
      <w:r>
        <w:rPr>
          <w:rFonts w:hint="eastAsia"/>
          <w:color w:val="auto"/>
          <w:sz w:val="24"/>
          <w:highlight w:val="none"/>
          <w:lang w:val="en-US" w:eastAsia="zh-CN"/>
        </w:rPr>
        <w:t>公示期间未收到反对意见。</w:t>
      </w:r>
    </w:p>
    <w:p>
      <w:pPr>
        <w:adjustRightInd w:val="0"/>
        <w:snapToGrid w:val="0"/>
        <w:spacing w:line="360" w:lineRule="auto"/>
        <w:ind w:firstLine="480" w:firstLineChars="200"/>
        <w:rPr>
          <w:color w:val="auto"/>
          <w:sz w:val="24"/>
          <w:highlight w:val="none"/>
        </w:rPr>
      </w:pP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w:t>
      </w:r>
      <w:r>
        <w:rPr>
          <w:color w:val="auto"/>
          <w:sz w:val="24"/>
          <w:highlight w:val="none"/>
        </w:rPr>
        <w:t>月</w:t>
      </w:r>
      <w:r>
        <w:rPr>
          <w:rFonts w:hint="eastAsia"/>
          <w:color w:val="auto"/>
          <w:sz w:val="24"/>
          <w:highlight w:val="none"/>
          <w:lang w:val="en-US" w:eastAsia="zh-CN"/>
        </w:rPr>
        <w:t>25</w:t>
      </w:r>
      <w:r>
        <w:rPr>
          <w:color w:val="auto"/>
          <w:sz w:val="24"/>
          <w:highlight w:val="none"/>
        </w:rPr>
        <w:t>日~202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2</w:t>
      </w:r>
      <w:r>
        <w:rPr>
          <w:color w:val="auto"/>
          <w:sz w:val="24"/>
          <w:highlight w:val="none"/>
        </w:rPr>
        <w:t>月</w:t>
      </w:r>
      <w:r>
        <w:rPr>
          <w:rFonts w:hint="eastAsia"/>
          <w:color w:val="auto"/>
          <w:sz w:val="24"/>
          <w:highlight w:val="none"/>
          <w:lang w:val="en-US" w:eastAsia="zh-CN"/>
        </w:rPr>
        <w:t>6</w:t>
      </w:r>
      <w:r>
        <w:rPr>
          <w:color w:val="auto"/>
          <w:sz w:val="24"/>
          <w:highlight w:val="none"/>
        </w:rPr>
        <w:t>日，建设单位在</w:t>
      </w:r>
      <w:r>
        <w:rPr>
          <w:rFonts w:hint="eastAsia" w:ascii="Times New Roman" w:hAnsi="Times New Roman" w:eastAsia="宋体" w:cs="Times New Roman"/>
          <w:color w:val="auto"/>
          <w:sz w:val="24"/>
          <w:highlight w:val="none"/>
          <w:lang w:val="en-US" w:eastAsia="zh-CN"/>
        </w:rPr>
        <w:t>寻甸县三月三村</w:t>
      </w:r>
      <w:r>
        <w:rPr>
          <w:rFonts w:ascii="Times New Roman" w:hAnsi="Times New Roman" w:eastAsia="宋体" w:cs="Times New Roman"/>
          <w:color w:val="auto"/>
          <w:sz w:val="24"/>
          <w:highlight w:val="none"/>
        </w:rPr>
        <w:t>公开</w:t>
      </w:r>
      <w:r>
        <w:rPr>
          <w:color w:val="auto"/>
          <w:sz w:val="24"/>
          <w:highlight w:val="none"/>
        </w:rPr>
        <w:t>栏进行了项目征求意见稿公示信息张贴。</w:t>
      </w:r>
    </w:p>
    <w:p>
      <w:pPr>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2024年2月19日~3月1日，建设单位在寻甸融媒平台上进行了《</w:t>
      </w:r>
      <w:r>
        <w:rPr>
          <w:rFonts w:hint="eastAsia" w:ascii="Times New Roman" w:hAnsi="Times New Roman" w:eastAsia="宋体" w:cs="Times New Roman"/>
          <w:color w:val="auto"/>
          <w:sz w:val="24"/>
          <w:highlight w:val="none"/>
          <w:lang w:val="en-US" w:eastAsia="zh-CN"/>
        </w:rPr>
        <w:t>寻甸县蜀滇塑料制品经营部蔬菜框生产项目</w:t>
      </w:r>
      <w:r>
        <w:rPr>
          <w:rFonts w:ascii="Times New Roman" w:hAnsi="Times New Roman" w:eastAsia="宋体" w:cs="Times New Roman"/>
          <w:color w:val="auto"/>
          <w:sz w:val="24"/>
          <w:highlight w:val="none"/>
        </w:rPr>
        <w:t>环境影响报</w:t>
      </w:r>
      <w:r>
        <w:rPr>
          <w:color w:val="auto"/>
          <w:sz w:val="24"/>
          <w:highlight w:val="none"/>
        </w:rPr>
        <w:t>告书》（</w:t>
      </w:r>
      <w:r>
        <w:rPr>
          <w:rFonts w:hint="eastAsia"/>
          <w:color w:val="auto"/>
          <w:sz w:val="24"/>
          <w:highlight w:val="none"/>
          <w:lang w:val="en-US" w:eastAsia="zh-CN"/>
        </w:rPr>
        <w:t>送审</w:t>
      </w:r>
      <w:r>
        <w:rPr>
          <w:color w:val="auto"/>
          <w:sz w:val="24"/>
          <w:highlight w:val="none"/>
        </w:rPr>
        <w:t>稿）信息网络公示，公示链接</w:t>
      </w:r>
      <w:r>
        <w:rPr>
          <w:rFonts w:hint="eastAsia"/>
          <w:color w:val="auto"/>
          <w:sz w:val="24"/>
          <w:highlight w:val="none"/>
        </w:rPr>
        <w:t>http://www.xundian.ccoo.cn/post/shenghuo/3410809x.html</w:t>
      </w:r>
      <w:r>
        <w:rPr>
          <w:color w:val="auto"/>
          <w:sz w:val="24"/>
          <w:highlight w:val="none"/>
        </w:rPr>
        <w:t>。</w:t>
      </w:r>
    </w:p>
    <w:p>
      <w:pPr>
        <w:adjustRightInd w:val="0"/>
        <w:snapToGrid w:val="0"/>
        <w:spacing w:line="360" w:lineRule="auto"/>
        <w:ind w:firstLine="480" w:firstLineChars="200"/>
        <w:rPr>
          <w:color w:val="auto"/>
          <w:highlight w:val="none"/>
        </w:rPr>
      </w:pPr>
      <w:r>
        <w:rPr>
          <w:color w:val="auto"/>
          <w:sz w:val="24"/>
          <w:highlight w:val="none"/>
        </w:rPr>
        <w:t>公示期间，未收到反馈意见。在以上工作的基础上，我单位按照环境影响评价技术导则的相关要求，202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月编制完成《</w:t>
      </w:r>
      <w:r>
        <w:rPr>
          <w:rFonts w:hint="eastAsia" w:ascii="Times New Roman" w:hAnsi="Times New Roman" w:eastAsia="宋体" w:cs="Times New Roman"/>
          <w:color w:val="auto"/>
          <w:sz w:val="24"/>
          <w:highlight w:val="none"/>
          <w:lang w:val="en-US" w:eastAsia="zh-CN"/>
        </w:rPr>
        <w:t>寻甸县蜀滇塑料制品经营部蔬菜框生产项目</w:t>
      </w:r>
      <w:r>
        <w:rPr>
          <w:color w:val="auto"/>
          <w:sz w:val="24"/>
          <w:highlight w:val="none"/>
        </w:rPr>
        <w:t>环境影响报告书》（送审稿）</w:t>
      </w:r>
      <w:r>
        <w:rPr>
          <w:rFonts w:hint="eastAsia"/>
          <w:color w:val="auto"/>
          <w:sz w:val="24"/>
          <w:highlight w:val="none"/>
        </w:rPr>
        <w:t>。</w:t>
      </w:r>
    </w:p>
    <w:p>
      <w:pPr>
        <w:pStyle w:val="23"/>
        <w:spacing w:after="0" w:line="360" w:lineRule="auto"/>
        <w:ind w:left="0" w:leftChars="0"/>
        <w:rPr>
          <w:b/>
          <w:bCs/>
          <w:color w:val="auto"/>
          <w:sz w:val="24"/>
          <w:szCs w:val="24"/>
          <w:highlight w:val="none"/>
        </w:rPr>
      </w:pPr>
      <w:bookmarkStart w:id="37" w:name="_Toc75908582"/>
      <w:r>
        <w:rPr>
          <w:b/>
          <w:bCs/>
          <w:color w:val="auto"/>
          <w:sz w:val="24"/>
          <w:szCs w:val="24"/>
          <w:highlight w:val="none"/>
        </w:rPr>
        <w:t>三、分析判定相关情况</w:t>
      </w:r>
      <w:bookmarkEnd w:id="37"/>
    </w:p>
    <w:p>
      <w:pPr>
        <w:spacing w:line="360" w:lineRule="auto"/>
        <w:ind w:firstLine="482"/>
        <w:rPr>
          <w:b/>
          <w:bCs/>
          <w:color w:val="auto"/>
          <w:sz w:val="24"/>
          <w:highlight w:val="none"/>
        </w:rPr>
      </w:pPr>
      <w:bookmarkStart w:id="38" w:name="_Toc344130200"/>
      <w:bookmarkStart w:id="39" w:name="_Toc532992642"/>
      <w:bookmarkStart w:id="40" w:name="_Toc503157652"/>
      <w:bookmarkStart w:id="41" w:name="_Toc501531289"/>
      <w:bookmarkStart w:id="42" w:name="_Toc501599590"/>
      <w:bookmarkStart w:id="43" w:name="_Toc532819540"/>
      <w:bookmarkStart w:id="44" w:name="_Toc367281403"/>
      <w:bookmarkStart w:id="45" w:name="_Toc367281986"/>
      <w:bookmarkStart w:id="46" w:name="_Toc513947164"/>
      <w:bookmarkStart w:id="47" w:name="_Toc534057486"/>
      <w:r>
        <w:rPr>
          <w:b/>
          <w:bCs/>
          <w:color w:val="auto"/>
          <w:sz w:val="24"/>
          <w:highlight w:val="none"/>
        </w:rPr>
        <w:t>1、产业政策符合性判定</w:t>
      </w:r>
    </w:p>
    <w:p>
      <w:pPr>
        <w:pStyle w:val="525"/>
        <w:ind w:firstLine="480"/>
        <w:jc w:val="both"/>
        <w:rPr>
          <w:color w:val="auto"/>
          <w:highlight w:val="none"/>
        </w:rPr>
      </w:pPr>
      <w:r>
        <w:rPr>
          <w:color w:val="auto"/>
          <w:highlight w:val="none"/>
        </w:rPr>
        <w:t>根据《产业结构调整指导目录（</w:t>
      </w:r>
      <w:r>
        <w:rPr>
          <w:rFonts w:hint="eastAsia"/>
          <w:color w:val="auto"/>
          <w:highlight w:val="none"/>
          <w:lang w:val="en-US" w:eastAsia="zh-CN"/>
        </w:rPr>
        <w:t>2024</w:t>
      </w:r>
      <w:r>
        <w:rPr>
          <w:color w:val="auto"/>
          <w:highlight w:val="none"/>
        </w:rPr>
        <w:t>年本）》中有关规定，本项目</w:t>
      </w:r>
      <w:r>
        <w:rPr>
          <w:rFonts w:hint="eastAsia"/>
          <w:color w:val="auto"/>
          <w:highlight w:val="none"/>
          <w:lang w:val="en-US" w:eastAsia="zh-CN"/>
        </w:rPr>
        <w:t>为C2926塑料包装箱及容器制造项目，</w:t>
      </w:r>
      <w:r>
        <w:rPr>
          <w:rFonts w:hint="eastAsia"/>
          <w:color w:val="auto"/>
          <w:highlight w:val="none"/>
        </w:rPr>
        <w:t>不属于《产业结构调整指导目录（</w:t>
      </w:r>
      <w:r>
        <w:rPr>
          <w:rFonts w:hint="eastAsia"/>
          <w:color w:val="auto"/>
          <w:highlight w:val="none"/>
          <w:lang w:val="en-US" w:eastAsia="zh-CN"/>
        </w:rPr>
        <w:t>2024</w:t>
      </w:r>
      <w:r>
        <w:rPr>
          <w:rFonts w:hint="eastAsia"/>
          <w:color w:val="auto"/>
          <w:highlight w:val="none"/>
        </w:rPr>
        <w:t>年本）</w:t>
      </w:r>
      <w:r>
        <w:rPr>
          <w:rFonts w:hint="eastAsia"/>
          <w:color w:val="auto"/>
          <w:highlight w:val="none"/>
          <w:lang w:eastAsia="zh-CN"/>
        </w:rPr>
        <w:t>》</w:t>
      </w:r>
      <w:r>
        <w:rPr>
          <w:rFonts w:hint="eastAsia"/>
          <w:color w:val="auto"/>
          <w:highlight w:val="none"/>
        </w:rPr>
        <w:t>中</w:t>
      </w:r>
      <w:r>
        <w:rPr>
          <w:rFonts w:hint="eastAsia"/>
          <w:color w:val="auto"/>
          <w:highlight w:val="none"/>
          <w:lang w:val="en-US" w:eastAsia="zh-CN"/>
        </w:rPr>
        <w:t>鼓励类、</w:t>
      </w:r>
      <w:r>
        <w:rPr>
          <w:rFonts w:hint="eastAsia"/>
          <w:color w:val="auto"/>
          <w:highlight w:val="none"/>
        </w:rPr>
        <w:t>限制类、淘汰类项目，属于允许类项目。</w:t>
      </w:r>
      <w:r>
        <w:rPr>
          <w:color w:val="auto"/>
          <w:highlight w:val="none"/>
        </w:rPr>
        <w:t>且项目拟使用的生产设备不属于《部分工业行业淘汰落后生产工艺装备和产品指导目录（2010年本）》规定的淘汰设备范畴。因此，本项目的建设符合国家产业政策要求。</w:t>
      </w:r>
    </w:p>
    <w:p>
      <w:pPr>
        <w:pStyle w:val="525"/>
        <w:ind w:firstLine="480"/>
        <w:jc w:val="both"/>
        <w:rPr>
          <w:color w:val="auto"/>
          <w:highlight w:val="none"/>
        </w:rPr>
      </w:pPr>
      <w:r>
        <w:rPr>
          <w:color w:val="auto"/>
          <w:highlight w:val="none"/>
        </w:rPr>
        <w:t>同时本项目已取得寻甸回族彝族自治县发展和改革局出具的《云南省固定资产投资项目备案证》（项目代码：</w:t>
      </w:r>
      <w:r>
        <w:rPr>
          <w:rFonts w:hint="eastAsia"/>
          <w:color w:val="auto"/>
          <w:highlight w:val="none"/>
          <w:lang w:val="en-US" w:eastAsia="zh-CN"/>
        </w:rPr>
        <w:t>2311-530129-04-01-845291</w:t>
      </w:r>
      <w:r>
        <w:rPr>
          <w:color w:val="auto"/>
          <w:highlight w:val="none"/>
        </w:rPr>
        <w:t>）。</w:t>
      </w:r>
    </w:p>
    <w:bookmarkEnd w:id="38"/>
    <w:bookmarkEnd w:id="39"/>
    <w:bookmarkEnd w:id="40"/>
    <w:bookmarkEnd w:id="41"/>
    <w:bookmarkEnd w:id="42"/>
    <w:bookmarkEnd w:id="43"/>
    <w:bookmarkEnd w:id="44"/>
    <w:bookmarkEnd w:id="45"/>
    <w:bookmarkEnd w:id="46"/>
    <w:bookmarkEnd w:id="47"/>
    <w:p>
      <w:pPr>
        <w:autoSpaceDE w:val="0"/>
        <w:autoSpaceDN w:val="0"/>
        <w:spacing w:line="360" w:lineRule="auto"/>
        <w:ind w:firstLine="482"/>
        <w:rPr>
          <w:b/>
          <w:bCs/>
          <w:color w:val="auto"/>
          <w:sz w:val="24"/>
          <w:highlight w:val="none"/>
        </w:rPr>
      </w:pPr>
      <w:bookmarkStart w:id="48" w:name="_Toc367281988"/>
      <w:bookmarkStart w:id="49" w:name="_Toc532819542"/>
      <w:bookmarkStart w:id="50" w:name="_Toc532992644"/>
      <w:bookmarkStart w:id="51" w:name="_Toc501531291"/>
      <w:bookmarkStart w:id="52" w:name="_Toc513947166"/>
      <w:bookmarkStart w:id="53" w:name="_Toc501599592"/>
      <w:bookmarkStart w:id="54" w:name="_Toc534057488"/>
      <w:bookmarkStart w:id="55" w:name="_Toc367281405"/>
      <w:bookmarkStart w:id="56" w:name="_Toc503157654"/>
      <w:r>
        <w:rPr>
          <w:b/>
          <w:bCs/>
          <w:color w:val="auto"/>
          <w:sz w:val="24"/>
          <w:highlight w:val="none"/>
        </w:rPr>
        <w:t>2、相关规范符合性判定</w:t>
      </w:r>
    </w:p>
    <w:p>
      <w:pPr>
        <w:spacing w:line="360" w:lineRule="auto"/>
        <w:ind w:firstLine="360" w:firstLineChars="150"/>
        <w:rPr>
          <w:color w:val="auto"/>
          <w:sz w:val="24"/>
          <w:highlight w:val="none"/>
          <w:lang w:bidi="en-US"/>
        </w:rPr>
      </w:pPr>
      <w:r>
        <w:rPr>
          <w:color w:val="auto"/>
          <w:sz w:val="24"/>
          <w:highlight w:val="none"/>
          <w:lang w:bidi="en-US"/>
        </w:rPr>
        <w:t>（1）</w:t>
      </w:r>
      <w:r>
        <w:rPr>
          <w:color w:val="auto"/>
          <w:sz w:val="24"/>
          <w:highlight w:val="none"/>
        </w:rPr>
        <w:t>与“三线一单”控制要求的相符性</w:t>
      </w:r>
    </w:p>
    <w:p>
      <w:pPr>
        <w:spacing w:line="360" w:lineRule="auto"/>
        <w:ind w:firstLine="480" w:firstLineChars="200"/>
        <w:rPr>
          <w:color w:val="auto"/>
          <w:sz w:val="24"/>
          <w:highlight w:val="none"/>
          <w:lang w:bidi="en-US"/>
        </w:rPr>
      </w:pPr>
      <w:r>
        <w:rPr>
          <w:color w:val="auto"/>
          <w:sz w:val="24"/>
          <w:highlight w:val="none"/>
          <w:lang w:bidi="en-US"/>
        </w:rPr>
        <w:t>本项目位于</w:t>
      </w:r>
      <w:r>
        <w:rPr>
          <w:rFonts w:hint="eastAsia"/>
          <w:color w:val="auto"/>
          <w:sz w:val="24"/>
          <w:highlight w:val="none"/>
          <w:lang w:val="en-US" w:eastAsia="zh-CN" w:bidi="en-US"/>
        </w:rPr>
        <w:t>寻甸县仁德街道三月三村</w:t>
      </w:r>
      <w:r>
        <w:rPr>
          <w:color w:val="auto"/>
          <w:sz w:val="24"/>
          <w:highlight w:val="none"/>
          <w:lang w:bidi="en-US"/>
        </w:rPr>
        <w:t>，不在生态红线范围内，符合《云南省人民政府关于实施“三线一单”生态环境分区管控的意见》（云政发[2020]29号）、《昆明市人民政府关于昆明市“三线一单”生态环境分区管控的实施意见》（昆政发[2021]21号）中生态红线和一般生态空间、环境质量底线、资源利用上线的相关要求。</w:t>
      </w:r>
      <w:r>
        <w:rPr>
          <w:rFonts w:hint="eastAsia"/>
          <w:color w:val="auto"/>
          <w:sz w:val="24"/>
          <w:highlight w:val="none"/>
          <w:lang w:bidi="en-US"/>
        </w:rPr>
        <w:t xml:space="preserve"> </w:t>
      </w:r>
    </w:p>
    <w:p>
      <w:pPr>
        <w:spacing w:line="360" w:lineRule="auto"/>
        <w:ind w:firstLine="480" w:firstLineChars="200"/>
        <w:rPr>
          <w:color w:val="auto"/>
          <w:sz w:val="24"/>
          <w:highlight w:val="none"/>
          <w:lang w:bidi="en-US"/>
        </w:rPr>
      </w:pPr>
      <w:r>
        <w:rPr>
          <w:color w:val="auto"/>
          <w:sz w:val="24"/>
          <w:highlight w:val="none"/>
          <w:lang w:bidi="en-US"/>
        </w:rPr>
        <w:t>根据《云南省人民政府关于实施“三线一单”生态环境分区管控的意见》（云政发[2020]29号）、《昆明市人民政府关于昆明市“三线一单”生态环境分区管控的实施意见》（昆政发[2021]21号）、</w:t>
      </w:r>
      <w:r>
        <w:rPr>
          <w:color w:val="auto"/>
          <w:sz w:val="24"/>
          <w:highlight w:val="none"/>
        </w:rPr>
        <w:t>《云南省长江经济带发展负面清单指南实施细则（试行，2022年版）》</w:t>
      </w:r>
      <w:r>
        <w:rPr>
          <w:color w:val="auto"/>
          <w:sz w:val="24"/>
          <w:highlight w:val="none"/>
          <w:lang w:bidi="en-US"/>
        </w:rPr>
        <w:t>、《云南省发展和改革委员会、云南省商务厅关于转发市场准入负面清单（2020年版）的通知》、《淘汰落后生产力、工艺和产品的目录》（第一、二、三批</w:t>
      </w:r>
      <w:r>
        <w:rPr>
          <w:rFonts w:hint="eastAsia"/>
          <w:color w:val="auto"/>
          <w:sz w:val="24"/>
          <w:highlight w:val="none"/>
          <w:lang w:eastAsia="zh-CN" w:bidi="en-US"/>
        </w:rPr>
        <w:t>）</w:t>
      </w:r>
      <w:r>
        <w:rPr>
          <w:color w:val="auto"/>
          <w:sz w:val="24"/>
          <w:highlight w:val="none"/>
          <w:lang w:bidi="en-US"/>
        </w:rPr>
        <w:t>中相关</w:t>
      </w:r>
      <w:r>
        <w:rPr>
          <w:rFonts w:hint="eastAsia"/>
          <w:color w:val="auto"/>
          <w:sz w:val="24"/>
          <w:highlight w:val="none"/>
          <w:lang w:eastAsia="zh-CN" w:bidi="en-US"/>
        </w:rPr>
        <w:t>要求</w:t>
      </w:r>
      <w:r>
        <w:rPr>
          <w:color w:val="auto"/>
          <w:sz w:val="24"/>
          <w:highlight w:val="none"/>
          <w:lang w:bidi="en-US"/>
        </w:rPr>
        <w:t>，本项目所属行业未被纳入禁止准入目录、市场准入负面清单。</w:t>
      </w:r>
    </w:p>
    <w:p>
      <w:pPr>
        <w:spacing w:line="360" w:lineRule="auto"/>
        <w:ind w:firstLine="480" w:firstLineChars="200"/>
        <w:rPr>
          <w:color w:val="auto"/>
          <w:sz w:val="24"/>
          <w:highlight w:val="none"/>
          <w:lang w:bidi="en-US"/>
        </w:rPr>
      </w:pPr>
      <w:r>
        <w:rPr>
          <w:color w:val="auto"/>
          <w:sz w:val="24"/>
          <w:highlight w:val="none"/>
          <w:lang w:bidi="en-US"/>
        </w:rPr>
        <w:t>综上所述，项目的建设符合“三线一单”要求。</w:t>
      </w:r>
    </w:p>
    <w:p>
      <w:pPr>
        <w:spacing w:line="360" w:lineRule="auto"/>
        <w:ind w:firstLine="480" w:firstLineChars="200"/>
        <w:rPr>
          <w:color w:val="auto"/>
          <w:sz w:val="24"/>
          <w:highlight w:val="none"/>
          <w:lang w:bidi="en-US"/>
        </w:rPr>
      </w:pPr>
      <w:r>
        <w:rPr>
          <w:color w:val="auto"/>
          <w:sz w:val="24"/>
          <w:highlight w:val="none"/>
          <w:lang w:bidi="en-US"/>
        </w:rPr>
        <w:t>（</w:t>
      </w:r>
      <w:r>
        <w:rPr>
          <w:rFonts w:hint="eastAsia"/>
          <w:color w:val="auto"/>
          <w:sz w:val="24"/>
          <w:highlight w:val="none"/>
          <w:lang w:val="en-US" w:eastAsia="zh-CN" w:bidi="en-US"/>
        </w:rPr>
        <w:t>2</w:t>
      </w:r>
      <w:r>
        <w:rPr>
          <w:color w:val="auto"/>
          <w:sz w:val="24"/>
          <w:highlight w:val="none"/>
          <w:lang w:bidi="en-US"/>
        </w:rPr>
        <w:t>）相关规划、管理政策符合性</w:t>
      </w:r>
    </w:p>
    <w:p>
      <w:pPr>
        <w:pStyle w:val="525"/>
        <w:ind w:firstLine="480"/>
        <w:jc w:val="both"/>
        <w:rPr>
          <w:color w:val="auto"/>
          <w:highlight w:val="none"/>
        </w:rPr>
      </w:pPr>
      <w:r>
        <w:rPr>
          <w:color w:val="auto"/>
          <w:highlight w:val="none"/>
        </w:rPr>
        <w:t>本项目符合《云南省牛栏江保护条例》、《牛栏江流域（云南部分）水环境保护规划（2009~2030）》、《牛栏江流域（寻甸段）水环境保护规划》、</w:t>
      </w:r>
      <w:r>
        <w:rPr>
          <w:rFonts w:hint="eastAsia"/>
          <w:color w:val="auto"/>
          <w:highlight w:val="none"/>
          <w:lang w:eastAsia="zh-CN"/>
        </w:rPr>
        <w:t>《</w:t>
      </w:r>
      <w:r>
        <w:rPr>
          <w:rFonts w:hint="eastAsia"/>
          <w:color w:val="auto"/>
          <w:highlight w:val="none"/>
          <w:lang w:val="en-US" w:eastAsia="zh-CN"/>
        </w:rPr>
        <w:t>云南省工业固体废物和重金属污染防治“十四五”规划</w:t>
      </w:r>
      <w:r>
        <w:rPr>
          <w:rFonts w:hint="eastAsia"/>
          <w:color w:val="auto"/>
          <w:highlight w:val="none"/>
          <w:lang w:eastAsia="zh-CN"/>
        </w:rPr>
        <w:t>》、</w:t>
      </w:r>
      <w:r>
        <w:rPr>
          <w:color w:val="auto"/>
          <w:szCs w:val="21"/>
          <w:highlight w:val="none"/>
        </w:rPr>
        <w:t>《重点行业挥发性有机物综合治理实施方案》（环大气[2019]53号）、</w:t>
      </w:r>
      <w:r>
        <w:rPr>
          <w:rFonts w:hint="eastAsia"/>
          <w:color w:val="auto"/>
          <w:szCs w:val="21"/>
          <w:highlight w:val="none"/>
          <w:lang w:eastAsia="zh-CN"/>
        </w:rPr>
        <w:t>《</w:t>
      </w:r>
      <w:r>
        <w:rPr>
          <w:rFonts w:hint="eastAsia"/>
          <w:color w:val="auto"/>
          <w:szCs w:val="21"/>
          <w:highlight w:val="none"/>
          <w:lang w:val="en-US" w:eastAsia="zh-CN"/>
        </w:rPr>
        <w:t>云南省重点行业挥发性有机物综合治理实施方案</w:t>
      </w:r>
      <w:r>
        <w:rPr>
          <w:rFonts w:hint="eastAsia"/>
          <w:color w:val="auto"/>
          <w:szCs w:val="21"/>
          <w:highlight w:val="none"/>
          <w:lang w:eastAsia="zh-CN"/>
        </w:rPr>
        <w:t>》（</w:t>
      </w:r>
      <w:r>
        <w:rPr>
          <w:rFonts w:hint="eastAsia"/>
          <w:color w:val="auto"/>
          <w:szCs w:val="21"/>
          <w:highlight w:val="none"/>
          <w:lang w:val="en-US" w:eastAsia="zh-CN"/>
        </w:rPr>
        <w:t>云环通[2019]125号</w:t>
      </w:r>
      <w:r>
        <w:rPr>
          <w:rFonts w:hint="eastAsia"/>
          <w:color w:val="auto"/>
          <w:szCs w:val="21"/>
          <w:highlight w:val="none"/>
          <w:lang w:eastAsia="zh-CN"/>
        </w:rPr>
        <w:t>）、</w:t>
      </w:r>
      <w:r>
        <w:rPr>
          <w:color w:val="auto"/>
          <w:szCs w:val="21"/>
          <w:highlight w:val="none"/>
          <w:u w:color="000000"/>
        </w:rPr>
        <w:t>《挥发性有机物（VOCs）污染防治技术政策》</w:t>
      </w:r>
      <w:r>
        <w:rPr>
          <w:color w:val="auto"/>
          <w:highlight w:val="none"/>
        </w:rPr>
        <w:t>、</w:t>
      </w:r>
      <w:r>
        <w:rPr>
          <w:rFonts w:hint="eastAsia"/>
          <w:color w:val="auto"/>
          <w:highlight w:val="none"/>
          <w:lang w:eastAsia="zh-CN"/>
        </w:rPr>
        <w:t>《</w:t>
      </w:r>
      <w:r>
        <w:rPr>
          <w:rFonts w:hint="eastAsia"/>
          <w:color w:val="auto"/>
          <w:highlight w:val="none"/>
          <w:lang w:val="en-US" w:eastAsia="zh-CN"/>
        </w:rPr>
        <w:t>昆明市大气污染防治条例》、《云南省土壤污染防治条例》、《云南省长江经济带发展负面清单指南实施细则（试行，2022年版）》等相关要求</w:t>
      </w:r>
      <w:r>
        <w:rPr>
          <w:color w:val="auto"/>
          <w:highlight w:val="none"/>
        </w:rPr>
        <w:t>。</w:t>
      </w:r>
    </w:p>
    <w:p>
      <w:pPr>
        <w:pStyle w:val="23"/>
        <w:spacing w:after="0" w:line="360" w:lineRule="auto"/>
        <w:ind w:left="0" w:leftChars="0"/>
        <w:rPr>
          <w:b/>
          <w:bCs/>
          <w:color w:val="auto"/>
          <w:sz w:val="24"/>
          <w:szCs w:val="24"/>
          <w:highlight w:val="none"/>
        </w:rPr>
      </w:pPr>
      <w:bookmarkStart w:id="57" w:name="_Toc16785081"/>
      <w:bookmarkStart w:id="58" w:name="_Toc367281987"/>
      <w:bookmarkStart w:id="59" w:name="_Toc503157653"/>
      <w:bookmarkStart w:id="60" w:name="_Toc532819541"/>
      <w:bookmarkStart w:id="61" w:name="_Toc367281404"/>
      <w:bookmarkStart w:id="62" w:name="_Toc532992643"/>
      <w:bookmarkStart w:id="63" w:name="_Toc22913334"/>
      <w:bookmarkStart w:id="64" w:name="_Toc15929816"/>
      <w:bookmarkStart w:id="65" w:name="_Toc501599591"/>
      <w:bookmarkStart w:id="66" w:name="_Toc534057487"/>
      <w:bookmarkStart w:id="67" w:name="_Toc501531290"/>
      <w:bookmarkStart w:id="68" w:name="_Toc75908587"/>
      <w:bookmarkStart w:id="69" w:name="_Toc16495655"/>
      <w:bookmarkStart w:id="70" w:name="_Toc513947165"/>
      <w:r>
        <w:rPr>
          <w:b/>
          <w:bCs/>
          <w:color w:val="auto"/>
          <w:sz w:val="24"/>
          <w:szCs w:val="24"/>
          <w:highlight w:val="none"/>
        </w:rPr>
        <w:t>四、主要环境问题</w:t>
      </w:r>
      <w:bookmarkEnd w:id="57"/>
      <w:bookmarkEnd w:id="58"/>
      <w:bookmarkEnd w:id="59"/>
      <w:bookmarkEnd w:id="60"/>
      <w:bookmarkEnd w:id="61"/>
      <w:bookmarkEnd w:id="62"/>
      <w:bookmarkEnd w:id="63"/>
      <w:bookmarkEnd w:id="64"/>
      <w:bookmarkEnd w:id="65"/>
      <w:bookmarkEnd w:id="66"/>
      <w:bookmarkEnd w:id="67"/>
      <w:bookmarkEnd w:id="68"/>
      <w:bookmarkEnd w:id="69"/>
      <w:bookmarkEnd w:id="70"/>
    </w:p>
    <w:p>
      <w:pPr>
        <w:spacing w:line="360" w:lineRule="auto"/>
        <w:ind w:firstLine="480"/>
        <w:rPr>
          <w:color w:val="auto"/>
          <w:sz w:val="24"/>
          <w:highlight w:val="none"/>
          <w:lang w:bidi="en-US"/>
        </w:rPr>
      </w:pPr>
      <w:r>
        <w:rPr>
          <w:color w:val="auto"/>
          <w:sz w:val="24"/>
          <w:highlight w:val="none"/>
        </w:rPr>
        <w:t>根据项目工程特点，</w:t>
      </w:r>
      <w:r>
        <w:rPr>
          <w:color w:val="auto"/>
          <w:sz w:val="24"/>
          <w:highlight w:val="none"/>
          <w:lang w:bidi="en-US"/>
        </w:rPr>
        <w:t>本项目关注的主要</w:t>
      </w:r>
      <w:r>
        <w:rPr>
          <w:rFonts w:hint="eastAsia"/>
          <w:color w:val="auto"/>
          <w:sz w:val="24"/>
          <w:highlight w:val="none"/>
          <w:lang w:eastAsia="zh-CN" w:bidi="en-US"/>
        </w:rPr>
        <w:t>环境影响</w:t>
      </w:r>
      <w:r>
        <w:rPr>
          <w:color w:val="auto"/>
          <w:sz w:val="24"/>
          <w:highlight w:val="none"/>
          <w:lang w:bidi="en-US"/>
        </w:rPr>
        <w:t>为：本项目为新建项目，主要以</w:t>
      </w:r>
      <w:r>
        <w:rPr>
          <w:rFonts w:hint="eastAsia"/>
          <w:color w:val="auto"/>
          <w:sz w:val="24"/>
          <w:highlight w:val="none"/>
          <w:lang w:val="en-US" w:eastAsia="zh-CN" w:bidi="en-US"/>
        </w:rPr>
        <w:t>聚丙烯再生树脂颗粒（再生料和新料）</w:t>
      </w:r>
      <w:r>
        <w:rPr>
          <w:bCs/>
          <w:color w:val="auto"/>
          <w:kern w:val="0"/>
          <w:sz w:val="24"/>
          <w:highlight w:val="none"/>
          <w:lang w:val="en-GB"/>
        </w:rPr>
        <w:t>为原料，</w:t>
      </w:r>
      <w:r>
        <w:rPr>
          <w:bCs/>
          <w:color w:val="auto"/>
          <w:kern w:val="0"/>
          <w:sz w:val="24"/>
          <w:highlight w:val="none"/>
        </w:rPr>
        <w:t>生产</w:t>
      </w:r>
      <w:r>
        <w:rPr>
          <w:rFonts w:hint="eastAsia"/>
          <w:bCs/>
          <w:color w:val="auto"/>
          <w:kern w:val="0"/>
          <w:sz w:val="24"/>
          <w:highlight w:val="none"/>
          <w:lang w:val="en-US" w:eastAsia="zh-CN"/>
        </w:rPr>
        <w:t>蔬菜框</w:t>
      </w:r>
      <w:r>
        <w:rPr>
          <w:bCs/>
          <w:color w:val="auto"/>
          <w:kern w:val="0"/>
          <w:sz w:val="24"/>
          <w:highlight w:val="none"/>
          <w:lang w:val="en-GB"/>
        </w:rPr>
        <w:t>。</w:t>
      </w:r>
      <w:r>
        <w:rPr>
          <w:color w:val="auto"/>
          <w:sz w:val="24"/>
          <w:highlight w:val="none"/>
          <w:lang w:bidi="en-US"/>
        </w:rPr>
        <w:t>主要环境影响包括大气环境影响、地表水环境影响、噪声环境影响、固体废物影响等。</w:t>
      </w:r>
    </w:p>
    <w:p>
      <w:pPr>
        <w:spacing w:line="360" w:lineRule="auto"/>
        <w:ind w:firstLine="540" w:firstLineChars="225"/>
        <w:rPr>
          <w:color w:val="auto"/>
          <w:sz w:val="24"/>
          <w:highlight w:val="none"/>
        </w:rPr>
      </w:pPr>
      <w:r>
        <w:rPr>
          <w:color w:val="auto"/>
          <w:sz w:val="24"/>
          <w:highlight w:val="none"/>
        </w:rPr>
        <w:t>根据项目现场调查的结果，本项目关注的主要环境问题为：</w:t>
      </w:r>
    </w:p>
    <w:p>
      <w:pPr>
        <w:spacing w:line="360" w:lineRule="auto"/>
        <w:ind w:firstLine="540" w:firstLineChars="225"/>
        <w:rPr>
          <w:color w:val="auto"/>
          <w:sz w:val="24"/>
          <w:highlight w:val="none"/>
        </w:rPr>
      </w:pPr>
      <w:r>
        <w:rPr>
          <w:color w:val="auto"/>
          <w:sz w:val="24"/>
          <w:highlight w:val="none"/>
        </w:rPr>
        <w:t>（1）</w:t>
      </w:r>
      <w:r>
        <w:rPr>
          <w:rFonts w:hint="eastAsia"/>
          <w:color w:val="auto"/>
          <w:sz w:val="24"/>
          <w:highlight w:val="none"/>
          <w:lang w:val="en-US" w:eastAsia="zh-CN"/>
        </w:rPr>
        <w:t>重点关注生产过程中非甲烷总烃、颗粒物达标排放的可行性</w:t>
      </w:r>
      <w:r>
        <w:rPr>
          <w:color w:val="auto"/>
          <w:sz w:val="24"/>
          <w:highlight w:val="none"/>
        </w:rPr>
        <w:t>。</w:t>
      </w:r>
    </w:p>
    <w:p>
      <w:pPr>
        <w:spacing w:line="360" w:lineRule="auto"/>
        <w:ind w:firstLine="540" w:firstLineChars="225"/>
        <w:rPr>
          <w:color w:val="auto"/>
          <w:sz w:val="24"/>
          <w:highlight w:val="none"/>
        </w:rPr>
      </w:pPr>
      <w:r>
        <w:rPr>
          <w:color w:val="auto"/>
          <w:sz w:val="24"/>
          <w:highlight w:val="none"/>
        </w:rPr>
        <w:t>（2）</w:t>
      </w:r>
      <w:r>
        <w:rPr>
          <w:rFonts w:hint="eastAsia"/>
          <w:color w:val="auto"/>
          <w:sz w:val="24"/>
          <w:highlight w:val="none"/>
          <w:lang w:val="en-US" w:eastAsia="zh-CN"/>
        </w:rPr>
        <w:t>重点分析项目水污染控制措施的有效性</w:t>
      </w:r>
      <w:r>
        <w:rPr>
          <w:color w:val="auto"/>
          <w:sz w:val="24"/>
          <w:highlight w:val="none"/>
        </w:rPr>
        <w:t>。</w:t>
      </w:r>
    </w:p>
    <w:p>
      <w:pPr>
        <w:spacing w:line="360" w:lineRule="auto"/>
        <w:ind w:firstLine="540" w:firstLineChars="225"/>
        <w:rPr>
          <w:color w:val="auto"/>
          <w:sz w:val="24"/>
          <w:highlight w:val="none"/>
        </w:rPr>
      </w:pPr>
      <w:r>
        <w:rPr>
          <w:color w:val="auto"/>
          <w:sz w:val="24"/>
          <w:highlight w:val="none"/>
        </w:rPr>
        <w:t>（3）</w:t>
      </w:r>
      <w:r>
        <w:rPr>
          <w:rFonts w:hint="eastAsia"/>
          <w:color w:val="auto"/>
          <w:sz w:val="24"/>
          <w:highlight w:val="none"/>
          <w:lang w:val="en-US" w:eastAsia="zh-CN"/>
        </w:rPr>
        <w:t>分析选址可行性及公众对项目的意见</w:t>
      </w:r>
      <w:r>
        <w:rPr>
          <w:color w:val="auto"/>
          <w:sz w:val="24"/>
          <w:highlight w:val="none"/>
        </w:rPr>
        <w:t>。</w:t>
      </w:r>
    </w:p>
    <w:p>
      <w:pPr>
        <w:spacing w:line="360" w:lineRule="auto"/>
        <w:ind w:firstLine="540" w:firstLineChars="225"/>
        <w:rPr>
          <w:color w:val="auto"/>
          <w:sz w:val="24"/>
          <w:highlight w:val="none"/>
        </w:rPr>
      </w:pPr>
      <w:r>
        <w:rPr>
          <w:color w:val="auto"/>
          <w:sz w:val="24"/>
          <w:highlight w:val="none"/>
        </w:rPr>
        <w:t>（4）运营期各类固废是否全部合理处置</w:t>
      </w:r>
      <w:r>
        <w:rPr>
          <w:rFonts w:hint="eastAsia"/>
          <w:color w:val="auto"/>
          <w:sz w:val="24"/>
          <w:highlight w:val="none"/>
          <w:lang w:eastAsia="zh-CN"/>
        </w:rPr>
        <w:t>、</w:t>
      </w:r>
      <w:r>
        <w:rPr>
          <w:rFonts w:hint="eastAsia"/>
          <w:color w:val="auto"/>
          <w:sz w:val="24"/>
          <w:highlight w:val="none"/>
          <w:lang w:val="en-US" w:eastAsia="zh-CN"/>
        </w:rPr>
        <w:t>各类固体废物处置的可行性和可靠性</w:t>
      </w:r>
      <w:r>
        <w:rPr>
          <w:color w:val="auto"/>
          <w:sz w:val="24"/>
          <w:highlight w:val="none"/>
        </w:rPr>
        <w:t>。</w:t>
      </w:r>
    </w:p>
    <w:p>
      <w:pPr>
        <w:spacing w:line="360" w:lineRule="auto"/>
        <w:ind w:firstLine="540" w:firstLineChars="225"/>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rFonts w:hint="eastAsia"/>
          <w:color w:val="auto"/>
          <w:sz w:val="24"/>
          <w:highlight w:val="none"/>
          <w:lang w:val="en-US" w:eastAsia="zh-CN"/>
        </w:rPr>
        <w:t>运行期厂界噪声的达标可行性、风险防范可行性。</w:t>
      </w:r>
    </w:p>
    <w:p>
      <w:pPr>
        <w:pStyle w:val="23"/>
        <w:spacing w:after="0" w:line="360" w:lineRule="auto"/>
        <w:ind w:left="0" w:leftChars="0"/>
        <w:rPr>
          <w:b/>
          <w:bCs/>
          <w:color w:val="auto"/>
          <w:sz w:val="24"/>
          <w:szCs w:val="24"/>
          <w:highlight w:val="none"/>
        </w:rPr>
      </w:pPr>
      <w:bookmarkStart w:id="71" w:name="_Toc15929817"/>
      <w:bookmarkStart w:id="72" w:name="_Toc16785082"/>
      <w:bookmarkStart w:id="73" w:name="_Toc22913335"/>
      <w:bookmarkStart w:id="74" w:name="_Toc75908588"/>
      <w:bookmarkStart w:id="75" w:name="_Toc16495656"/>
      <w:r>
        <w:rPr>
          <w:b/>
          <w:bCs/>
          <w:color w:val="auto"/>
          <w:sz w:val="24"/>
          <w:szCs w:val="24"/>
          <w:highlight w:val="none"/>
        </w:rPr>
        <w:t>五、评价结论</w:t>
      </w:r>
      <w:bookmarkEnd w:id="48"/>
      <w:bookmarkEnd w:id="49"/>
      <w:bookmarkEnd w:id="50"/>
      <w:bookmarkEnd w:id="51"/>
      <w:bookmarkEnd w:id="52"/>
      <w:bookmarkEnd w:id="53"/>
      <w:bookmarkEnd w:id="54"/>
      <w:bookmarkEnd w:id="55"/>
      <w:bookmarkEnd w:id="56"/>
      <w:bookmarkEnd w:id="71"/>
      <w:bookmarkEnd w:id="72"/>
      <w:bookmarkEnd w:id="73"/>
      <w:bookmarkEnd w:id="74"/>
      <w:bookmarkEnd w:id="75"/>
    </w:p>
    <w:p>
      <w:pPr>
        <w:spacing w:line="360" w:lineRule="auto"/>
        <w:ind w:firstLine="540" w:firstLineChars="225"/>
        <w:rPr>
          <w:color w:val="auto"/>
          <w:sz w:val="24"/>
          <w:highlight w:val="none"/>
        </w:rPr>
      </w:pPr>
      <w:r>
        <w:rPr>
          <w:color w:val="auto"/>
          <w:sz w:val="24"/>
          <w:highlight w:val="none"/>
        </w:rPr>
        <w:t>根据《建设项目环境影响评价技术导则 总纲》（HJ2.1-2016）以及项目情况分析，建设单位只要认真落实环评报告书和可研报告书提出的各种环保措施和建议，加强风险事故的控制，加强环境保护管理，并严格执行环评提出的各项环保措施的条件下，项目不存在重大环境制约因素，环境影响在可接受范围内，环境风险在可控范围内，环境保护措施经济技术能够满足长期稳定达标及环境保护要求，项目建设能满足区域环境质量要求，项目建设从环保角度而言可行。</w:t>
      </w:r>
    </w:p>
    <w:p>
      <w:pPr>
        <w:pStyle w:val="21"/>
        <w:spacing w:after="0" w:line="360" w:lineRule="auto"/>
        <w:rPr>
          <w:color w:val="auto"/>
          <w:highlight w:val="none"/>
        </w:rPr>
      </w:pPr>
    </w:p>
    <w:p>
      <w:pPr>
        <w:spacing w:line="360" w:lineRule="auto"/>
        <w:ind w:firstLine="540" w:firstLineChars="225"/>
        <w:rPr>
          <w:color w:val="auto"/>
          <w:sz w:val="24"/>
          <w:highlight w:val="none"/>
        </w:rPr>
        <w:sectPr>
          <w:headerReference r:id="rId5" w:type="default"/>
          <w:footerReference r:id="rId6" w:type="default"/>
          <w:pgSz w:w="11906" w:h="16838"/>
          <w:pgMar w:top="1418" w:right="1418" w:bottom="1418" w:left="2155" w:header="992" w:footer="992" w:gutter="0"/>
          <w:pgBorders>
            <w:top w:val="none" w:sz="0" w:space="0"/>
            <w:left w:val="none" w:sz="0" w:space="0"/>
            <w:bottom w:val="none" w:sz="0" w:space="0"/>
            <w:right w:val="none" w:sz="0" w:space="0"/>
          </w:pgBorders>
          <w:pgNumType w:fmt="decimal" w:start="1"/>
          <w:cols w:space="425" w:num="1"/>
          <w:docGrid w:linePitch="312" w:charSpace="0"/>
        </w:sectPr>
      </w:pPr>
    </w:p>
    <w:bookmarkEnd w:id="0"/>
    <w:bookmarkEnd w:id="1"/>
    <w:bookmarkEnd w:id="2"/>
    <w:p>
      <w:pPr>
        <w:pStyle w:val="2"/>
        <w:spacing w:before="0" w:after="0" w:line="360" w:lineRule="auto"/>
        <w:rPr>
          <w:color w:val="auto"/>
          <w:sz w:val="32"/>
          <w:szCs w:val="32"/>
          <w:highlight w:val="none"/>
        </w:rPr>
      </w:pPr>
      <w:bookmarkStart w:id="76" w:name="_Toc341369371"/>
      <w:bookmarkStart w:id="77" w:name="_Toc23319"/>
      <w:bookmarkStart w:id="78" w:name="_Toc367281989"/>
      <w:bookmarkStart w:id="79" w:name="_Toc75908589"/>
      <w:bookmarkStart w:id="80" w:name="_Toc367281406"/>
      <w:bookmarkStart w:id="81" w:name="_Toc275730285"/>
      <w:bookmarkStart w:id="82" w:name="_Toc275001921"/>
      <w:bookmarkStart w:id="83" w:name="_Toc189128878"/>
      <w:bookmarkStart w:id="84" w:name="_Toc259130145"/>
      <w:bookmarkStart w:id="85" w:name="_Toc178676307"/>
      <w:bookmarkStart w:id="86" w:name="_Toc89766903"/>
      <w:bookmarkStart w:id="87" w:name="_Toc172915166"/>
      <w:bookmarkStart w:id="88" w:name="_Toc259128778"/>
      <w:bookmarkStart w:id="89" w:name="_Toc259103880"/>
      <w:bookmarkStart w:id="90" w:name="_Toc123697015"/>
      <w:bookmarkStart w:id="91" w:name="_Toc3971855"/>
      <w:bookmarkStart w:id="92" w:name="_Toc533649608"/>
      <w:bookmarkStart w:id="93" w:name="_Toc225617342"/>
      <w:bookmarkStart w:id="94" w:name="_Toc172077709"/>
      <w:bookmarkStart w:id="95" w:name="_Toc89781833"/>
      <w:bookmarkStart w:id="96" w:name="_Toc277495464"/>
      <w:bookmarkStart w:id="97" w:name="_Toc300244708"/>
      <w:bookmarkStart w:id="98" w:name="_Toc259104560"/>
      <w:bookmarkStart w:id="99" w:name="_Toc163373163"/>
      <w:r>
        <w:rPr>
          <w:color w:val="auto"/>
          <w:sz w:val="32"/>
          <w:szCs w:val="32"/>
          <w:highlight w:val="none"/>
        </w:rPr>
        <w:t>1、总</w:t>
      </w:r>
      <w:bookmarkEnd w:id="76"/>
      <w:r>
        <w:rPr>
          <w:color w:val="auto"/>
          <w:sz w:val="32"/>
          <w:szCs w:val="32"/>
          <w:highlight w:val="none"/>
        </w:rPr>
        <w:t>则</w:t>
      </w:r>
      <w:bookmarkEnd w:id="77"/>
      <w:bookmarkEnd w:id="78"/>
      <w:bookmarkEnd w:id="79"/>
      <w:bookmarkEnd w:id="80"/>
    </w:p>
    <w:bookmarkEnd w:id="81"/>
    <w:bookmarkEnd w:id="82"/>
    <w:p>
      <w:pPr>
        <w:pStyle w:val="3"/>
        <w:spacing w:before="0" w:after="0" w:line="360" w:lineRule="auto"/>
        <w:ind w:left="0"/>
        <w:textAlignment w:val="baseline"/>
        <w:rPr>
          <w:rFonts w:ascii="Times New Roman" w:hAnsi="Times New Roman" w:eastAsia="宋体"/>
          <w:color w:val="auto"/>
          <w:sz w:val="28"/>
          <w:szCs w:val="20"/>
          <w:highlight w:val="none"/>
        </w:rPr>
      </w:pPr>
      <w:bookmarkStart w:id="100" w:name="_Toc367281990"/>
      <w:bookmarkStart w:id="101" w:name="_Toc25930"/>
      <w:bookmarkStart w:id="102" w:name="_Toc341369372"/>
      <w:bookmarkStart w:id="103" w:name="_Toc75908590"/>
      <w:bookmarkStart w:id="104" w:name="_Toc367281407"/>
      <w:r>
        <w:rPr>
          <w:rFonts w:ascii="Times New Roman" w:hAnsi="Times New Roman" w:eastAsia="宋体"/>
          <w:color w:val="auto"/>
          <w:sz w:val="28"/>
          <w:szCs w:val="20"/>
          <w:highlight w:val="none"/>
        </w:rPr>
        <w:t>1.1编制依据</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keepNext/>
        <w:keepLines/>
        <w:spacing w:line="360" w:lineRule="auto"/>
        <w:outlineLvl w:val="2"/>
        <w:rPr>
          <w:b/>
          <w:bCs/>
          <w:color w:val="auto"/>
          <w:sz w:val="24"/>
          <w:highlight w:val="none"/>
        </w:rPr>
      </w:pPr>
      <w:bookmarkStart w:id="105" w:name="_Toc259104562"/>
      <w:bookmarkStart w:id="106" w:name="_Toc189128880"/>
      <w:bookmarkStart w:id="107" w:name="_Toc225617344"/>
      <w:bookmarkStart w:id="108" w:name="_Toc178676309"/>
      <w:bookmarkStart w:id="109" w:name="_Toc172915168"/>
      <w:bookmarkStart w:id="110" w:name="_Toc341369374"/>
      <w:bookmarkStart w:id="111" w:name="_Toc277495466"/>
      <w:bookmarkStart w:id="112" w:name="_Toc367281409"/>
      <w:bookmarkStart w:id="113" w:name="_Toc367281992"/>
      <w:bookmarkStart w:id="114" w:name="_Toc75908591"/>
      <w:bookmarkStart w:id="115" w:name="_Toc259130147"/>
      <w:bookmarkStart w:id="116" w:name="_Toc300244710"/>
      <w:bookmarkStart w:id="117" w:name="_Toc259103882"/>
      <w:bookmarkStart w:id="118" w:name="_Toc19868"/>
      <w:bookmarkStart w:id="119" w:name="_Toc172077711"/>
      <w:bookmarkStart w:id="120" w:name="_Toc259128780"/>
      <w:r>
        <w:rPr>
          <w:b/>
          <w:bCs/>
          <w:color w:val="auto"/>
          <w:sz w:val="24"/>
          <w:highlight w:val="none"/>
        </w:rPr>
        <w:t>1.1.1法律、法规依据</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spacing w:line="360" w:lineRule="auto"/>
        <w:ind w:firstLine="480" w:firstLineChars="200"/>
        <w:rPr>
          <w:color w:val="auto"/>
          <w:sz w:val="24"/>
          <w:highlight w:val="none"/>
        </w:rPr>
      </w:pPr>
      <w:r>
        <w:rPr>
          <w:color w:val="auto"/>
          <w:sz w:val="24"/>
          <w:highlight w:val="none"/>
        </w:rPr>
        <w:t>（1）《中华人民共和国环境保护法》（2014年4月24日第十二届全国人民代表大会常务委员会第八次会议修订，2015年1月1日起施行）；</w:t>
      </w:r>
    </w:p>
    <w:p>
      <w:pPr>
        <w:spacing w:line="360" w:lineRule="auto"/>
        <w:ind w:firstLine="480" w:firstLineChars="200"/>
        <w:rPr>
          <w:color w:val="auto"/>
          <w:sz w:val="24"/>
          <w:highlight w:val="none"/>
        </w:rPr>
      </w:pPr>
      <w:r>
        <w:rPr>
          <w:color w:val="auto"/>
          <w:sz w:val="24"/>
          <w:highlight w:val="none"/>
        </w:rPr>
        <w:t>（2）《中华人民共和国环境影响评价法》（根据2018年12月29日第十三届全国人民代表大会常务委员会第七次会议修正）；</w:t>
      </w:r>
      <w:r>
        <w:rPr>
          <w:rFonts w:hint="eastAsia"/>
          <w:color w:val="auto"/>
          <w:sz w:val="24"/>
          <w:highlight w:val="none"/>
        </w:rPr>
        <w:t xml:space="preserve"> </w:t>
      </w:r>
    </w:p>
    <w:p>
      <w:pPr>
        <w:spacing w:line="360" w:lineRule="auto"/>
        <w:ind w:firstLine="480" w:firstLineChars="200"/>
        <w:rPr>
          <w:color w:val="auto"/>
          <w:sz w:val="24"/>
          <w:highlight w:val="none"/>
        </w:rPr>
      </w:pPr>
      <w:r>
        <w:rPr>
          <w:color w:val="auto"/>
          <w:sz w:val="24"/>
          <w:highlight w:val="none"/>
        </w:rPr>
        <w:t>（3）《中华人民共和国大气污染防治法》（根据2018年10月26日第十三届全国人民代表大会常务委员会第六次会议修正）；</w:t>
      </w:r>
    </w:p>
    <w:p>
      <w:pPr>
        <w:spacing w:line="360" w:lineRule="auto"/>
        <w:ind w:firstLine="480" w:firstLineChars="200"/>
        <w:rPr>
          <w:color w:val="auto"/>
          <w:sz w:val="24"/>
          <w:highlight w:val="none"/>
        </w:rPr>
      </w:pPr>
      <w:r>
        <w:rPr>
          <w:color w:val="auto"/>
          <w:sz w:val="24"/>
          <w:highlight w:val="none"/>
        </w:rPr>
        <w:t>（4）《中华人民共和国水污染防治法》（根据2017年</w:t>
      </w:r>
      <w:r>
        <w:rPr>
          <w:color w:val="auto"/>
          <w:spacing w:val="-57"/>
          <w:sz w:val="24"/>
          <w:highlight w:val="none"/>
        </w:rPr>
        <w:t xml:space="preserve"> </w:t>
      </w:r>
      <w:r>
        <w:rPr>
          <w:color w:val="auto"/>
          <w:sz w:val="24"/>
          <w:highlight w:val="none"/>
        </w:rPr>
        <w:t>6月</w:t>
      </w:r>
      <w:r>
        <w:rPr>
          <w:color w:val="auto"/>
          <w:spacing w:val="-57"/>
          <w:sz w:val="24"/>
          <w:highlight w:val="none"/>
        </w:rPr>
        <w:t xml:space="preserve"> </w:t>
      </w:r>
      <w:r>
        <w:rPr>
          <w:color w:val="auto"/>
          <w:sz w:val="24"/>
          <w:highlight w:val="none"/>
        </w:rPr>
        <w:t>27日第十二届全国人民代表大会常务委员会第二十八次会议修正，2018年1月1日实施）；</w:t>
      </w:r>
    </w:p>
    <w:p>
      <w:pPr>
        <w:spacing w:line="360" w:lineRule="auto"/>
        <w:ind w:firstLine="480" w:firstLineChars="200"/>
        <w:rPr>
          <w:color w:val="auto"/>
          <w:sz w:val="24"/>
          <w:highlight w:val="none"/>
        </w:rPr>
      </w:pPr>
      <w:r>
        <w:rPr>
          <w:color w:val="auto"/>
          <w:sz w:val="24"/>
          <w:highlight w:val="none"/>
        </w:rPr>
        <w:t>（5）《中华人民共和国水污染防治法实施细则》（2000年3月20日）；</w:t>
      </w:r>
    </w:p>
    <w:p>
      <w:pPr>
        <w:spacing w:line="360" w:lineRule="auto"/>
        <w:ind w:firstLine="480" w:firstLineChars="200"/>
        <w:rPr>
          <w:color w:val="auto"/>
          <w:sz w:val="24"/>
          <w:highlight w:val="none"/>
        </w:rPr>
      </w:pPr>
      <w:r>
        <w:rPr>
          <w:color w:val="auto"/>
          <w:sz w:val="24"/>
          <w:highlight w:val="none"/>
        </w:rPr>
        <w:t>（6）《中华人民共和国固体废物污染环境防治法》（</w:t>
      </w:r>
      <w:r>
        <w:rPr>
          <w:color w:val="auto"/>
          <w:kern w:val="0"/>
          <w:sz w:val="24"/>
          <w:highlight w:val="none"/>
        </w:rPr>
        <w:t>2020年4月29日修订，2020年9月1日起施行</w:t>
      </w:r>
      <w:r>
        <w:rPr>
          <w:color w:val="auto"/>
          <w:sz w:val="24"/>
          <w:highlight w:val="none"/>
        </w:rPr>
        <w:t>）；</w:t>
      </w:r>
    </w:p>
    <w:p>
      <w:pPr>
        <w:spacing w:line="360" w:lineRule="auto"/>
        <w:ind w:firstLine="480" w:firstLineChars="200"/>
        <w:rPr>
          <w:color w:val="auto"/>
          <w:sz w:val="24"/>
          <w:highlight w:val="none"/>
        </w:rPr>
      </w:pPr>
      <w:r>
        <w:rPr>
          <w:color w:val="auto"/>
          <w:sz w:val="24"/>
          <w:highlight w:val="none"/>
        </w:rPr>
        <w:t>（7）《中华人民共和国环境噪声污染防治法》（</w:t>
      </w:r>
      <w:r>
        <w:rPr>
          <w:rFonts w:hint="eastAsia"/>
          <w:color w:val="auto"/>
          <w:sz w:val="24"/>
          <w:highlight w:val="none"/>
          <w:lang w:val="en-US" w:eastAsia="zh-CN"/>
        </w:rPr>
        <w:t>2021年12月24日第十三届全国人民代表大会常务委员会第三十二次会议通过，自2022年6月5日起施行</w:t>
      </w:r>
      <w:r>
        <w:rPr>
          <w:color w:val="auto"/>
          <w:sz w:val="24"/>
          <w:highlight w:val="none"/>
        </w:rPr>
        <w:t>）；</w:t>
      </w:r>
    </w:p>
    <w:p>
      <w:pPr>
        <w:spacing w:line="360" w:lineRule="auto"/>
        <w:ind w:firstLine="480" w:firstLineChars="200"/>
        <w:rPr>
          <w:color w:val="auto"/>
          <w:sz w:val="24"/>
          <w:highlight w:val="none"/>
        </w:rPr>
      </w:pPr>
      <w:r>
        <w:rPr>
          <w:color w:val="auto"/>
          <w:sz w:val="24"/>
          <w:highlight w:val="none"/>
        </w:rPr>
        <w:t>（8）《中华人民共和国土壤污染防治法》（2018年8月31日第十三届全国人民代表大会常务委员会第五次会议通过）；</w:t>
      </w:r>
    </w:p>
    <w:p>
      <w:pPr>
        <w:spacing w:line="360" w:lineRule="auto"/>
        <w:ind w:firstLine="480" w:firstLineChars="200"/>
        <w:rPr>
          <w:color w:val="auto"/>
          <w:sz w:val="24"/>
          <w:highlight w:val="none"/>
        </w:rPr>
      </w:pPr>
      <w:r>
        <w:rPr>
          <w:color w:val="auto"/>
          <w:sz w:val="24"/>
          <w:highlight w:val="none"/>
        </w:rPr>
        <w:t>（9）《中华人民共和国土地管理法》（2004年8月28日）；</w:t>
      </w:r>
    </w:p>
    <w:p>
      <w:pPr>
        <w:spacing w:line="360" w:lineRule="auto"/>
        <w:ind w:firstLine="480" w:firstLineChars="200"/>
        <w:rPr>
          <w:color w:val="auto"/>
          <w:sz w:val="24"/>
          <w:highlight w:val="none"/>
        </w:rPr>
      </w:pPr>
      <w:r>
        <w:rPr>
          <w:color w:val="auto"/>
          <w:sz w:val="24"/>
          <w:highlight w:val="none"/>
        </w:rPr>
        <w:t>（10）《中华人民共和国节约能源法》（2008年4月1日）；</w:t>
      </w:r>
    </w:p>
    <w:p>
      <w:pPr>
        <w:spacing w:line="360" w:lineRule="auto"/>
        <w:ind w:firstLine="480" w:firstLineChars="200"/>
        <w:rPr>
          <w:color w:val="auto"/>
          <w:sz w:val="24"/>
          <w:highlight w:val="none"/>
        </w:rPr>
      </w:pPr>
      <w:r>
        <w:rPr>
          <w:color w:val="auto"/>
          <w:sz w:val="24"/>
          <w:highlight w:val="none"/>
        </w:rPr>
        <w:t>（11）《中华人民共和国城乡规划法》（2008年1月1日）；</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2</w:t>
      </w:r>
      <w:r>
        <w:rPr>
          <w:color w:val="auto"/>
          <w:sz w:val="24"/>
          <w:highlight w:val="none"/>
        </w:rPr>
        <w:t>）《建设项目环境保护管理条例》（国务院令第682号，2017年6月21日通过，自2017年10月1日起施行）；</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3</w:t>
      </w:r>
      <w:r>
        <w:rPr>
          <w:color w:val="auto"/>
          <w:sz w:val="24"/>
          <w:highlight w:val="none"/>
        </w:rPr>
        <w:t>）《国务院关于印发土壤污染防治行动计划的通知》（国发〔2016〕31号）；</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4</w:t>
      </w:r>
      <w:r>
        <w:rPr>
          <w:color w:val="auto"/>
          <w:sz w:val="24"/>
          <w:highlight w:val="none"/>
        </w:rPr>
        <w:t>）《国务院关于环境保护若干问题的决定》（1996年8月16日）；</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5</w:t>
      </w:r>
      <w:r>
        <w:rPr>
          <w:color w:val="auto"/>
          <w:sz w:val="24"/>
          <w:highlight w:val="none"/>
        </w:rPr>
        <w:t>）《建设项目环境影响评价分类管理名录》（2021年版）；</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6</w:t>
      </w:r>
      <w:r>
        <w:rPr>
          <w:color w:val="auto"/>
          <w:sz w:val="24"/>
          <w:highlight w:val="none"/>
        </w:rPr>
        <w:t>）《关于执行建设项目环境影响评价制度有关问题的通知》（国</w:t>
      </w:r>
      <w:r>
        <w:rPr>
          <w:rFonts w:hint="eastAsia"/>
          <w:color w:val="auto"/>
          <w:sz w:val="24"/>
          <w:highlight w:val="none"/>
          <w:lang w:eastAsia="zh-CN"/>
        </w:rPr>
        <w:t>环发</w:t>
      </w:r>
      <w:r>
        <w:rPr>
          <w:color w:val="auto"/>
          <w:sz w:val="24"/>
          <w:highlight w:val="none"/>
        </w:rPr>
        <w:t>[1999]107号）；</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17</w:t>
      </w:r>
      <w:r>
        <w:rPr>
          <w:color w:val="auto"/>
          <w:sz w:val="24"/>
          <w:highlight w:val="none"/>
        </w:rPr>
        <w:t>）《国务院关于落实科学发展观加强环境保护的决定》（国发[2005]39号）；</w:t>
      </w:r>
      <w:r>
        <w:rPr>
          <w:rFonts w:hint="eastAsia"/>
          <w:color w:val="auto"/>
          <w:sz w:val="24"/>
          <w:highlight w:val="none"/>
        </w:rPr>
        <w:t xml:space="preserve"> </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18</w:t>
      </w:r>
      <w:r>
        <w:rPr>
          <w:color w:val="auto"/>
          <w:sz w:val="24"/>
          <w:highlight w:val="none"/>
        </w:rPr>
        <w:t>）关于深入学习贯彻《国务院关于落实科学发展观加强环境保护的决定》的通知（环发[2005]161号）；</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19</w:t>
      </w:r>
      <w:r>
        <w:rPr>
          <w:color w:val="auto"/>
          <w:sz w:val="24"/>
          <w:highlight w:val="none"/>
        </w:rPr>
        <w:t>）《国务院关于加强环境保护重点工作的意见》（国发[2011]35号）；</w:t>
      </w:r>
    </w:p>
    <w:p>
      <w:pPr>
        <w:keepNext/>
        <w:keepLines/>
        <w:spacing w:line="360" w:lineRule="auto"/>
        <w:outlineLvl w:val="2"/>
        <w:rPr>
          <w:b/>
          <w:bCs/>
          <w:color w:val="auto"/>
          <w:sz w:val="24"/>
          <w:highlight w:val="none"/>
        </w:rPr>
      </w:pPr>
      <w:bookmarkStart w:id="121" w:name="_Toc189128881"/>
      <w:bookmarkStart w:id="122" w:name="_Toc259130148"/>
      <w:bookmarkStart w:id="123" w:name="_Toc259128781"/>
      <w:bookmarkStart w:id="124" w:name="_Toc300244711"/>
      <w:bookmarkStart w:id="125" w:name="_Toc367281993"/>
      <w:bookmarkStart w:id="126" w:name="_Toc24977"/>
      <w:bookmarkStart w:id="127" w:name="_Toc178676310"/>
      <w:bookmarkStart w:id="128" w:name="_Toc277495467"/>
      <w:bookmarkStart w:id="129" w:name="_Toc259103883"/>
      <w:bookmarkStart w:id="130" w:name="_Toc225617345"/>
      <w:bookmarkStart w:id="131" w:name="_Toc259104563"/>
      <w:bookmarkStart w:id="132" w:name="_Toc341369375"/>
      <w:bookmarkStart w:id="133" w:name="_Toc367281410"/>
      <w:bookmarkStart w:id="134" w:name="_Toc172077712"/>
      <w:bookmarkStart w:id="135" w:name="_Toc75908592"/>
      <w:bookmarkStart w:id="136" w:name="_Toc172915169"/>
      <w:r>
        <w:rPr>
          <w:b/>
          <w:bCs/>
          <w:color w:val="auto"/>
          <w:sz w:val="24"/>
          <w:highlight w:val="none"/>
        </w:rPr>
        <w:t>1.1.2部门规章依据</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spacing w:line="360" w:lineRule="auto"/>
        <w:ind w:firstLine="480" w:firstLineChars="200"/>
        <w:rPr>
          <w:color w:val="auto"/>
          <w:sz w:val="24"/>
          <w:highlight w:val="none"/>
        </w:rPr>
      </w:pPr>
      <w:r>
        <w:rPr>
          <w:color w:val="auto"/>
          <w:sz w:val="24"/>
          <w:highlight w:val="none"/>
        </w:rPr>
        <w:t>（1）《建设项目环境影响评价分类管理名录》（2021年版），生态环境部令第16号，2021.1.1；</w:t>
      </w:r>
    </w:p>
    <w:p>
      <w:pPr>
        <w:spacing w:line="360" w:lineRule="auto"/>
        <w:ind w:firstLine="480" w:firstLineChars="200"/>
        <w:rPr>
          <w:color w:val="auto"/>
          <w:sz w:val="24"/>
          <w:highlight w:val="none"/>
        </w:rPr>
      </w:pPr>
      <w:r>
        <w:rPr>
          <w:color w:val="auto"/>
          <w:sz w:val="24"/>
          <w:highlight w:val="none"/>
        </w:rPr>
        <w:t>（2）《关于进一步加强环境影响评价管理防范环境风险的通知》，环发（2012）77号，2012.7.3；</w:t>
      </w:r>
    </w:p>
    <w:p>
      <w:pPr>
        <w:spacing w:line="360" w:lineRule="auto"/>
        <w:ind w:firstLine="480" w:firstLineChars="200"/>
        <w:rPr>
          <w:color w:val="auto"/>
          <w:sz w:val="24"/>
          <w:highlight w:val="none"/>
        </w:rPr>
      </w:pPr>
      <w:r>
        <w:rPr>
          <w:color w:val="auto"/>
          <w:sz w:val="24"/>
          <w:highlight w:val="none"/>
        </w:rPr>
        <w:t>（3）《产业结构调整指导目录（</w:t>
      </w:r>
      <w:r>
        <w:rPr>
          <w:rFonts w:hint="eastAsia"/>
          <w:color w:val="auto"/>
          <w:sz w:val="24"/>
          <w:highlight w:val="none"/>
          <w:lang w:val="en-US" w:eastAsia="zh-CN"/>
        </w:rPr>
        <w:t>2024</w:t>
      </w:r>
      <w:r>
        <w:rPr>
          <w:color w:val="auto"/>
          <w:sz w:val="24"/>
          <w:highlight w:val="none"/>
        </w:rPr>
        <w:t>年</w:t>
      </w:r>
      <w:r>
        <w:rPr>
          <w:rFonts w:hint="eastAsia"/>
          <w:color w:val="auto"/>
          <w:sz w:val="24"/>
          <w:highlight w:val="none"/>
        </w:rPr>
        <w:t xml:space="preserve">本 </w:t>
      </w:r>
      <w:r>
        <w:rPr>
          <w:color w:val="auto"/>
          <w:sz w:val="24"/>
          <w:highlight w:val="none"/>
        </w:rPr>
        <w:t>）》</w:t>
      </w:r>
      <w:r>
        <w:rPr>
          <w:rFonts w:hint="eastAsia"/>
          <w:color w:val="auto"/>
          <w:sz w:val="24"/>
          <w:highlight w:val="none"/>
        </w:rPr>
        <w:t>（202</w:t>
      </w:r>
      <w:r>
        <w:rPr>
          <w:rFonts w:hint="eastAsia"/>
          <w:color w:val="auto"/>
          <w:sz w:val="24"/>
          <w:highlight w:val="none"/>
          <w:lang w:val="en-US" w:eastAsia="zh-CN"/>
        </w:rPr>
        <w:t>3</w:t>
      </w:r>
      <w:r>
        <w:rPr>
          <w:rFonts w:hint="eastAsia"/>
          <w:color w:val="auto"/>
          <w:sz w:val="24"/>
          <w:highlight w:val="none"/>
        </w:rPr>
        <w:t>年修改，第</w:t>
      </w:r>
      <w:r>
        <w:rPr>
          <w:rFonts w:hint="eastAsia"/>
          <w:color w:val="auto"/>
          <w:sz w:val="24"/>
          <w:highlight w:val="none"/>
          <w:lang w:val="en-US" w:eastAsia="zh-CN"/>
        </w:rPr>
        <w:t>7</w:t>
      </w:r>
      <w:r>
        <w:rPr>
          <w:rFonts w:hint="eastAsia"/>
          <w:color w:val="auto"/>
          <w:sz w:val="24"/>
          <w:highlight w:val="none"/>
        </w:rPr>
        <w:t>号令，202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val="en-US" w:eastAsia="zh-CN"/>
        </w:rPr>
        <w:t>2</w:t>
      </w:r>
      <w:r>
        <w:rPr>
          <w:rFonts w:hint="eastAsia"/>
          <w:color w:val="auto"/>
          <w:sz w:val="24"/>
          <w:highlight w:val="none"/>
        </w:rPr>
        <w:t>月</w:t>
      </w:r>
      <w:r>
        <w:rPr>
          <w:rFonts w:hint="eastAsia"/>
          <w:color w:val="auto"/>
          <w:sz w:val="24"/>
          <w:highlight w:val="none"/>
          <w:lang w:val="en-US" w:eastAsia="zh-CN"/>
        </w:rPr>
        <w:t>1</w:t>
      </w:r>
      <w:r>
        <w:rPr>
          <w:rFonts w:hint="eastAsia"/>
          <w:color w:val="auto"/>
          <w:sz w:val="24"/>
          <w:highlight w:val="none"/>
        </w:rPr>
        <w:t>日实施）</w:t>
      </w:r>
      <w:r>
        <w:rPr>
          <w:color w:val="auto"/>
          <w:sz w:val="24"/>
          <w:highlight w:val="none"/>
        </w:rPr>
        <w:t>；</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4</w:t>
      </w:r>
      <w:r>
        <w:rPr>
          <w:color w:val="auto"/>
          <w:sz w:val="24"/>
          <w:highlight w:val="none"/>
        </w:rPr>
        <w:t>）《关于切实加强风险防范严格环境影响评价管理的通知》，环发（2012）98号，2012.8.8；</w:t>
      </w:r>
    </w:p>
    <w:p>
      <w:pPr>
        <w:spacing w:line="360" w:lineRule="auto"/>
        <w:ind w:firstLine="480" w:firstLineChars="200"/>
        <w:rPr>
          <w:color w:val="auto"/>
          <w:kern w:val="0"/>
          <w:sz w:val="24"/>
          <w:highlight w:val="none"/>
        </w:rPr>
      </w:pPr>
      <w:r>
        <w:rPr>
          <w:color w:val="auto"/>
          <w:sz w:val="24"/>
          <w:highlight w:val="none"/>
        </w:rPr>
        <w:t>（</w:t>
      </w:r>
      <w:r>
        <w:rPr>
          <w:rFonts w:hint="eastAsia"/>
          <w:color w:val="auto"/>
          <w:sz w:val="24"/>
          <w:highlight w:val="none"/>
          <w:lang w:val="en-US" w:eastAsia="zh-CN"/>
        </w:rPr>
        <w:t>5</w:t>
      </w:r>
      <w:r>
        <w:rPr>
          <w:color w:val="auto"/>
          <w:sz w:val="24"/>
          <w:highlight w:val="none"/>
        </w:rPr>
        <w:t>）</w:t>
      </w:r>
      <w:r>
        <w:rPr>
          <w:color w:val="auto"/>
          <w:kern w:val="0"/>
          <w:sz w:val="24"/>
          <w:highlight w:val="none"/>
        </w:rPr>
        <w:t>《企业</w:t>
      </w:r>
      <w:r>
        <w:rPr>
          <w:rFonts w:hint="eastAsia"/>
          <w:color w:val="auto"/>
          <w:kern w:val="0"/>
          <w:sz w:val="24"/>
          <w:highlight w:val="none"/>
          <w:lang w:val="en-US" w:eastAsia="zh-CN"/>
        </w:rPr>
        <w:t>环境信息依法披露管理办法</w:t>
      </w:r>
      <w:r>
        <w:rPr>
          <w:color w:val="auto"/>
          <w:kern w:val="0"/>
          <w:sz w:val="24"/>
          <w:highlight w:val="none"/>
        </w:rPr>
        <w:t>》，</w:t>
      </w:r>
      <w:r>
        <w:rPr>
          <w:rFonts w:hint="eastAsia"/>
          <w:color w:val="auto"/>
          <w:kern w:val="0"/>
          <w:sz w:val="24"/>
          <w:highlight w:val="none"/>
          <w:lang w:eastAsia="zh-CN"/>
        </w:rPr>
        <w:t>（</w:t>
      </w:r>
      <w:r>
        <w:rPr>
          <w:rFonts w:hint="eastAsia"/>
          <w:color w:val="auto"/>
          <w:kern w:val="0"/>
          <w:sz w:val="24"/>
          <w:highlight w:val="none"/>
          <w:lang w:val="en-US" w:eastAsia="zh-CN"/>
        </w:rPr>
        <w:t>生态环境部令第24号（2021年版），2022年2月8日起施行</w:t>
      </w:r>
      <w:r>
        <w:rPr>
          <w:rFonts w:hint="eastAsia"/>
          <w:color w:val="auto"/>
          <w:kern w:val="0"/>
          <w:sz w:val="24"/>
          <w:highlight w:val="none"/>
          <w:lang w:eastAsia="zh-CN"/>
        </w:rPr>
        <w:t>）</w:t>
      </w:r>
      <w:r>
        <w:rPr>
          <w:color w:val="auto"/>
          <w:kern w:val="0"/>
          <w:sz w:val="24"/>
          <w:highlight w:val="none"/>
        </w:rPr>
        <w:t>；</w:t>
      </w:r>
    </w:p>
    <w:p>
      <w:pPr>
        <w:spacing w:line="360" w:lineRule="auto"/>
        <w:ind w:firstLine="480" w:firstLineChars="200"/>
        <w:rPr>
          <w:color w:val="auto"/>
          <w:kern w:val="0"/>
          <w:sz w:val="24"/>
          <w:highlight w:val="none"/>
        </w:rPr>
      </w:pPr>
      <w:r>
        <w:rPr>
          <w:color w:val="auto"/>
          <w:sz w:val="24"/>
          <w:highlight w:val="none"/>
        </w:rPr>
        <w:t>（</w:t>
      </w:r>
      <w:r>
        <w:rPr>
          <w:rFonts w:hint="eastAsia"/>
          <w:color w:val="auto"/>
          <w:sz w:val="24"/>
          <w:highlight w:val="none"/>
          <w:lang w:val="en-US" w:eastAsia="zh-CN"/>
        </w:rPr>
        <w:t>6</w:t>
      </w:r>
      <w:r>
        <w:rPr>
          <w:color w:val="auto"/>
          <w:sz w:val="24"/>
          <w:highlight w:val="none"/>
        </w:rPr>
        <w:t>）《国家危险废物名录（2021版）》，生态环境部令第15号，2021.1.1</w:t>
      </w:r>
      <w:r>
        <w:rPr>
          <w:color w:val="auto"/>
          <w:kern w:val="0"/>
          <w:sz w:val="24"/>
          <w:highlight w:val="none"/>
        </w:rPr>
        <w:t>；</w:t>
      </w:r>
    </w:p>
    <w:p>
      <w:pPr>
        <w:spacing w:line="360" w:lineRule="auto"/>
        <w:ind w:firstLine="480" w:firstLineChars="200"/>
        <w:rPr>
          <w:color w:val="auto"/>
          <w:kern w:val="0"/>
          <w:sz w:val="24"/>
          <w:highlight w:val="none"/>
        </w:rPr>
      </w:pPr>
      <w:r>
        <w:rPr>
          <w:color w:val="auto"/>
          <w:kern w:val="0"/>
          <w:sz w:val="24"/>
          <w:highlight w:val="none"/>
        </w:rPr>
        <w:t>（</w:t>
      </w:r>
      <w:r>
        <w:rPr>
          <w:rFonts w:hint="eastAsia"/>
          <w:color w:val="auto"/>
          <w:kern w:val="0"/>
          <w:sz w:val="24"/>
          <w:highlight w:val="none"/>
          <w:lang w:val="en-US" w:eastAsia="zh-CN"/>
        </w:rPr>
        <w:t>7</w:t>
      </w:r>
      <w:r>
        <w:rPr>
          <w:color w:val="auto"/>
          <w:kern w:val="0"/>
          <w:sz w:val="24"/>
          <w:highlight w:val="none"/>
        </w:rPr>
        <w:t>）《危险废物转移联单管理办法》，国家环境保护总局令第5号，1999.10.1；</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8</w:t>
      </w:r>
      <w:r>
        <w:rPr>
          <w:color w:val="auto"/>
          <w:sz w:val="24"/>
          <w:highlight w:val="none"/>
        </w:rPr>
        <w:t>）《建设项目危险废物环境影响评价指南》（环境保护部公告2017年第43号，2017.10.1；</w:t>
      </w:r>
    </w:p>
    <w:p>
      <w:pPr>
        <w:spacing w:line="360" w:lineRule="auto"/>
        <w:ind w:firstLine="480" w:firstLineChars="200"/>
        <w:rPr>
          <w:color w:val="auto"/>
          <w:kern w:val="0"/>
          <w:sz w:val="24"/>
          <w:highlight w:val="none"/>
        </w:rPr>
      </w:pPr>
      <w:r>
        <w:rPr>
          <w:rFonts w:hint="eastAsia"/>
          <w:color w:val="auto"/>
          <w:sz w:val="24"/>
          <w:highlight w:val="none"/>
          <w:lang w:eastAsia="zh-CN"/>
        </w:rPr>
        <w:t>（</w:t>
      </w:r>
      <w:r>
        <w:rPr>
          <w:rFonts w:hint="eastAsia"/>
          <w:color w:val="auto"/>
          <w:sz w:val="24"/>
          <w:highlight w:val="none"/>
          <w:lang w:val="en-US" w:eastAsia="zh-CN"/>
        </w:rPr>
        <w:t>9</w:t>
      </w:r>
      <w:r>
        <w:rPr>
          <w:rFonts w:hint="eastAsia"/>
          <w:color w:val="auto"/>
          <w:sz w:val="24"/>
          <w:highlight w:val="none"/>
          <w:lang w:eastAsia="zh-CN"/>
        </w:rPr>
        <w:t>）</w:t>
      </w:r>
      <w:r>
        <w:rPr>
          <w:color w:val="auto"/>
          <w:sz w:val="24"/>
          <w:highlight w:val="none"/>
        </w:rPr>
        <w:t>《</w:t>
      </w:r>
      <w:r>
        <w:rPr>
          <w:rFonts w:hint="eastAsia"/>
          <w:color w:val="auto"/>
          <w:sz w:val="24"/>
          <w:highlight w:val="none"/>
          <w:lang w:val="en-US" w:eastAsia="zh-CN"/>
        </w:rPr>
        <w:t>关于进一步加强塑料污染治理的意见》（发改环资[2020]80号）</w:t>
      </w:r>
      <w:r>
        <w:rPr>
          <w:color w:val="auto"/>
          <w:kern w:val="0"/>
          <w:sz w:val="24"/>
          <w:highlight w:val="none"/>
        </w:rPr>
        <w:t>；</w:t>
      </w:r>
    </w:p>
    <w:p>
      <w:pPr>
        <w:spacing w:line="360" w:lineRule="auto"/>
        <w:ind w:firstLine="480" w:firstLineChars="200"/>
        <w:rPr>
          <w:color w:val="auto"/>
          <w:kern w:val="0"/>
          <w:sz w:val="24"/>
          <w:highlight w:val="none"/>
        </w:rPr>
      </w:pPr>
      <w:r>
        <w:rPr>
          <w:color w:val="auto"/>
          <w:kern w:val="0"/>
          <w:sz w:val="24"/>
          <w:highlight w:val="none"/>
        </w:rPr>
        <w:t>（1</w:t>
      </w:r>
      <w:r>
        <w:rPr>
          <w:rFonts w:hint="eastAsia"/>
          <w:color w:val="auto"/>
          <w:kern w:val="0"/>
          <w:sz w:val="24"/>
          <w:highlight w:val="none"/>
          <w:lang w:val="en-US" w:eastAsia="zh-CN"/>
        </w:rPr>
        <w:t>0</w:t>
      </w:r>
      <w:r>
        <w:rPr>
          <w:color w:val="auto"/>
          <w:kern w:val="0"/>
          <w:sz w:val="24"/>
          <w:highlight w:val="none"/>
        </w:rPr>
        <w:t>）</w:t>
      </w:r>
      <w:r>
        <w:rPr>
          <w:rFonts w:hint="eastAsia"/>
          <w:color w:val="auto"/>
          <w:kern w:val="0"/>
          <w:sz w:val="24"/>
          <w:highlight w:val="none"/>
          <w:lang w:val="en-US" w:eastAsia="zh-CN"/>
        </w:rPr>
        <w:t>关于印发</w:t>
      </w:r>
      <w:r>
        <w:rPr>
          <w:rFonts w:hint="eastAsia"/>
          <w:color w:val="auto"/>
          <w:kern w:val="0"/>
          <w:sz w:val="24"/>
          <w:highlight w:val="none"/>
          <w:lang w:eastAsia="zh-CN"/>
        </w:rPr>
        <w:t>《</w:t>
      </w:r>
      <w:r>
        <w:rPr>
          <w:rFonts w:hint="eastAsia"/>
          <w:color w:val="auto"/>
          <w:kern w:val="0"/>
          <w:sz w:val="24"/>
          <w:highlight w:val="none"/>
          <w:lang w:val="en-US" w:eastAsia="zh-CN"/>
        </w:rPr>
        <w:t>重点行业挥发性有机物综合治理方案</w:t>
      </w:r>
      <w:r>
        <w:rPr>
          <w:rFonts w:hint="eastAsia"/>
          <w:color w:val="auto"/>
          <w:kern w:val="0"/>
          <w:sz w:val="24"/>
          <w:highlight w:val="none"/>
          <w:lang w:eastAsia="zh-CN"/>
        </w:rPr>
        <w:t>》</w:t>
      </w:r>
      <w:r>
        <w:rPr>
          <w:rFonts w:hint="eastAsia"/>
          <w:color w:val="auto"/>
          <w:kern w:val="0"/>
          <w:sz w:val="24"/>
          <w:highlight w:val="none"/>
          <w:lang w:val="en-US" w:eastAsia="zh-CN"/>
        </w:rPr>
        <w:t>的通知（环大气[2019]53号）生态环境部</w:t>
      </w:r>
      <w:r>
        <w:rPr>
          <w:color w:val="auto"/>
          <w:kern w:val="0"/>
          <w:sz w:val="24"/>
          <w:highlight w:val="none"/>
        </w:rPr>
        <w:t>；</w:t>
      </w:r>
    </w:p>
    <w:p>
      <w:pPr>
        <w:spacing w:line="360" w:lineRule="auto"/>
        <w:ind w:firstLine="480" w:firstLineChars="200"/>
        <w:rPr>
          <w:color w:val="auto"/>
          <w:kern w:val="0"/>
          <w:sz w:val="24"/>
          <w:highlight w:val="none"/>
        </w:rPr>
      </w:pPr>
      <w:r>
        <w:rPr>
          <w:color w:val="auto"/>
          <w:kern w:val="0"/>
          <w:sz w:val="24"/>
          <w:highlight w:val="none"/>
        </w:rPr>
        <w:t>（1</w:t>
      </w:r>
      <w:r>
        <w:rPr>
          <w:rFonts w:hint="eastAsia"/>
          <w:color w:val="auto"/>
          <w:kern w:val="0"/>
          <w:sz w:val="24"/>
          <w:highlight w:val="none"/>
          <w:lang w:val="en-US" w:eastAsia="zh-CN"/>
        </w:rPr>
        <w:t>1</w:t>
      </w:r>
      <w:r>
        <w:rPr>
          <w:color w:val="auto"/>
          <w:kern w:val="0"/>
          <w:sz w:val="24"/>
          <w:highlight w:val="none"/>
        </w:rPr>
        <w:t>）《挥发性有机物（VOCs）污染防治技术政策》，环保部2013 年第31 号公告，2013.5.24；</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2</w:t>
      </w:r>
      <w:r>
        <w:rPr>
          <w:color w:val="auto"/>
          <w:sz w:val="24"/>
          <w:highlight w:val="none"/>
        </w:rPr>
        <w:t>）《关于切实加强风险防范严格环境影响评价管理的通知》（环发〔2012〕98号，环境保护部2012年8月7日公布，自公布之日起施行）；</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3</w:t>
      </w:r>
      <w:r>
        <w:rPr>
          <w:color w:val="auto"/>
          <w:sz w:val="24"/>
          <w:highlight w:val="none"/>
        </w:rPr>
        <w:t>）《环境影响评价公众参与办法》（生态环境</w:t>
      </w:r>
      <w:r>
        <w:rPr>
          <w:rFonts w:hint="eastAsia"/>
          <w:color w:val="auto"/>
          <w:sz w:val="24"/>
          <w:highlight w:val="none"/>
          <w:lang w:eastAsia="zh-CN"/>
        </w:rPr>
        <w:t>部</w:t>
      </w:r>
      <w:r>
        <w:rPr>
          <w:color w:val="auto"/>
          <w:sz w:val="24"/>
          <w:highlight w:val="none"/>
        </w:rPr>
        <w:t>令第4号，自2019年1月1日起施行）；</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4</w:t>
      </w:r>
      <w:r>
        <w:rPr>
          <w:color w:val="auto"/>
          <w:sz w:val="24"/>
          <w:highlight w:val="none"/>
        </w:rPr>
        <w:t>）《关于印发“建设项目主要污染物排放总量指标审核及管理暂行办法”的通知》，环发〔2014〕197号，2014年12月30日下发；</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5</w:t>
      </w:r>
      <w:r>
        <w:rPr>
          <w:color w:val="auto"/>
          <w:sz w:val="24"/>
          <w:highlight w:val="none"/>
        </w:rPr>
        <w:t>）《关于切实加强环境影响评价监督管理工作的通知》（环办〔2013〕104号，2013年11月15日下发）；</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6</w:t>
      </w:r>
      <w:r>
        <w:rPr>
          <w:color w:val="auto"/>
          <w:sz w:val="24"/>
          <w:highlight w:val="none"/>
        </w:rPr>
        <w:t>）关于印发《建设项目环境影响评价政府信息公开指南（试行）》的通知（环办〔2013〕103号，2014年1月1日起施行）；</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7</w:t>
      </w:r>
      <w:r>
        <w:rPr>
          <w:color w:val="auto"/>
          <w:sz w:val="24"/>
          <w:highlight w:val="none"/>
        </w:rPr>
        <w:t>）《关于进一步加强环境保护信息公开工作的通知》（环办〔2012〕134号，环境保护部2012年10月30日公布，自公布之日起施行）；</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18</w:t>
      </w:r>
      <w:r>
        <w:rPr>
          <w:color w:val="auto"/>
          <w:sz w:val="24"/>
          <w:highlight w:val="none"/>
        </w:rPr>
        <w:t>）环境保护部文件环评〔2016〕150号“关于以改善环境为核心加强环境影响评价管理的通知”（2016年10月26日）；</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19</w:t>
      </w:r>
      <w:r>
        <w:rPr>
          <w:color w:val="auto"/>
          <w:sz w:val="24"/>
          <w:highlight w:val="none"/>
        </w:rPr>
        <w:t>）《环境空气细颗粒物污染综合防治技术政策》（环境保护部公告[2013]59号，2013年9月13日）；</w:t>
      </w:r>
    </w:p>
    <w:p>
      <w:pPr>
        <w:widowControl/>
        <w:adjustRightInd w:val="0"/>
        <w:snapToGrid w:val="0"/>
        <w:spacing w:line="360" w:lineRule="auto"/>
        <w:ind w:firstLine="480" w:firstLineChars="200"/>
        <w:jc w:val="left"/>
        <w:rPr>
          <w:color w:val="auto"/>
          <w:sz w:val="24"/>
          <w:highlight w:val="none"/>
        </w:rPr>
      </w:pPr>
      <w:r>
        <w:rPr>
          <w:color w:val="auto"/>
          <w:sz w:val="24"/>
          <w:highlight w:val="none"/>
        </w:rPr>
        <w:t>（2</w:t>
      </w:r>
      <w:r>
        <w:rPr>
          <w:rFonts w:hint="eastAsia"/>
          <w:color w:val="auto"/>
          <w:sz w:val="24"/>
          <w:highlight w:val="none"/>
          <w:lang w:val="en-US" w:eastAsia="zh-CN"/>
        </w:rPr>
        <w:t>0</w:t>
      </w:r>
      <w:r>
        <w:rPr>
          <w:color w:val="auto"/>
          <w:sz w:val="24"/>
          <w:highlight w:val="none"/>
        </w:rPr>
        <w:t>）</w:t>
      </w:r>
      <w:r>
        <w:rPr>
          <w:rFonts w:hint="eastAsia"/>
          <w:color w:val="auto"/>
          <w:sz w:val="24"/>
          <w:highlight w:val="none"/>
        </w:rPr>
        <w:t>《排放源统计调查产排污核算方法和系数手册》（生态环境部公告2021年第24号）</w:t>
      </w:r>
      <w:r>
        <w:rPr>
          <w:color w:val="auto"/>
          <w:sz w:val="24"/>
          <w:highlight w:val="none"/>
        </w:rPr>
        <w:t>；</w:t>
      </w:r>
    </w:p>
    <w:p>
      <w:pPr>
        <w:keepNext/>
        <w:keepLines/>
        <w:spacing w:line="360" w:lineRule="auto"/>
        <w:outlineLvl w:val="2"/>
        <w:rPr>
          <w:b/>
          <w:bCs/>
          <w:color w:val="auto"/>
          <w:sz w:val="24"/>
          <w:highlight w:val="none"/>
        </w:rPr>
      </w:pPr>
      <w:bookmarkStart w:id="137" w:name="_Toc341369376"/>
      <w:bookmarkStart w:id="138" w:name="_Toc259103884"/>
      <w:bookmarkStart w:id="139" w:name="_Toc225617346"/>
      <w:bookmarkStart w:id="140" w:name="_Toc277495468"/>
      <w:bookmarkStart w:id="141" w:name="_Toc367281994"/>
      <w:bookmarkStart w:id="142" w:name="_Toc300244712"/>
      <w:bookmarkStart w:id="143" w:name="_Toc173209356"/>
      <w:bookmarkStart w:id="144" w:name="_Toc259130149"/>
      <w:bookmarkStart w:id="145" w:name="_Toc172919563"/>
      <w:bookmarkStart w:id="146" w:name="_Toc367281411"/>
      <w:bookmarkStart w:id="147" w:name="_Toc259104564"/>
      <w:bookmarkStart w:id="148" w:name="_Toc172077713"/>
      <w:bookmarkStart w:id="149" w:name="_Toc189128882"/>
      <w:bookmarkStart w:id="150" w:name="_Toc259128782"/>
      <w:bookmarkStart w:id="151" w:name="_Toc178676311"/>
      <w:bookmarkStart w:id="152" w:name="_Toc75908593"/>
      <w:bookmarkStart w:id="153" w:name="_Toc23013"/>
      <w:r>
        <w:rPr>
          <w:b/>
          <w:bCs/>
          <w:color w:val="auto"/>
          <w:sz w:val="24"/>
          <w:highlight w:val="none"/>
        </w:rPr>
        <w:t>1.1.3</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b/>
          <w:bCs/>
          <w:color w:val="auto"/>
          <w:sz w:val="24"/>
          <w:highlight w:val="none"/>
        </w:rPr>
        <w:t>地方环境保护法规及政策</w:t>
      </w:r>
      <w:bookmarkEnd w:id="152"/>
      <w:bookmarkEnd w:id="153"/>
    </w:p>
    <w:p>
      <w:pPr>
        <w:spacing w:line="360" w:lineRule="auto"/>
        <w:ind w:firstLine="480" w:firstLineChars="200"/>
        <w:rPr>
          <w:color w:val="auto"/>
          <w:sz w:val="24"/>
          <w:highlight w:val="none"/>
        </w:rPr>
      </w:pPr>
      <w:r>
        <w:rPr>
          <w:color w:val="auto"/>
          <w:sz w:val="24"/>
          <w:highlight w:val="none"/>
        </w:rPr>
        <w:t>（1）</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昆明市和滇中产业新区水功能区划</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eastAsia" w:cs="Times New Roman"/>
          <w:color w:val="auto"/>
          <w:sz w:val="24"/>
          <w:highlight w:val="none"/>
          <w:lang w:val="en-US" w:eastAsia="zh-CN"/>
        </w:rPr>
        <w:t>2010~2030年</w:t>
      </w:r>
      <w:r>
        <w:rPr>
          <w:rFonts w:hint="eastAsia" w:cs="Times New Roman"/>
          <w:color w:val="auto"/>
          <w:sz w:val="24"/>
          <w:highlight w:val="none"/>
          <w:lang w:eastAsia="zh-CN"/>
        </w:rPr>
        <w:t>）</w:t>
      </w:r>
      <w:r>
        <w:rPr>
          <w:color w:val="auto"/>
          <w:sz w:val="24"/>
          <w:highlight w:val="none"/>
        </w:rPr>
        <w:t>；</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2</w:t>
      </w:r>
      <w:r>
        <w:rPr>
          <w:color w:val="auto"/>
          <w:sz w:val="24"/>
          <w:highlight w:val="none"/>
        </w:rPr>
        <w:t>）《中共云南省委、云南省人民政府关于加强环境保护的决定》云发[2006]21号（2006年12月1日）；</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）《云南省环境保护条例》（2004年6月29日）；</w:t>
      </w:r>
    </w:p>
    <w:p>
      <w:pPr>
        <w:spacing w:line="360" w:lineRule="auto"/>
        <w:ind w:firstLine="480" w:firstLineChars="200"/>
        <w:rPr>
          <w:color w:val="auto"/>
          <w:kern w:val="0"/>
          <w:sz w:val="24"/>
          <w:highlight w:val="none"/>
        </w:rPr>
      </w:pPr>
      <w:r>
        <w:rPr>
          <w:color w:val="auto"/>
          <w:sz w:val="24"/>
          <w:highlight w:val="none"/>
        </w:rPr>
        <w:t>（</w:t>
      </w:r>
      <w:r>
        <w:rPr>
          <w:rFonts w:hint="eastAsia"/>
          <w:color w:val="auto"/>
          <w:sz w:val="24"/>
          <w:highlight w:val="none"/>
          <w:lang w:val="en-US" w:eastAsia="zh-CN"/>
        </w:rPr>
        <w:t>4</w:t>
      </w:r>
      <w:r>
        <w:rPr>
          <w:color w:val="auto"/>
          <w:sz w:val="24"/>
          <w:highlight w:val="none"/>
        </w:rPr>
        <w:t>）《</w:t>
      </w:r>
      <w:r>
        <w:rPr>
          <w:rFonts w:hint="eastAsia"/>
          <w:color w:val="auto"/>
          <w:sz w:val="24"/>
          <w:highlight w:val="none"/>
          <w:lang w:val="en-US" w:eastAsia="zh-CN"/>
        </w:rPr>
        <w:t>云南省生态环境厅关于印发建设项目环境影响评价文件审批管理规定的通知》（云环发[2022]1号）</w:t>
      </w:r>
      <w:r>
        <w:rPr>
          <w:color w:val="auto"/>
          <w:sz w:val="24"/>
          <w:highlight w:val="none"/>
        </w:rPr>
        <w:t>；</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5</w:t>
      </w:r>
      <w:r>
        <w:rPr>
          <w:color w:val="auto"/>
          <w:sz w:val="24"/>
          <w:highlight w:val="none"/>
        </w:rPr>
        <w:t>）《云南省土壤污染防治工作方案》（云政发[2017]9号）；</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6</w:t>
      </w:r>
      <w:r>
        <w:rPr>
          <w:color w:val="auto"/>
          <w:sz w:val="24"/>
          <w:highlight w:val="none"/>
        </w:rPr>
        <w:t>）《</w:t>
      </w:r>
      <w:r>
        <w:rPr>
          <w:rFonts w:hint="eastAsia"/>
          <w:color w:val="auto"/>
          <w:sz w:val="24"/>
          <w:highlight w:val="none"/>
          <w:lang w:val="en-US" w:eastAsia="zh-CN"/>
        </w:rPr>
        <w:t>云南省土壤污染防治条例》（2022年5月1日施行）</w:t>
      </w:r>
      <w:r>
        <w:rPr>
          <w:color w:val="auto"/>
          <w:sz w:val="24"/>
          <w:highlight w:val="none"/>
        </w:rPr>
        <w:t>；</w:t>
      </w:r>
    </w:p>
    <w:p>
      <w:pPr>
        <w:widowControl/>
        <w:adjustRightInd w:val="0"/>
        <w:snapToGrid w:val="0"/>
        <w:spacing w:line="360" w:lineRule="auto"/>
        <w:ind w:firstLine="480" w:firstLineChars="200"/>
        <w:jc w:val="left"/>
        <w:rPr>
          <w:color w:val="auto"/>
          <w:sz w:val="24"/>
          <w:highlight w:val="none"/>
        </w:rPr>
      </w:pPr>
      <w:r>
        <w:rPr>
          <w:color w:val="auto"/>
          <w:sz w:val="24"/>
          <w:highlight w:val="none"/>
        </w:rPr>
        <w:t>（</w:t>
      </w:r>
      <w:r>
        <w:rPr>
          <w:rFonts w:hint="eastAsia"/>
          <w:color w:val="auto"/>
          <w:sz w:val="24"/>
          <w:highlight w:val="none"/>
          <w:lang w:val="en-US" w:eastAsia="zh-CN"/>
        </w:rPr>
        <w:t>7</w:t>
      </w:r>
      <w:r>
        <w:rPr>
          <w:color w:val="auto"/>
          <w:sz w:val="24"/>
          <w:highlight w:val="none"/>
        </w:rPr>
        <w:t>）</w:t>
      </w:r>
      <w:r>
        <w:rPr>
          <w:rFonts w:hint="eastAsia" w:cs="宋体"/>
          <w:color w:val="auto"/>
          <w:kern w:val="0"/>
          <w:sz w:val="24"/>
          <w:highlight w:val="none"/>
          <w:lang w:bidi="ar"/>
        </w:rPr>
        <w:t>《云南省地方标准 用水定额》（</w:t>
      </w:r>
      <w:r>
        <w:rPr>
          <w:color w:val="auto"/>
          <w:kern w:val="0"/>
          <w:sz w:val="24"/>
          <w:highlight w:val="none"/>
          <w:lang w:bidi="ar"/>
        </w:rPr>
        <w:t>DB53/T 168-2019</w:t>
      </w:r>
      <w:r>
        <w:rPr>
          <w:rFonts w:hint="eastAsia" w:cs="宋体"/>
          <w:color w:val="auto"/>
          <w:kern w:val="0"/>
          <w:sz w:val="24"/>
          <w:highlight w:val="none"/>
          <w:lang w:bidi="ar"/>
        </w:rPr>
        <w:t>）；</w:t>
      </w:r>
    </w:p>
    <w:p>
      <w:pPr>
        <w:widowControl/>
        <w:adjustRightInd w:val="0"/>
        <w:snapToGrid w:val="0"/>
        <w:spacing w:line="360" w:lineRule="auto"/>
        <w:ind w:firstLine="480" w:firstLineChars="200"/>
        <w:jc w:val="left"/>
        <w:rPr>
          <w:color w:val="auto"/>
          <w:sz w:val="24"/>
          <w:highlight w:val="none"/>
        </w:rPr>
      </w:pPr>
      <w:r>
        <w:rPr>
          <w:rFonts w:hint="eastAsia"/>
          <w:color w:val="auto"/>
          <w:sz w:val="24"/>
          <w:highlight w:val="none"/>
        </w:rPr>
        <w:t>（</w:t>
      </w:r>
      <w:r>
        <w:rPr>
          <w:rFonts w:hint="eastAsia"/>
          <w:color w:val="auto"/>
          <w:sz w:val="24"/>
          <w:highlight w:val="none"/>
          <w:lang w:val="en-US" w:eastAsia="zh-CN"/>
        </w:rPr>
        <w:t>8</w:t>
      </w:r>
      <w:r>
        <w:rPr>
          <w:rFonts w:hint="eastAsia"/>
          <w:color w:val="auto"/>
          <w:sz w:val="24"/>
          <w:highlight w:val="none"/>
        </w:rPr>
        <w:t>）</w:t>
      </w:r>
      <w:r>
        <w:rPr>
          <w:rFonts w:hint="eastAsia" w:cs="宋体"/>
          <w:color w:val="auto"/>
          <w:kern w:val="0"/>
          <w:sz w:val="24"/>
          <w:highlight w:val="none"/>
          <w:lang w:bidi="ar"/>
        </w:rPr>
        <w:t>《云南省大气污染防治条例》（</w:t>
      </w:r>
      <w:r>
        <w:rPr>
          <w:color w:val="auto"/>
          <w:kern w:val="0"/>
          <w:sz w:val="24"/>
          <w:highlight w:val="none"/>
          <w:lang w:bidi="ar"/>
        </w:rPr>
        <w:t>2019</w:t>
      </w:r>
      <w:r>
        <w:rPr>
          <w:rFonts w:hint="eastAsia" w:cs="宋体"/>
          <w:color w:val="auto"/>
          <w:kern w:val="0"/>
          <w:sz w:val="24"/>
          <w:highlight w:val="none"/>
          <w:lang w:bidi="ar"/>
        </w:rPr>
        <w:t>年</w:t>
      </w:r>
      <w:r>
        <w:rPr>
          <w:color w:val="auto"/>
          <w:kern w:val="0"/>
          <w:sz w:val="24"/>
          <w:highlight w:val="none"/>
          <w:lang w:bidi="ar"/>
        </w:rPr>
        <w:t>1</w:t>
      </w:r>
      <w:r>
        <w:rPr>
          <w:rFonts w:hint="eastAsia" w:cs="宋体"/>
          <w:color w:val="auto"/>
          <w:kern w:val="0"/>
          <w:sz w:val="24"/>
          <w:highlight w:val="none"/>
          <w:lang w:bidi="ar"/>
        </w:rPr>
        <w:t>月</w:t>
      </w:r>
      <w:r>
        <w:rPr>
          <w:color w:val="auto"/>
          <w:kern w:val="0"/>
          <w:sz w:val="24"/>
          <w:highlight w:val="none"/>
          <w:lang w:bidi="ar"/>
        </w:rPr>
        <w:t>1</w:t>
      </w:r>
      <w:r>
        <w:rPr>
          <w:rFonts w:hint="eastAsia" w:cs="宋体"/>
          <w:color w:val="auto"/>
          <w:kern w:val="0"/>
          <w:sz w:val="24"/>
          <w:highlight w:val="none"/>
          <w:lang w:bidi="ar"/>
        </w:rPr>
        <w:t>日起施行）；</w:t>
      </w:r>
    </w:p>
    <w:p>
      <w:pPr>
        <w:widowControl/>
        <w:adjustRightInd w:val="0"/>
        <w:snapToGrid w:val="0"/>
        <w:spacing w:line="360" w:lineRule="auto"/>
        <w:ind w:firstLine="480" w:firstLineChars="200"/>
        <w:jc w:val="left"/>
        <w:rPr>
          <w:color w:val="auto"/>
          <w:sz w:val="24"/>
          <w:highlight w:val="none"/>
        </w:rPr>
      </w:pPr>
      <w:r>
        <w:rPr>
          <w:rFonts w:hint="eastAsia"/>
          <w:color w:val="auto"/>
          <w:sz w:val="24"/>
          <w:highlight w:val="none"/>
        </w:rPr>
        <w:t>（</w:t>
      </w:r>
      <w:r>
        <w:rPr>
          <w:rFonts w:hint="eastAsia"/>
          <w:color w:val="auto"/>
          <w:sz w:val="24"/>
          <w:highlight w:val="none"/>
          <w:lang w:val="en-US" w:eastAsia="zh-CN"/>
        </w:rPr>
        <w:t>9</w:t>
      </w:r>
      <w:r>
        <w:rPr>
          <w:rFonts w:hint="eastAsia"/>
          <w:color w:val="auto"/>
          <w:sz w:val="24"/>
          <w:highlight w:val="none"/>
        </w:rPr>
        <w:t>）</w:t>
      </w:r>
      <w:r>
        <w:rPr>
          <w:rFonts w:hint="eastAsia" w:cs="宋体"/>
          <w:color w:val="auto"/>
          <w:kern w:val="0"/>
          <w:sz w:val="24"/>
          <w:highlight w:val="none"/>
          <w:lang w:bidi="ar"/>
        </w:rPr>
        <w:t>《云南省重点行业挥发性有机物综合治理实施方案》（云环通〔</w:t>
      </w:r>
      <w:r>
        <w:rPr>
          <w:color w:val="auto"/>
          <w:kern w:val="0"/>
          <w:sz w:val="24"/>
          <w:highlight w:val="none"/>
          <w:lang w:bidi="ar"/>
        </w:rPr>
        <w:t>2019</w:t>
      </w:r>
      <w:r>
        <w:rPr>
          <w:rFonts w:hint="eastAsia" w:cs="宋体"/>
          <w:color w:val="auto"/>
          <w:kern w:val="0"/>
          <w:sz w:val="24"/>
          <w:highlight w:val="none"/>
          <w:lang w:bidi="ar"/>
        </w:rPr>
        <w:t>〕</w:t>
      </w:r>
      <w:r>
        <w:rPr>
          <w:color w:val="auto"/>
          <w:kern w:val="0"/>
          <w:sz w:val="24"/>
          <w:highlight w:val="none"/>
          <w:lang w:bidi="ar"/>
        </w:rPr>
        <w:t>125</w:t>
      </w:r>
      <w:r>
        <w:rPr>
          <w:rFonts w:hint="eastAsia" w:cs="宋体"/>
          <w:color w:val="auto"/>
          <w:kern w:val="0"/>
          <w:sz w:val="24"/>
          <w:highlight w:val="none"/>
          <w:lang w:bidi="ar"/>
        </w:rPr>
        <w:t>号）</w:t>
      </w:r>
      <w:r>
        <w:rPr>
          <w:color w:val="auto"/>
          <w:sz w:val="24"/>
          <w:highlight w:val="none"/>
        </w:rPr>
        <w:t>；</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0</w:t>
      </w:r>
      <w:r>
        <w:rPr>
          <w:color w:val="auto"/>
          <w:sz w:val="24"/>
          <w:highlight w:val="none"/>
        </w:rPr>
        <w:t>）昆明市生态环境局关于发布《昆明市环境保护局审批环境影响评价文件的建设项目目录（</w:t>
      </w:r>
      <w:r>
        <w:rPr>
          <w:rFonts w:hint="eastAsia"/>
          <w:color w:val="auto"/>
          <w:sz w:val="24"/>
          <w:highlight w:val="none"/>
          <w:lang w:val="en-US" w:eastAsia="zh-CN"/>
        </w:rPr>
        <w:t>2022</w:t>
      </w:r>
      <w:r>
        <w:rPr>
          <w:color w:val="auto"/>
          <w:sz w:val="24"/>
          <w:highlight w:val="none"/>
        </w:rPr>
        <w:t>年本）》的通知，20</w:t>
      </w:r>
      <w:r>
        <w:rPr>
          <w:rFonts w:hint="eastAsia"/>
          <w:color w:val="auto"/>
          <w:sz w:val="24"/>
          <w:highlight w:val="none"/>
          <w:lang w:val="en-US" w:eastAsia="zh-CN"/>
        </w:rPr>
        <w:t>22</w:t>
      </w:r>
      <w:r>
        <w:rPr>
          <w:color w:val="auto"/>
          <w:sz w:val="24"/>
          <w:highlight w:val="none"/>
        </w:rPr>
        <w:t>年</w:t>
      </w:r>
      <w:r>
        <w:rPr>
          <w:rFonts w:hint="eastAsia"/>
          <w:color w:val="auto"/>
          <w:sz w:val="24"/>
          <w:highlight w:val="none"/>
          <w:lang w:val="en-US" w:eastAsia="zh-CN"/>
        </w:rPr>
        <w:t>5</w:t>
      </w:r>
      <w:r>
        <w:rPr>
          <w:color w:val="auto"/>
          <w:sz w:val="24"/>
          <w:highlight w:val="none"/>
        </w:rPr>
        <w:t>月</w:t>
      </w:r>
      <w:r>
        <w:rPr>
          <w:rFonts w:hint="eastAsia"/>
          <w:color w:val="auto"/>
          <w:sz w:val="24"/>
          <w:highlight w:val="none"/>
          <w:lang w:val="en-US" w:eastAsia="zh-CN"/>
        </w:rPr>
        <w:t>10</w:t>
      </w:r>
      <w:r>
        <w:rPr>
          <w:color w:val="auto"/>
          <w:sz w:val="24"/>
          <w:highlight w:val="none"/>
        </w:rPr>
        <w:t>日实施；</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1</w:t>
      </w:r>
      <w:r>
        <w:rPr>
          <w:color w:val="auto"/>
          <w:sz w:val="24"/>
          <w:highlight w:val="none"/>
        </w:rPr>
        <w:t>）《昆明市水污染防治实施方案》（2016.8.01）；</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2</w:t>
      </w:r>
      <w:r>
        <w:rPr>
          <w:color w:val="auto"/>
          <w:sz w:val="24"/>
          <w:highlight w:val="none"/>
        </w:rPr>
        <w:t>）《昆明市大气污染防治行动计划实施细则》，昆政发[2014]48号；</w:t>
      </w:r>
    </w:p>
    <w:p>
      <w:pPr>
        <w:spacing w:line="360" w:lineRule="auto"/>
        <w:ind w:firstLine="480" w:firstLineChars="200"/>
        <w:rPr>
          <w:rFonts w:hint="eastAsia"/>
          <w:color w:val="auto"/>
          <w:highlight w:val="none"/>
          <w:lang w:eastAsia="zh-CN"/>
        </w:rPr>
      </w:pPr>
      <w:r>
        <w:rPr>
          <w:color w:val="auto"/>
          <w:sz w:val="24"/>
          <w:highlight w:val="none"/>
        </w:rPr>
        <w:t>（1</w:t>
      </w:r>
      <w:r>
        <w:rPr>
          <w:rFonts w:hint="eastAsia"/>
          <w:color w:val="auto"/>
          <w:sz w:val="24"/>
          <w:highlight w:val="none"/>
          <w:lang w:val="en-US" w:eastAsia="zh-CN"/>
        </w:rPr>
        <w:t>3</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昆明市大气污染防治条例</w:t>
      </w:r>
      <w:r>
        <w:rPr>
          <w:rFonts w:hint="eastAsia"/>
          <w:color w:val="auto"/>
          <w:sz w:val="24"/>
          <w:highlight w:val="none"/>
          <w:lang w:eastAsia="zh-CN"/>
        </w:rPr>
        <w:t>》（</w:t>
      </w:r>
      <w:r>
        <w:rPr>
          <w:rFonts w:hint="eastAsia"/>
          <w:color w:val="auto"/>
          <w:sz w:val="24"/>
          <w:highlight w:val="none"/>
          <w:lang w:val="en-US" w:eastAsia="zh-CN"/>
        </w:rPr>
        <w:t>2021年3月1日起施行</w:t>
      </w:r>
      <w:r>
        <w:rPr>
          <w:rFonts w:hint="eastAsia"/>
          <w:color w:val="auto"/>
          <w:sz w:val="24"/>
          <w:highlight w:val="none"/>
          <w:lang w:eastAsia="zh-CN"/>
        </w:rPr>
        <w:t>）；</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14</w:t>
      </w:r>
      <w:r>
        <w:rPr>
          <w:rFonts w:hint="eastAsia"/>
          <w:color w:val="auto"/>
          <w:sz w:val="24"/>
          <w:highlight w:val="none"/>
          <w:lang w:eastAsia="zh-CN"/>
        </w:rPr>
        <w:t>）</w:t>
      </w:r>
      <w:r>
        <w:rPr>
          <w:rFonts w:hint="eastAsia"/>
          <w:color w:val="auto"/>
          <w:sz w:val="24"/>
          <w:highlight w:val="none"/>
          <w:lang w:val="en-US" w:eastAsia="zh-CN"/>
        </w:rPr>
        <w:t>昆明市生态环境局关于印发《昆明市“十四五”生态环境保护规划》的通知，（2022年9月）；</w:t>
      </w:r>
    </w:p>
    <w:p>
      <w:pPr>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15</w:t>
      </w:r>
      <w:r>
        <w:rPr>
          <w:rFonts w:hint="eastAsia"/>
          <w:color w:val="auto"/>
          <w:sz w:val="24"/>
          <w:highlight w:val="none"/>
          <w:lang w:eastAsia="zh-CN"/>
        </w:rPr>
        <w:t>）</w:t>
      </w:r>
      <w:r>
        <w:rPr>
          <w:color w:val="auto"/>
          <w:sz w:val="24"/>
          <w:highlight w:val="none"/>
        </w:rPr>
        <w:t>《中共昆明市委昆明市人民政府关于全面加强生态环境保护坚决打好污染防治攻坚战的实施意见》，昆发〔2018〕20号；</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6</w:t>
      </w:r>
      <w:r>
        <w:rPr>
          <w:color w:val="auto"/>
          <w:sz w:val="24"/>
          <w:highlight w:val="none"/>
        </w:rPr>
        <w:t>）《昆明市土壤污染防治工作方案》</w:t>
      </w:r>
      <w:r>
        <w:rPr>
          <w:rFonts w:hint="eastAsia"/>
          <w:color w:val="auto"/>
          <w:sz w:val="24"/>
          <w:highlight w:val="none"/>
        </w:rPr>
        <w:t>；</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（1</w:t>
      </w:r>
      <w:r>
        <w:rPr>
          <w:rFonts w:hint="eastAsia"/>
          <w:color w:val="auto"/>
          <w:sz w:val="24"/>
          <w:highlight w:val="none"/>
          <w:lang w:val="en-US" w:eastAsia="zh-CN"/>
        </w:rPr>
        <w:t>7</w:t>
      </w:r>
      <w:r>
        <w:rPr>
          <w:rFonts w:hint="eastAsia"/>
          <w:color w:val="auto"/>
          <w:sz w:val="24"/>
          <w:highlight w:val="none"/>
        </w:rPr>
        <w:t>）《云南省生态环境厅关于印发云南省“十四五”生态环境保护规划的通知》（云环发</w:t>
      </w:r>
      <w:r>
        <w:rPr>
          <w:color w:val="auto"/>
          <w:sz w:val="24"/>
          <w:highlight w:val="none"/>
        </w:rPr>
        <w:t>〔</w:t>
      </w:r>
      <w:r>
        <w:rPr>
          <w:rFonts w:hint="eastAsia"/>
          <w:color w:val="auto"/>
          <w:sz w:val="24"/>
          <w:highlight w:val="none"/>
        </w:rPr>
        <w:t>2022</w:t>
      </w:r>
      <w:r>
        <w:rPr>
          <w:color w:val="auto"/>
          <w:sz w:val="24"/>
          <w:highlight w:val="none"/>
        </w:rPr>
        <w:t>〕</w:t>
      </w:r>
      <w:r>
        <w:rPr>
          <w:rFonts w:hint="eastAsia"/>
          <w:color w:val="auto"/>
          <w:sz w:val="24"/>
          <w:highlight w:val="none"/>
        </w:rPr>
        <w:t>13</w:t>
      </w:r>
      <w:r>
        <w:rPr>
          <w:color w:val="auto"/>
          <w:sz w:val="24"/>
          <w:highlight w:val="none"/>
        </w:rPr>
        <w:t>号</w:t>
      </w:r>
      <w:r>
        <w:rPr>
          <w:rFonts w:hint="eastAsia"/>
          <w:color w:val="auto"/>
          <w:sz w:val="24"/>
          <w:highlight w:val="none"/>
        </w:rPr>
        <w:t>）</w:t>
      </w:r>
      <w:r>
        <w:rPr>
          <w:rFonts w:hint="eastAsia"/>
          <w:color w:val="auto"/>
          <w:sz w:val="24"/>
          <w:highlight w:val="none"/>
          <w:lang w:eastAsia="zh-CN"/>
        </w:rPr>
        <w:t>；</w:t>
      </w:r>
    </w:p>
    <w:p>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18</w:t>
      </w:r>
      <w:r>
        <w:rPr>
          <w:rFonts w:hint="eastAsia"/>
          <w:color w:val="auto"/>
          <w:sz w:val="24"/>
          <w:highlight w:val="none"/>
          <w:lang w:eastAsia="zh-CN"/>
        </w:rPr>
        <w:t>）《</w:t>
      </w:r>
      <w:r>
        <w:rPr>
          <w:rFonts w:hint="eastAsia"/>
          <w:color w:val="auto"/>
          <w:sz w:val="24"/>
          <w:highlight w:val="none"/>
          <w:lang w:val="en-US" w:eastAsia="zh-CN"/>
        </w:rPr>
        <w:t>云南省土壤、地下水污染防治“十四五”规划</w:t>
      </w:r>
      <w:r>
        <w:rPr>
          <w:rFonts w:hint="eastAsia"/>
          <w:color w:val="auto"/>
          <w:sz w:val="24"/>
          <w:highlight w:val="none"/>
          <w:lang w:eastAsia="zh-CN"/>
        </w:rPr>
        <w:t>》（</w:t>
      </w:r>
      <w:r>
        <w:rPr>
          <w:rFonts w:hint="eastAsia"/>
          <w:color w:val="auto"/>
          <w:sz w:val="24"/>
          <w:highlight w:val="none"/>
          <w:lang w:val="en-US" w:eastAsia="zh-CN"/>
        </w:rPr>
        <w:t>2022年7月</w:t>
      </w:r>
      <w:r>
        <w:rPr>
          <w:rFonts w:hint="eastAsia"/>
          <w:color w:val="auto"/>
          <w:sz w:val="24"/>
          <w:highlight w:val="none"/>
          <w:lang w:eastAsia="zh-CN"/>
        </w:rPr>
        <w:t>）；</w:t>
      </w:r>
    </w:p>
    <w:p>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19</w:t>
      </w:r>
      <w:r>
        <w:rPr>
          <w:rFonts w:hint="eastAsia"/>
          <w:color w:val="auto"/>
          <w:sz w:val="24"/>
          <w:highlight w:val="none"/>
          <w:lang w:eastAsia="zh-CN"/>
        </w:rPr>
        <w:t>）《</w:t>
      </w:r>
      <w:r>
        <w:rPr>
          <w:rFonts w:hint="eastAsia"/>
          <w:color w:val="auto"/>
          <w:sz w:val="24"/>
          <w:highlight w:val="none"/>
          <w:lang w:val="en-US" w:eastAsia="zh-CN"/>
        </w:rPr>
        <w:t>云南省人民政府关于发布云南省生态保护红线的通知</w:t>
      </w:r>
      <w:r>
        <w:rPr>
          <w:rFonts w:hint="eastAsia"/>
          <w:color w:val="auto"/>
          <w:sz w:val="24"/>
          <w:highlight w:val="none"/>
          <w:lang w:eastAsia="zh-CN"/>
        </w:rPr>
        <w:t>》（</w:t>
      </w:r>
      <w:r>
        <w:rPr>
          <w:rFonts w:hint="eastAsia"/>
          <w:color w:val="auto"/>
          <w:sz w:val="24"/>
          <w:highlight w:val="none"/>
          <w:lang w:val="en-US" w:eastAsia="zh-CN"/>
        </w:rPr>
        <w:t>云政发[2018]32号，2018年6月</w:t>
      </w:r>
      <w:r>
        <w:rPr>
          <w:rFonts w:hint="eastAsia"/>
          <w:color w:val="auto"/>
          <w:sz w:val="24"/>
          <w:highlight w:val="none"/>
          <w:lang w:eastAsia="zh-CN"/>
        </w:rPr>
        <w:t>）；</w:t>
      </w:r>
    </w:p>
    <w:p>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20</w:t>
      </w:r>
      <w:r>
        <w:rPr>
          <w:rFonts w:hint="eastAsia"/>
          <w:color w:val="auto"/>
          <w:sz w:val="24"/>
          <w:highlight w:val="none"/>
          <w:lang w:eastAsia="zh-CN"/>
        </w:rPr>
        <w:t>）《</w:t>
      </w:r>
      <w:r>
        <w:rPr>
          <w:rFonts w:hint="eastAsia"/>
          <w:color w:val="auto"/>
          <w:sz w:val="24"/>
          <w:highlight w:val="none"/>
          <w:lang w:val="en-US" w:eastAsia="zh-CN"/>
        </w:rPr>
        <w:t>云南省长江经济带发展负面清单指南实施细则（试行，2022年）</w:t>
      </w:r>
      <w:r>
        <w:rPr>
          <w:rFonts w:hint="eastAsia"/>
          <w:color w:val="auto"/>
          <w:sz w:val="24"/>
          <w:highlight w:val="none"/>
          <w:lang w:eastAsia="zh-CN"/>
        </w:rPr>
        <w:t>》（</w:t>
      </w:r>
      <w:r>
        <w:rPr>
          <w:rFonts w:hint="eastAsia"/>
          <w:color w:val="auto"/>
          <w:sz w:val="24"/>
          <w:highlight w:val="none"/>
          <w:lang w:val="en-US" w:eastAsia="zh-CN"/>
        </w:rPr>
        <w:t>云发改基础[2022]894号</w:t>
      </w:r>
      <w:r>
        <w:rPr>
          <w:rFonts w:hint="eastAsia"/>
          <w:color w:val="auto"/>
          <w:sz w:val="24"/>
          <w:highlight w:val="none"/>
          <w:lang w:eastAsia="zh-CN"/>
        </w:rPr>
        <w:t>）；</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21</w:t>
      </w:r>
      <w:r>
        <w:rPr>
          <w:rFonts w:hint="eastAsia"/>
          <w:color w:val="auto"/>
          <w:sz w:val="24"/>
          <w:highlight w:val="none"/>
          <w:lang w:eastAsia="zh-CN"/>
        </w:rPr>
        <w:t>）《</w:t>
      </w:r>
      <w:r>
        <w:rPr>
          <w:rFonts w:hint="eastAsia"/>
          <w:color w:val="auto"/>
          <w:sz w:val="24"/>
          <w:highlight w:val="none"/>
          <w:lang w:val="en-US" w:eastAsia="zh-CN"/>
        </w:rPr>
        <w:t>中共昆明市委 昆明市人民政府关于加快开发区及产业园区高质量发展的意见》（昆发[2021]12号）；</w:t>
      </w:r>
    </w:p>
    <w:p>
      <w:pPr>
        <w:spacing w:line="360" w:lineRule="auto"/>
        <w:ind w:firstLine="480" w:firstLineChars="200"/>
        <w:rPr>
          <w:color w:val="auto"/>
          <w:sz w:val="24"/>
          <w:highlight w:val="none"/>
        </w:rPr>
      </w:pPr>
      <w:r>
        <w:rPr>
          <w:rFonts w:hint="eastAsia"/>
          <w:color w:val="auto"/>
          <w:sz w:val="24"/>
          <w:highlight w:val="none"/>
          <w:lang w:val="en-US" w:eastAsia="zh-CN"/>
        </w:rPr>
        <w:t>（22）昆明市生态环境局关于印发《服务经济社会发展 助推项目建设的若干措施》的通知（昆生环通[2022]7号）</w:t>
      </w:r>
      <w:r>
        <w:rPr>
          <w:rFonts w:hint="eastAsia"/>
          <w:color w:val="auto"/>
          <w:sz w:val="24"/>
          <w:highlight w:val="none"/>
        </w:rPr>
        <w:t>。</w:t>
      </w:r>
    </w:p>
    <w:p>
      <w:pPr>
        <w:keepNext/>
        <w:keepLines/>
        <w:spacing w:line="360" w:lineRule="auto"/>
        <w:outlineLvl w:val="2"/>
        <w:rPr>
          <w:b/>
          <w:bCs/>
          <w:color w:val="auto"/>
          <w:sz w:val="24"/>
          <w:highlight w:val="none"/>
        </w:rPr>
      </w:pPr>
      <w:bookmarkStart w:id="154" w:name="_Toc178676312"/>
      <w:bookmarkStart w:id="155" w:name="_Toc189128883"/>
      <w:bookmarkStart w:id="156" w:name="_Toc172915171"/>
      <w:bookmarkStart w:id="157" w:name="_Toc225617347"/>
      <w:bookmarkStart w:id="158" w:name="_Toc172077714"/>
      <w:bookmarkStart w:id="159" w:name="_Toc341369377"/>
      <w:bookmarkStart w:id="160" w:name="_Toc277495469"/>
      <w:bookmarkStart w:id="161" w:name="_Toc259130150"/>
      <w:bookmarkStart w:id="162" w:name="_Toc367281412"/>
      <w:bookmarkStart w:id="163" w:name="_Toc259128783"/>
      <w:bookmarkStart w:id="164" w:name="_Toc259103885"/>
      <w:bookmarkStart w:id="165" w:name="_Toc367281995"/>
      <w:bookmarkStart w:id="166" w:name="_Toc259104565"/>
      <w:bookmarkStart w:id="167" w:name="_Toc75908594"/>
      <w:bookmarkStart w:id="168" w:name="_Toc17281"/>
      <w:bookmarkStart w:id="169" w:name="_Toc300244713"/>
      <w:r>
        <w:rPr>
          <w:b/>
          <w:bCs/>
          <w:color w:val="auto"/>
          <w:sz w:val="24"/>
          <w:highlight w:val="none"/>
        </w:rPr>
        <w:t>1.1.4技术规范</w:t>
      </w:r>
      <w:bookmarkEnd w:id="154"/>
      <w:bookmarkEnd w:id="155"/>
      <w:bookmarkEnd w:id="156"/>
      <w:bookmarkEnd w:id="157"/>
      <w:bookmarkEnd w:id="158"/>
      <w:r>
        <w:rPr>
          <w:b/>
          <w:bCs/>
          <w:color w:val="auto"/>
          <w:sz w:val="24"/>
          <w:highlight w:val="none"/>
        </w:rPr>
        <w:t>依据</w:t>
      </w:r>
      <w:bookmarkEnd w:id="159"/>
      <w:bookmarkEnd w:id="160"/>
      <w:bookmarkEnd w:id="161"/>
      <w:bookmarkEnd w:id="162"/>
      <w:bookmarkEnd w:id="163"/>
      <w:bookmarkEnd w:id="164"/>
      <w:bookmarkEnd w:id="165"/>
      <w:bookmarkEnd w:id="166"/>
      <w:bookmarkEnd w:id="167"/>
      <w:bookmarkEnd w:id="168"/>
      <w:bookmarkEnd w:id="169"/>
    </w:p>
    <w:p>
      <w:pPr>
        <w:spacing w:line="360" w:lineRule="auto"/>
        <w:ind w:firstLine="480" w:firstLineChars="200"/>
        <w:rPr>
          <w:color w:val="auto"/>
          <w:sz w:val="24"/>
          <w:highlight w:val="none"/>
        </w:rPr>
      </w:pPr>
      <w:r>
        <w:rPr>
          <w:color w:val="auto"/>
          <w:sz w:val="24"/>
          <w:highlight w:val="none"/>
        </w:rPr>
        <w:t>（1）《建设项目环境影响评价技术导则 总纲》（HJ2.1-2016）；</w:t>
      </w:r>
    </w:p>
    <w:p>
      <w:pPr>
        <w:spacing w:line="360" w:lineRule="auto"/>
        <w:ind w:firstLine="480" w:firstLineChars="200"/>
        <w:rPr>
          <w:color w:val="auto"/>
          <w:sz w:val="24"/>
          <w:highlight w:val="none"/>
        </w:rPr>
      </w:pPr>
      <w:r>
        <w:rPr>
          <w:color w:val="auto"/>
          <w:sz w:val="24"/>
          <w:highlight w:val="none"/>
        </w:rPr>
        <w:t>（2）《环境影响评价技术导则 大气环境》（HJ2.2-2018）；</w:t>
      </w:r>
    </w:p>
    <w:p>
      <w:pPr>
        <w:spacing w:line="360" w:lineRule="auto"/>
        <w:ind w:firstLine="480" w:firstLineChars="200"/>
        <w:rPr>
          <w:color w:val="auto"/>
          <w:sz w:val="24"/>
          <w:highlight w:val="none"/>
        </w:rPr>
      </w:pPr>
      <w:r>
        <w:rPr>
          <w:color w:val="auto"/>
          <w:sz w:val="24"/>
          <w:highlight w:val="none"/>
        </w:rPr>
        <w:t>（3）《环境影响评价技术导则 地表水环境》（HJ2.3-2018）；</w:t>
      </w:r>
    </w:p>
    <w:p>
      <w:pPr>
        <w:spacing w:line="360" w:lineRule="auto"/>
        <w:ind w:firstLine="480" w:firstLineChars="200"/>
        <w:rPr>
          <w:color w:val="auto"/>
          <w:sz w:val="24"/>
          <w:highlight w:val="none"/>
        </w:rPr>
      </w:pPr>
      <w:r>
        <w:rPr>
          <w:color w:val="auto"/>
          <w:sz w:val="24"/>
          <w:highlight w:val="none"/>
        </w:rPr>
        <w:t>（4）《环境影响评价技术导则 地下水环境》（HJ 610-2016）；</w:t>
      </w:r>
    </w:p>
    <w:p>
      <w:pPr>
        <w:spacing w:line="360" w:lineRule="auto"/>
        <w:ind w:firstLine="480" w:firstLineChars="200"/>
        <w:rPr>
          <w:color w:val="auto"/>
          <w:sz w:val="24"/>
          <w:highlight w:val="none"/>
        </w:rPr>
      </w:pPr>
      <w:r>
        <w:rPr>
          <w:color w:val="auto"/>
          <w:sz w:val="24"/>
          <w:highlight w:val="none"/>
        </w:rPr>
        <w:t>（5）《环境影响评价技术导则 声环境》（HJ2.4-2021）；</w:t>
      </w:r>
    </w:p>
    <w:p>
      <w:pPr>
        <w:spacing w:line="360" w:lineRule="auto"/>
        <w:ind w:firstLine="480" w:firstLineChars="200"/>
        <w:rPr>
          <w:color w:val="auto"/>
          <w:sz w:val="24"/>
          <w:highlight w:val="none"/>
        </w:rPr>
      </w:pPr>
      <w:r>
        <w:rPr>
          <w:color w:val="auto"/>
          <w:sz w:val="24"/>
          <w:highlight w:val="none"/>
        </w:rPr>
        <w:t>（6）《环境影响评价技术导则 生态影响》（HJ19-2022）；</w:t>
      </w:r>
    </w:p>
    <w:p>
      <w:pPr>
        <w:spacing w:line="360" w:lineRule="auto"/>
        <w:ind w:firstLine="480" w:firstLineChars="200"/>
        <w:rPr>
          <w:color w:val="auto"/>
          <w:sz w:val="24"/>
          <w:highlight w:val="none"/>
        </w:rPr>
      </w:pPr>
      <w:r>
        <w:rPr>
          <w:color w:val="auto"/>
          <w:sz w:val="24"/>
          <w:highlight w:val="none"/>
        </w:rPr>
        <w:t>（7）《建设项目环境风险评价技术导则》（HJ169-2018）；</w:t>
      </w:r>
    </w:p>
    <w:p>
      <w:pPr>
        <w:spacing w:line="360" w:lineRule="auto"/>
        <w:ind w:firstLine="480" w:firstLineChars="200"/>
        <w:rPr>
          <w:color w:val="auto"/>
          <w:sz w:val="24"/>
          <w:highlight w:val="none"/>
        </w:rPr>
      </w:pPr>
      <w:r>
        <w:rPr>
          <w:color w:val="auto"/>
          <w:sz w:val="24"/>
          <w:highlight w:val="none"/>
        </w:rPr>
        <w:t>（8）《环境影响评价技术导则 土壤环境（试行）》（HJ964-2018）；</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color w:val="auto"/>
          <w:kern w:val="0"/>
          <w:sz w:val="24"/>
          <w:highlight w:val="none"/>
        </w:rPr>
        <w:t>（9）</w:t>
      </w:r>
      <w:r>
        <w:rPr>
          <w:color w:val="auto"/>
          <w:sz w:val="24"/>
          <w:highlight w:val="none"/>
        </w:rPr>
        <w:t>《</w:t>
      </w:r>
      <w:r>
        <w:rPr>
          <w:rFonts w:hint="eastAsia" w:ascii="Times New Roman" w:hAnsi="Times New Roman" w:eastAsia="宋体" w:cs="Times New Roman"/>
          <w:color w:val="auto"/>
          <w:sz w:val="24"/>
          <w:highlight w:val="none"/>
          <w:lang w:val="en-US" w:eastAsia="zh-CN"/>
        </w:rPr>
        <w:t>关于做好环境影响评价制度与排污许可制衔接相关工作的通知》（环办环评[2017]84号），环境保护部办公厅2017年11月15日印发；</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10</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排污许可证申请与核发技术规范总则</w:t>
      </w:r>
      <w:r>
        <w:rPr>
          <w:rFonts w:hint="eastAsia"/>
          <w:color w:val="auto"/>
          <w:sz w:val="24"/>
          <w:highlight w:val="none"/>
          <w:lang w:eastAsia="zh-CN"/>
        </w:rPr>
        <w:t>》；</w:t>
      </w:r>
    </w:p>
    <w:p>
      <w:pPr>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11</w:t>
      </w:r>
      <w:r>
        <w:rPr>
          <w:rFonts w:hint="eastAsia"/>
          <w:color w:val="auto"/>
          <w:sz w:val="24"/>
          <w:highlight w:val="none"/>
          <w:lang w:eastAsia="zh-CN"/>
        </w:rPr>
        <w:t>）</w:t>
      </w:r>
      <w:r>
        <w:rPr>
          <w:color w:val="auto"/>
          <w:sz w:val="24"/>
          <w:highlight w:val="none"/>
        </w:rPr>
        <w:t>《排污单位自行监测技术指南总则》（HJ819-2017）；</w:t>
      </w:r>
    </w:p>
    <w:p>
      <w:pPr>
        <w:pStyle w:val="18"/>
        <w:adjustRightInd w:val="0"/>
        <w:snapToGrid w:val="0"/>
        <w:spacing w:line="360" w:lineRule="auto"/>
        <w:ind w:firstLine="480" w:firstLineChars="200"/>
        <w:rPr>
          <w:color w:val="auto"/>
          <w:sz w:val="24"/>
          <w:highlight w:val="none"/>
        </w:rPr>
      </w:pPr>
      <w:r>
        <w:rPr>
          <w:rFonts w:hint="eastAsia"/>
          <w:color w:val="auto"/>
          <w:sz w:val="24"/>
          <w:highlight w:val="none"/>
        </w:rPr>
        <w:t>（</w:t>
      </w:r>
      <w:r>
        <w:rPr>
          <w:rFonts w:hint="eastAsia"/>
          <w:color w:val="auto"/>
          <w:sz w:val="24"/>
          <w:highlight w:val="none"/>
          <w:lang w:val="en-US" w:eastAsia="zh-CN"/>
        </w:rPr>
        <w:t>13</w:t>
      </w:r>
      <w:r>
        <w:rPr>
          <w:rFonts w:hint="eastAsia"/>
          <w:color w:val="auto"/>
          <w:sz w:val="24"/>
          <w:highlight w:val="none"/>
        </w:rPr>
        <w:t>）《排污可行申请与核发技术规范 橡胶和塑料制品工业》（HJ1122-2020）；</w:t>
      </w:r>
    </w:p>
    <w:p>
      <w:pPr>
        <w:spacing w:line="360" w:lineRule="auto"/>
        <w:ind w:firstLine="480" w:firstLineChars="200"/>
        <w:rPr>
          <w:rFonts w:hint="eastAsia" w:eastAsia="宋体"/>
          <w:color w:val="auto"/>
          <w:sz w:val="24"/>
          <w:highlight w:val="none"/>
          <w:lang w:eastAsia="zh-CN"/>
        </w:rPr>
      </w:pPr>
      <w:r>
        <w:rPr>
          <w:color w:val="auto"/>
          <w:sz w:val="24"/>
          <w:highlight w:val="none"/>
        </w:rPr>
        <w:t>（</w:t>
      </w:r>
      <w:r>
        <w:rPr>
          <w:rFonts w:hint="eastAsia"/>
          <w:color w:val="auto"/>
          <w:sz w:val="24"/>
          <w:highlight w:val="none"/>
          <w:lang w:val="en-US" w:eastAsia="zh-CN"/>
        </w:rPr>
        <w:t>12</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排污许可证申请与核发技术规范 工业噪声</w:t>
      </w:r>
      <w:r>
        <w:rPr>
          <w:rFonts w:hint="eastAsia"/>
          <w:color w:val="auto"/>
          <w:sz w:val="24"/>
          <w:highlight w:val="none"/>
          <w:lang w:eastAsia="zh-CN"/>
        </w:rPr>
        <w:t>》（</w:t>
      </w:r>
      <w:r>
        <w:rPr>
          <w:rFonts w:hint="eastAsia"/>
          <w:color w:val="auto"/>
          <w:sz w:val="24"/>
          <w:highlight w:val="none"/>
          <w:lang w:val="en-US" w:eastAsia="zh-CN"/>
        </w:rPr>
        <w:t>HJ1301-2023</w:t>
      </w:r>
      <w:r>
        <w:rPr>
          <w:rFonts w:hint="eastAsia"/>
          <w:color w:val="auto"/>
          <w:sz w:val="24"/>
          <w:highlight w:val="none"/>
          <w:lang w:eastAsia="zh-CN"/>
        </w:rPr>
        <w:t>）；</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13</w:t>
      </w:r>
      <w:r>
        <w:rPr>
          <w:rFonts w:hint="eastAsia"/>
          <w:color w:val="auto"/>
          <w:sz w:val="24"/>
          <w:highlight w:val="none"/>
          <w:lang w:eastAsia="zh-CN"/>
        </w:rPr>
        <w:t>）</w:t>
      </w:r>
      <w:r>
        <w:rPr>
          <w:color w:val="auto"/>
          <w:sz w:val="24"/>
          <w:highlight w:val="none"/>
        </w:rPr>
        <w:t>《排污单位环境管理台账及排污许可证执行报告技术规范总则（试行）》（HJ944-2018）</w:t>
      </w:r>
      <w:r>
        <w:rPr>
          <w:rFonts w:hint="eastAsia"/>
          <w:color w:val="auto"/>
          <w:sz w:val="24"/>
          <w:highlight w:val="none"/>
          <w:lang w:eastAsia="zh-CN"/>
        </w:rPr>
        <w:t>；</w:t>
      </w:r>
    </w:p>
    <w:p>
      <w:pPr>
        <w:keepNext/>
        <w:keepLines/>
        <w:spacing w:line="360" w:lineRule="auto"/>
        <w:outlineLvl w:val="2"/>
        <w:rPr>
          <w:b/>
          <w:bCs/>
          <w:color w:val="auto"/>
          <w:sz w:val="24"/>
          <w:highlight w:val="none"/>
        </w:rPr>
      </w:pPr>
      <w:bookmarkStart w:id="170" w:name="_Toc172077715"/>
      <w:bookmarkStart w:id="171" w:name="_Toc341369378"/>
      <w:bookmarkStart w:id="172" w:name="_Toc337"/>
      <w:bookmarkStart w:id="173" w:name="_Toc259103886"/>
      <w:bookmarkStart w:id="174" w:name="_Toc172915172"/>
      <w:bookmarkStart w:id="175" w:name="_Toc277495470"/>
      <w:bookmarkStart w:id="176" w:name="_Toc300244714"/>
      <w:bookmarkStart w:id="177" w:name="_Toc259130151"/>
      <w:bookmarkStart w:id="178" w:name="_Toc259128784"/>
      <w:bookmarkStart w:id="179" w:name="_Toc225617348"/>
      <w:bookmarkStart w:id="180" w:name="_Toc367281996"/>
      <w:bookmarkStart w:id="181" w:name="_Toc75908595"/>
      <w:bookmarkStart w:id="182" w:name="_Toc178676313"/>
      <w:bookmarkStart w:id="183" w:name="_Toc259104566"/>
      <w:bookmarkStart w:id="184" w:name="_Toc189128884"/>
      <w:bookmarkStart w:id="185" w:name="_Toc367281413"/>
      <w:r>
        <w:rPr>
          <w:b/>
          <w:bCs/>
          <w:color w:val="auto"/>
          <w:sz w:val="24"/>
          <w:highlight w:val="none"/>
        </w:rPr>
        <w:t>1.1.5项目资料</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autoSpaceDE w:val="0"/>
        <w:autoSpaceDN w:val="0"/>
        <w:spacing w:line="360" w:lineRule="auto"/>
        <w:ind w:firstLine="480" w:firstLineChars="200"/>
        <w:rPr>
          <w:color w:val="auto"/>
          <w:sz w:val="24"/>
          <w:highlight w:val="none"/>
        </w:rPr>
      </w:pPr>
      <w:r>
        <w:rPr>
          <w:color w:val="auto"/>
          <w:sz w:val="24"/>
          <w:highlight w:val="none"/>
        </w:rPr>
        <w:t>（1）项目备案证；</w:t>
      </w:r>
    </w:p>
    <w:p>
      <w:pPr>
        <w:autoSpaceDE w:val="0"/>
        <w:autoSpaceDN w:val="0"/>
        <w:spacing w:line="360" w:lineRule="auto"/>
        <w:ind w:firstLine="480" w:firstLineChars="200"/>
        <w:rPr>
          <w:rFonts w:hint="eastAsia" w:eastAsia="宋体"/>
          <w:color w:val="auto"/>
          <w:sz w:val="24"/>
          <w:highlight w:val="none"/>
          <w:lang w:val="en-US" w:eastAsia="zh-CN"/>
        </w:rPr>
      </w:pPr>
      <w:r>
        <w:rPr>
          <w:color w:val="auto"/>
          <w:sz w:val="24"/>
          <w:highlight w:val="none"/>
        </w:rPr>
        <w:t>（2）</w:t>
      </w:r>
      <w:r>
        <w:rPr>
          <w:rFonts w:hint="eastAsia"/>
          <w:color w:val="auto"/>
          <w:sz w:val="24"/>
          <w:highlight w:val="none"/>
          <w:lang w:val="en-US" w:eastAsia="zh-CN"/>
        </w:rPr>
        <w:t>营业执照</w:t>
      </w:r>
    </w:p>
    <w:p>
      <w:pPr>
        <w:autoSpaceDE w:val="0"/>
        <w:autoSpaceDN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color w:val="auto"/>
          <w:sz w:val="24"/>
          <w:highlight w:val="none"/>
        </w:rPr>
        <w:t>厂房租赁合同；</w:t>
      </w:r>
    </w:p>
    <w:p>
      <w:pPr>
        <w:spacing w:line="360" w:lineRule="auto"/>
        <w:ind w:firstLine="480" w:firstLineChars="200"/>
        <w:rPr>
          <w:rFonts w:hint="eastAsia"/>
          <w:color w:val="auto"/>
          <w:sz w:val="24"/>
          <w:highlight w:val="none"/>
          <w:lang w:val="en-US" w:eastAsia="zh-CN"/>
        </w:rPr>
      </w:pPr>
      <w:r>
        <w:rPr>
          <w:color w:val="auto"/>
          <w:sz w:val="24"/>
          <w:highlight w:val="none"/>
        </w:rPr>
        <w:t>（</w:t>
      </w:r>
      <w:r>
        <w:rPr>
          <w:rFonts w:hint="eastAsia"/>
          <w:color w:val="auto"/>
          <w:sz w:val="24"/>
          <w:highlight w:val="none"/>
          <w:lang w:val="en-US" w:eastAsia="zh-CN"/>
        </w:rPr>
        <w:t>4</w:t>
      </w:r>
      <w:r>
        <w:rPr>
          <w:color w:val="auto"/>
          <w:sz w:val="24"/>
          <w:highlight w:val="none"/>
        </w:rPr>
        <w:t>）</w:t>
      </w:r>
      <w:r>
        <w:rPr>
          <w:rFonts w:hint="eastAsia"/>
          <w:color w:val="auto"/>
          <w:sz w:val="24"/>
          <w:highlight w:val="none"/>
          <w:lang w:val="en-US" w:eastAsia="zh-CN"/>
        </w:rPr>
        <w:t>产权证；</w:t>
      </w:r>
    </w:p>
    <w:p>
      <w:pPr>
        <w:spacing w:line="360" w:lineRule="auto"/>
        <w:ind w:firstLine="480" w:firstLineChars="200"/>
        <w:rPr>
          <w:color w:val="auto"/>
          <w:sz w:val="24"/>
          <w:highlight w:val="none"/>
        </w:rPr>
      </w:pPr>
      <w:r>
        <w:rPr>
          <w:rFonts w:hint="eastAsia"/>
          <w:color w:val="auto"/>
          <w:sz w:val="24"/>
          <w:highlight w:val="none"/>
          <w:lang w:val="en-US" w:eastAsia="zh-CN"/>
        </w:rPr>
        <w:t>（5）</w:t>
      </w:r>
      <w:r>
        <w:rPr>
          <w:color w:val="auto"/>
          <w:sz w:val="24"/>
          <w:highlight w:val="none"/>
        </w:rPr>
        <w:t>建设项目环境质量现状监测报告；</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6</w:t>
      </w:r>
      <w:r>
        <w:rPr>
          <w:color w:val="auto"/>
          <w:sz w:val="24"/>
          <w:highlight w:val="none"/>
        </w:rPr>
        <w:t>）建设单位提供的项目其它有关资料。</w:t>
      </w:r>
    </w:p>
    <w:p>
      <w:pPr>
        <w:pStyle w:val="3"/>
        <w:spacing w:before="0" w:after="0" w:line="360" w:lineRule="auto"/>
        <w:ind w:left="0"/>
        <w:textAlignment w:val="baseline"/>
        <w:rPr>
          <w:rFonts w:ascii="Times New Roman" w:hAnsi="Times New Roman" w:eastAsia="宋体"/>
          <w:color w:val="auto"/>
          <w:sz w:val="28"/>
          <w:szCs w:val="20"/>
          <w:highlight w:val="none"/>
        </w:rPr>
      </w:pPr>
      <w:bookmarkStart w:id="186" w:name="_Toc172915173"/>
      <w:bookmarkStart w:id="187" w:name="_Toc225617349"/>
      <w:bookmarkStart w:id="188" w:name="_Toc259104567"/>
      <w:bookmarkStart w:id="189" w:name="_Toc259128785"/>
      <w:bookmarkStart w:id="190" w:name="_Toc367281414"/>
      <w:bookmarkStart w:id="191" w:name="_Toc259130152"/>
      <w:bookmarkStart w:id="192" w:name="_Toc341369379"/>
      <w:bookmarkStart w:id="193" w:name="_Toc178676314"/>
      <w:bookmarkStart w:id="194" w:name="_Toc163373164"/>
      <w:bookmarkStart w:id="195" w:name="_Toc277495471"/>
      <w:bookmarkStart w:id="196" w:name="_Toc367281997"/>
      <w:bookmarkStart w:id="197" w:name="_Toc189128885"/>
      <w:bookmarkStart w:id="198" w:name="_Toc300244715"/>
      <w:bookmarkStart w:id="199" w:name="_Toc172077716"/>
      <w:bookmarkStart w:id="200" w:name="_Toc259103887"/>
      <w:bookmarkStart w:id="201" w:name="_Toc16554"/>
      <w:bookmarkStart w:id="202" w:name="_Toc75908596"/>
      <w:r>
        <w:rPr>
          <w:rFonts w:ascii="Times New Roman" w:hAnsi="Times New Roman" w:eastAsia="宋体"/>
          <w:color w:val="auto"/>
          <w:sz w:val="28"/>
          <w:szCs w:val="20"/>
          <w:highlight w:val="none"/>
        </w:rPr>
        <w:t>1.2评价目的</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Times New Roman" w:hAnsi="Times New Roman" w:eastAsia="宋体"/>
          <w:color w:val="auto"/>
          <w:sz w:val="28"/>
          <w:szCs w:val="20"/>
          <w:highlight w:val="none"/>
        </w:rPr>
        <w:t>与评价原则</w:t>
      </w:r>
      <w:bookmarkEnd w:id="201"/>
      <w:bookmarkEnd w:id="202"/>
    </w:p>
    <w:p>
      <w:pPr>
        <w:keepNext/>
        <w:keepLines/>
        <w:spacing w:line="360" w:lineRule="auto"/>
        <w:outlineLvl w:val="2"/>
        <w:rPr>
          <w:b/>
          <w:bCs/>
          <w:color w:val="auto"/>
          <w:sz w:val="24"/>
          <w:highlight w:val="none"/>
        </w:rPr>
      </w:pPr>
      <w:bookmarkStart w:id="203" w:name="_Toc75908597"/>
      <w:bookmarkStart w:id="204" w:name="_Toc7732"/>
      <w:r>
        <w:rPr>
          <w:b/>
          <w:bCs/>
          <w:color w:val="auto"/>
          <w:sz w:val="24"/>
          <w:highlight w:val="none"/>
        </w:rPr>
        <w:t>1.2.1评价目的</w:t>
      </w:r>
      <w:bookmarkEnd w:id="203"/>
      <w:bookmarkEnd w:id="204"/>
    </w:p>
    <w:p>
      <w:pPr>
        <w:spacing w:line="360" w:lineRule="auto"/>
        <w:ind w:firstLine="480" w:firstLineChars="200"/>
        <w:rPr>
          <w:color w:val="auto"/>
          <w:sz w:val="24"/>
          <w:highlight w:val="none"/>
        </w:rPr>
      </w:pPr>
      <w:r>
        <w:rPr>
          <w:color w:val="auto"/>
          <w:sz w:val="24"/>
          <w:highlight w:val="none"/>
        </w:rPr>
        <w:t>（1）本项目环境影响评价的目的是贯彻和推行预防为主的管理方针；坚持可持续发展的原则，通过对项目建设地和周围环境现状的调查，收集现有监测资料和进行必要的环境监测，掌握评价区的空气、水、声、土壤环境现状和特征；</w:t>
      </w:r>
    </w:p>
    <w:p>
      <w:pPr>
        <w:spacing w:line="360" w:lineRule="auto"/>
        <w:ind w:firstLine="480" w:firstLineChars="200"/>
        <w:rPr>
          <w:color w:val="auto"/>
          <w:sz w:val="24"/>
          <w:highlight w:val="none"/>
        </w:rPr>
      </w:pPr>
      <w:r>
        <w:rPr>
          <w:color w:val="auto"/>
          <w:sz w:val="24"/>
          <w:highlight w:val="none"/>
        </w:rPr>
        <w:t>（2）通过工程分析，对该项目建设产生的环境影响因素进行分析、识别与筛选，确定本项目施工期和建成后的污染源源强，污染物排放方式及处理方法等，对本项目实施后给所在地区环境造成的影响作出正确的分析和评价；</w:t>
      </w:r>
    </w:p>
    <w:p>
      <w:pPr>
        <w:spacing w:line="360" w:lineRule="auto"/>
        <w:ind w:firstLine="480" w:firstLineChars="200"/>
        <w:rPr>
          <w:color w:val="auto"/>
          <w:sz w:val="24"/>
          <w:highlight w:val="none"/>
        </w:rPr>
      </w:pPr>
      <w:r>
        <w:rPr>
          <w:color w:val="auto"/>
          <w:sz w:val="24"/>
          <w:highlight w:val="none"/>
        </w:rPr>
        <w:t>（3）根据环境特征和建设项目污染物排放特征，论证项目建设的合理性、环境相容性及主要环境问题，预测建设项目对自然、生态环境以及生活环境产生影响的程度、范围和环境质量可能发生的变化状况，从而提出消除或减少不利影响的对策建议；</w:t>
      </w:r>
    </w:p>
    <w:p>
      <w:pPr>
        <w:spacing w:line="360" w:lineRule="auto"/>
        <w:ind w:firstLine="480" w:firstLineChars="200"/>
        <w:rPr>
          <w:color w:val="auto"/>
          <w:sz w:val="24"/>
          <w:highlight w:val="none"/>
        </w:rPr>
      </w:pPr>
      <w:r>
        <w:rPr>
          <w:color w:val="auto"/>
          <w:sz w:val="24"/>
          <w:highlight w:val="none"/>
        </w:rPr>
        <w:t>（4）建立项目环境管理体系，为环境管理和污染防治提供切实可行的方案；</w:t>
      </w:r>
    </w:p>
    <w:p>
      <w:pPr>
        <w:spacing w:line="360" w:lineRule="auto"/>
        <w:ind w:firstLine="480" w:firstLineChars="200"/>
        <w:rPr>
          <w:color w:val="auto"/>
          <w:sz w:val="24"/>
          <w:highlight w:val="none"/>
        </w:rPr>
      </w:pPr>
      <w:r>
        <w:rPr>
          <w:color w:val="auto"/>
          <w:sz w:val="24"/>
          <w:highlight w:val="none"/>
        </w:rPr>
        <w:t>（5）根据“达标排放、总量控制”的要求，论述项目环保措施的可靠性和合理性，从环境保护角度评价该项目的可行性，为环境行政主管部门决策与监督管理和建设单位、设计单位实行“三同时”提供科学依据。</w:t>
      </w:r>
    </w:p>
    <w:p>
      <w:pPr>
        <w:keepNext/>
        <w:keepLines/>
        <w:spacing w:line="360" w:lineRule="auto"/>
        <w:outlineLvl w:val="2"/>
        <w:rPr>
          <w:b/>
          <w:bCs/>
          <w:color w:val="auto"/>
          <w:sz w:val="24"/>
          <w:highlight w:val="none"/>
        </w:rPr>
      </w:pPr>
      <w:bookmarkStart w:id="205" w:name="_Toc75908598"/>
      <w:bookmarkStart w:id="206" w:name="_Toc24838"/>
      <w:r>
        <w:rPr>
          <w:b/>
          <w:bCs/>
          <w:color w:val="auto"/>
          <w:sz w:val="24"/>
          <w:highlight w:val="none"/>
        </w:rPr>
        <w:t>1.2.2评价原则</w:t>
      </w:r>
      <w:bookmarkEnd w:id="205"/>
      <w:bookmarkEnd w:id="206"/>
    </w:p>
    <w:p>
      <w:pPr>
        <w:spacing w:line="360" w:lineRule="auto"/>
        <w:ind w:firstLine="480" w:firstLineChars="200"/>
        <w:rPr>
          <w:color w:val="auto"/>
          <w:sz w:val="24"/>
          <w:highlight w:val="none"/>
        </w:rPr>
      </w:pPr>
      <w:bookmarkStart w:id="207" w:name="_Toc367281415"/>
      <w:bookmarkStart w:id="208" w:name="_Toc367281998"/>
      <w:bookmarkStart w:id="209" w:name="_Toc341369380"/>
      <w:bookmarkStart w:id="210" w:name="_Toc225617356"/>
      <w:bookmarkStart w:id="211" w:name="_Toc178676323"/>
      <w:bookmarkStart w:id="212" w:name="_Toc189128891"/>
      <w:bookmarkStart w:id="213" w:name="_Toc172077725"/>
      <w:bookmarkStart w:id="214" w:name="_Toc259130153"/>
      <w:bookmarkStart w:id="215" w:name="_Toc300244716"/>
      <w:bookmarkStart w:id="216" w:name="_Toc277495472"/>
      <w:bookmarkStart w:id="217" w:name="_Toc172915182"/>
      <w:bookmarkStart w:id="218" w:name="_Toc163373167"/>
      <w:bookmarkStart w:id="219" w:name="_Toc259103888"/>
      <w:bookmarkStart w:id="220" w:name="_Toc259128786"/>
      <w:bookmarkStart w:id="221" w:name="_Toc259104568"/>
      <w:r>
        <w:rPr>
          <w:color w:val="auto"/>
          <w:sz w:val="24"/>
          <w:highlight w:val="none"/>
        </w:rPr>
        <w:t>评价突出环境影响评价的源头预防作用，坚持保护和改善环境质量，遵循依法评价、科学评价、突出重点的评价原则。</w:t>
      </w:r>
    </w:p>
    <w:p>
      <w:pPr>
        <w:spacing w:line="360" w:lineRule="auto"/>
        <w:ind w:firstLine="480" w:firstLineChars="200"/>
        <w:rPr>
          <w:color w:val="auto"/>
          <w:sz w:val="24"/>
          <w:highlight w:val="none"/>
        </w:rPr>
      </w:pPr>
      <w:r>
        <w:rPr>
          <w:color w:val="auto"/>
          <w:sz w:val="24"/>
          <w:highlight w:val="none"/>
        </w:rPr>
        <w:t>1、依法评价</w:t>
      </w:r>
    </w:p>
    <w:p>
      <w:pPr>
        <w:spacing w:line="360" w:lineRule="auto"/>
        <w:ind w:firstLine="480" w:firstLineChars="200"/>
        <w:rPr>
          <w:color w:val="auto"/>
          <w:sz w:val="24"/>
          <w:highlight w:val="none"/>
        </w:rPr>
      </w:pPr>
      <w:r>
        <w:rPr>
          <w:color w:val="auto"/>
          <w:sz w:val="24"/>
          <w:highlight w:val="none"/>
        </w:rPr>
        <w:t>贯彻执行我国环境保护相关法律法规、标准、政策和规划等，优化项目建设，服务环境管理。</w:t>
      </w:r>
    </w:p>
    <w:p>
      <w:pPr>
        <w:spacing w:line="360" w:lineRule="auto"/>
        <w:ind w:firstLine="480" w:firstLineChars="200"/>
        <w:rPr>
          <w:color w:val="auto"/>
          <w:sz w:val="24"/>
          <w:highlight w:val="none"/>
        </w:rPr>
      </w:pPr>
      <w:r>
        <w:rPr>
          <w:color w:val="auto"/>
          <w:sz w:val="24"/>
          <w:highlight w:val="none"/>
        </w:rPr>
        <w:t>2、科学评价</w:t>
      </w:r>
    </w:p>
    <w:p>
      <w:pPr>
        <w:spacing w:line="360" w:lineRule="auto"/>
        <w:ind w:firstLine="480" w:firstLineChars="200"/>
        <w:rPr>
          <w:color w:val="auto"/>
          <w:sz w:val="24"/>
          <w:highlight w:val="none"/>
        </w:rPr>
      </w:pPr>
      <w:r>
        <w:rPr>
          <w:color w:val="auto"/>
          <w:sz w:val="24"/>
          <w:highlight w:val="none"/>
        </w:rPr>
        <w:t>规范环境影响评价方法，科学分析项目建设对环境质量的影响。</w:t>
      </w:r>
    </w:p>
    <w:p>
      <w:pPr>
        <w:spacing w:line="360" w:lineRule="auto"/>
        <w:ind w:firstLine="480" w:firstLineChars="200"/>
        <w:rPr>
          <w:color w:val="auto"/>
          <w:sz w:val="24"/>
          <w:highlight w:val="none"/>
        </w:rPr>
      </w:pPr>
      <w:r>
        <w:rPr>
          <w:color w:val="auto"/>
          <w:sz w:val="24"/>
          <w:highlight w:val="none"/>
        </w:rPr>
        <w:t>3、突出重点</w:t>
      </w:r>
    </w:p>
    <w:p>
      <w:pPr>
        <w:spacing w:line="360" w:lineRule="auto"/>
        <w:ind w:firstLine="480" w:firstLineChars="200"/>
        <w:rPr>
          <w:color w:val="auto"/>
          <w:sz w:val="24"/>
          <w:highlight w:val="none"/>
        </w:rPr>
      </w:pPr>
      <w:r>
        <w:rPr>
          <w:color w:val="auto"/>
          <w:sz w:val="24"/>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spacing w:before="0" w:after="0" w:line="360" w:lineRule="auto"/>
        <w:ind w:left="0"/>
        <w:textAlignment w:val="baseline"/>
        <w:rPr>
          <w:rFonts w:ascii="Times New Roman" w:hAnsi="Times New Roman" w:eastAsia="宋体"/>
          <w:color w:val="auto"/>
          <w:sz w:val="28"/>
          <w:szCs w:val="20"/>
          <w:highlight w:val="none"/>
        </w:rPr>
      </w:pPr>
      <w:bookmarkStart w:id="222" w:name="_Toc75908599"/>
      <w:bookmarkStart w:id="223" w:name="_Toc15283"/>
      <w:r>
        <w:rPr>
          <w:rFonts w:ascii="Times New Roman" w:hAnsi="Times New Roman" w:eastAsia="宋体"/>
          <w:color w:val="auto"/>
          <w:sz w:val="28"/>
          <w:szCs w:val="20"/>
          <w:highlight w:val="none"/>
        </w:rPr>
        <w:t>1.3</w:t>
      </w:r>
      <w:bookmarkStart w:id="224" w:name="_Toc528547475"/>
      <w:r>
        <w:rPr>
          <w:rFonts w:ascii="Times New Roman" w:hAnsi="Times New Roman" w:eastAsia="宋体"/>
          <w:color w:val="auto"/>
          <w:sz w:val="28"/>
          <w:szCs w:val="20"/>
          <w:highlight w:val="none"/>
        </w:rPr>
        <w:t>环境影响识别与评价因子筛选</w:t>
      </w:r>
      <w:bookmarkEnd w:id="222"/>
      <w:bookmarkEnd w:id="223"/>
      <w:bookmarkEnd w:id="224"/>
    </w:p>
    <w:p>
      <w:pPr>
        <w:keepNext/>
        <w:keepLines/>
        <w:spacing w:line="360" w:lineRule="auto"/>
        <w:outlineLvl w:val="2"/>
        <w:rPr>
          <w:b/>
          <w:bCs/>
          <w:color w:val="auto"/>
          <w:sz w:val="24"/>
          <w:highlight w:val="none"/>
        </w:rPr>
      </w:pPr>
      <w:bookmarkStart w:id="225" w:name="_Toc75908600"/>
      <w:bookmarkStart w:id="226" w:name="_Toc25071"/>
      <w:r>
        <w:rPr>
          <w:b/>
          <w:bCs/>
          <w:color w:val="auto"/>
          <w:sz w:val="24"/>
          <w:highlight w:val="none"/>
        </w:rPr>
        <w:t>1.3.1环境影响要素的识别</w:t>
      </w:r>
      <w:bookmarkEnd w:id="225"/>
      <w:bookmarkEnd w:id="226"/>
    </w:p>
    <w:p>
      <w:pPr>
        <w:spacing w:line="360" w:lineRule="auto"/>
        <w:ind w:firstLine="480"/>
        <w:rPr>
          <w:color w:val="auto"/>
          <w:sz w:val="24"/>
          <w:highlight w:val="none"/>
        </w:rPr>
      </w:pPr>
      <w:r>
        <w:rPr>
          <w:color w:val="auto"/>
          <w:sz w:val="24"/>
          <w:highlight w:val="none"/>
        </w:rPr>
        <w:t>根据项目环境影响、所在地环境现状特征，采用环境影响环境要素性质识别表，对建设项目环境因素的影响性质进行识别。环境影响要素识别结果见表</w:t>
      </w:r>
      <w:r>
        <w:rPr>
          <w:rFonts w:hint="eastAsia"/>
          <w:color w:val="auto"/>
          <w:sz w:val="24"/>
          <w:highlight w:val="none"/>
          <w:lang w:val="en-US" w:eastAsia="zh-CN"/>
        </w:rPr>
        <w:t>1</w:t>
      </w:r>
      <w:r>
        <w:rPr>
          <w:color w:val="auto"/>
          <w:sz w:val="24"/>
          <w:highlight w:val="none"/>
        </w:rPr>
        <w:t>.3-1。</w:t>
      </w: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lang w:val="en-US" w:eastAsia="zh-CN"/>
        </w:rPr>
        <w:t>1</w:t>
      </w:r>
      <w:r>
        <w:rPr>
          <w:b/>
          <w:color w:val="auto"/>
          <w:sz w:val="24"/>
          <w:highlight w:val="none"/>
        </w:rPr>
        <w:t>.3-1  项目环境要素影响识别表</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939"/>
        <w:gridCol w:w="897"/>
        <w:gridCol w:w="1120"/>
        <w:gridCol w:w="897"/>
        <w:gridCol w:w="1120"/>
        <w:gridCol w:w="67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gridSpan w:val="2"/>
            <w:tcBorders>
              <w:tl2br w:val="single" w:color="auto" w:sz="4" w:space="0"/>
            </w:tcBorders>
            <w:vAlign w:val="center"/>
          </w:tcPr>
          <w:p>
            <w:pPr>
              <w:jc w:val="right"/>
              <w:rPr>
                <w:b/>
                <w:bCs/>
                <w:color w:val="auto"/>
                <w:szCs w:val="21"/>
                <w:highlight w:val="none"/>
              </w:rPr>
            </w:pPr>
            <w:r>
              <w:rPr>
                <w:b/>
                <w:bCs/>
                <w:color w:val="auto"/>
                <w:szCs w:val="21"/>
                <w:highlight w:val="none"/>
              </w:rPr>
              <w:t>环境要素</w:t>
            </w:r>
          </w:p>
          <w:p>
            <w:pPr>
              <w:jc w:val="left"/>
              <w:rPr>
                <w:b/>
                <w:bCs/>
                <w:color w:val="auto"/>
                <w:szCs w:val="21"/>
                <w:highlight w:val="none"/>
              </w:rPr>
            </w:pPr>
            <w:r>
              <w:rPr>
                <w:b/>
                <w:bCs/>
                <w:color w:val="auto"/>
                <w:szCs w:val="21"/>
                <w:highlight w:val="none"/>
              </w:rPr>
              <w:t>开发活动</w:t>
            </w:r>
          </w:p>
        </w:tc>
        <w:tc>
          <w:tcPr>
            <w:tcW w:w="897" w:type="dxa"/>
            <w:vAlign w:val="center"/>
          </w:tcPr>
          <w:p>
            <w:pPr>
              <w:jc w:val="center"/>
              <w:rPr>
                <w:b/>
                <w:bCs/>
                <w:color w:val="auto"/>
                <w:szCs w:val="21"/>
                <w:highlight w:val="none"/>
              </w:rPr>
            </w:pPr>
            <w:r>
              <w:rPr>
                <w:b/>
                <w:bCs/>
                <w:color w:val="auto"/>
                <w:szCs w:val="21"/>
                <w:highlight w:val="none"/>
              </w:rPr>
              <w:t>水环境</w:t>
            </w:r>
          </w:p>
        </w:tc>
        <w:tc>
          <w:tcPr>
            <w:tcW w:w="1120" w:type="dxa"/>
            <w:vAlign w:val="center"/>
          </w:tcPr>
          <w:p>
            <w:pPr>
              <w:jc w:val="center"/>
              <w:rPr>
                <w:b/>
                <w:bCs/>
                <w:color w:val="auto"/>
                <w:szCs w:val="21"/>
                <w:highlight w:val="none"/>
              </w:rPr>
            </w:pPr>
            <w:r>
              <w:rPr>
                <w:b/>
                <w:bCs/>
                <w:color w:val="auto"/>
                <w:szCs w:val="21"/>
                <w:highlight w:val="none"/>
              </w:rPr>
              <w:t>大气环境</w:t>
            </w:r>
          </w:p>
        </w:tc>
        <w:tc>
          <w:tcPr>
            <w:tcW w:w="897" w:type="dxa"/>
            <w:vAlign w:val="center"/>
          </w:tcPr>
          <w:p>
            <w:pPr>
              <w:jc w:val="center"/>
              <w:rPr>
                <w:b/>
                <w:bCs/>
                <w:color w:val="auto"/>
                <w:szCs w:val="21"/>
                <w:highlight w:val="none"/>
              </w:rPr>
            </w:pPr>
            <w:r>
              <w:rPr>
                <w:b/>
                <w:bCs/>
                <w:color w:val="auto"/>
                <w:szCs w:val="21"/>
                <w:highlight w:val="none"/>
              </w:rPr>
              <w:t>声环境</w:t>
            </w:r>
          </w:p>
        </w:tc>
        <w:tc>
          <w:tcPr>
            <w:tcW w:w="1120" w:type="dxa"/>
            <w:vAlign w:val="center"/>
          </w:tcPr>
          <w:p>
            <w:pPr>
              <w:jc w:val="center"/>
              <w:rPr>
                <w:b/>
                <w:bCs/>
                <w:color w:val="auto"/>
                <w:szCs w:val="21"/>
                <w:highlight w:val="none"/>
              </w:rPr>
            </w:pPr>
            <w:r>
              <w:rPr>
                <w:b/>
                <w:bCs/>
                <w:color w:val="auto"/>
                <w:szCs w:val="21"/>
                <w:highlight w:val="none"/>
              </w:rPr>
              <w:t>生态环境</w:t>
            </w:r>
          </w:p>
        </w:tc>
        <w:tc>
          <w:tcPr>
            <w:tcW w:w="675" w:type="dxa"/>
            <w:vAlign w:val="center"/>
          </w:tcPr>
          <w:p>
            <w:pPr>
              <w:jc w:val="center"/>
              <w:rPr>
                <w:b/>
                <w:bCs/>
                <w:color w:val="auto"/>
                <w:szCs w:val="21"/>
                <w:highlight w:val="none"/>
              </w:rPr>
            </w:pPr>
            <w:r>
              <w:rPr>
                <w:b/>
                <w:bCs/>
                <w:color w:val="auto"/>
                <w:szCs w:val="21"/>
                <w:highlight w:val="none"/>
              </w:rPr>
              <w:t>固废</w:t>
            </w:r>
          </w:p>
        </w:tc>
        <w:tc>
          <w:tcPr>
            <w:tcW w:w="1135" w:type="dxa"/>
            <w:vAlign w:val="center"/>
          </w:tcPr>
          <w:p>
            <w:pPr>
              <w:jc w:val="center"/>
              <w:rPr>
                <w:b/>
                <w:bCs/>
                <w:color w:val="auto"/>
                <w:szCs w:val="21"/>
                <w:highlight w:val="none"/>
              </w:rPr>
            </w:pPr>
            <w:r>
              <w:rPr>
                <w:b/>
                <w:bCs/>
                <w:color w:val="auto"/>
                <w:szCs w:val="21"/>
                <w:highlight w:val="none"/>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jc w:val="center"/>
              <w:rPr>
                <w:color w:val="auto"/>
                <w:szCs w:val="21"/>
                <w:highlight w:val="none"/>
              </w:rPr>
            </w:pPr>
            <w:r>
              <w:rPr>
                <w:color w:val="auto"/>
                <w:szCs w:val="21"/>
                <w:highlight w:val="none"/>
              </w:rPr>
              <w:t>施工期</w:t>
            </w:r>
          </w:p>
        </w:tc>
        <w:tc>
          <w:tcPr>
            <w:tcW w:w="1939" w:type="dxa"/>
            <w:vAlign w:val="center"/>
          </w:tcPr>
          <w:p>
            <w:pPr>
              <w:jc w:val="center"/>
              <w:rPr>
                <w:color w:val="auto"/>
                <w:szCs w:val="21"/>
                <w:highlight w:val="none"/>
              </w:rPr>
            </w:pPr>
            <w:r>
              <w:rPr>
                <w:color w:val="auto"/>
                <w:szCs w:val="21"/>
                <w:highlight w:val="none"/>
              </w:rPr>
              <w:t>基础施工</w:t>
            </w:r>
          </w:p>
        </w:tc>
        <w:tc>
          <w:tcPr>
            <w:tcW w:w="897" w:type="dxa"/>
            <w:vAlign w:val="center"/>
          </w:tcPr>
          <w:p>
            <w:pPr>
              <w:jc w:val="center"/>
              <w:rPr>
                <w:color w:val="auto"/>
                <w:szCs w:val="21"/>
                <w:highlight w:val="none"/>
              </w:rPr>
            </w:pPr>
            <w:r>
              <w:rPr>
                <w:color w:val="auto"/>
                <w:szCs w:val="21"/>
                <w:highlight w:val="none"/>
              </w:rPr>
              <w:t>/</w:t>
            </w:r>
          </w:p>
        </w:tc>
        <w:tc>
          <w:tcPr>
            <w:tcW w:w="1120" w:type="dxa"/>
            <w:vAlign w:val="center"/>
          </w:tcPr>
          <w:p>
            <w:pPr>
              <w:jc w:val="center"/>
              <w:rPr>
                <w:color w:val="auto"/>
                <w:szCs w:val="21"/>
                <w:highlight w:val="none"/>
              </w:rPr>
            </w:pPr>
            <w:r>
              <w:rPr>
                <w:color w:val="auto"/>
                <w:szCs w:val="21"/>
                <w:highlight w:val="none"/>
              </w:rPr>
              <w:t>-2S</w:t>
            </w:r>
          </w:p>
        </w:tc>
        <w:tc>
          <w:tcPr>
            <w:tcW w:w="897" w:type="dxa"/>
            <w:vAlign w:val="center"/>
          </w:tcPr>
          <w:p>
            <w:pPr>
              <w:jc w:val="center"/>
              <w:rPr>
                <w:color w:val="auto"/>
                <w:szCs w:val="21"/>
                <w:highlight w:val="none"/>
              </w:rPr>
            </w:pPr>
            <w:r>
              <w:rPr>
                <w:color w:val="auto"/>
                <w:szCs w:val="21"/>
                <w:highlight w:val="none"/>
              </w:rPr>
              <w:t>-2S</w:t>
            </w:r>
          </w:p>
        </w:tc>
        <w:tc>
          <w:tcPr>
            <w:tcW w:w="1120" w:type="dxa"/>
            <w:vAlign w:val="center"/>
          </w:tcPr>
          <w:p>
            <w:pPr>
              <w:jc w:val="center"/>
              <w:rPr>
                <w:color w:val="auto"/>
                <w:szCs w:val="21"/>
                <w:highlight w:val="none"/>
              </w:rPr>
            </w:pPr>
            <w:r>
              <w:rPr>
                <w:color w:val="auto"/>
                <w:szCs w:val="21"/>
                <w:highlight w:val="none"/>
              </w:rPr>
              <w:t>-1S</w:t>
            </w:r>
          </w:p>
        </w:tc>
        <w:tc>
          <w:tcPr>
            <w:tcW w:w="675" w:type="dxa"/>
            <w:vAlign w:val="center"/>
          </w:tcPr>
          <w:p>
            <w:pPr>
              <w:jc w:val="center"/>
              <w:rPr>
                <w:color w:val="auto"/>
                <w:szCs w:val="21"/>
                <w:highlight w:val="none"/>
              </w:rPr>
            </w:pPr>
            <w:r>
              <w:rPr>
                <w:color w:val="auto"/>
                <w:szCs w:val="21"/>
                <w:highlight w:val="none"/>
              </w:rPr>
              <w:t>/</w:t>
            </w:r>
          </w:p>
        </w:tc>
        <w:tc>
          <w:tcPr>
            <w:tcW w:w="1135"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jc w:val="center"/>
              <w:rPr>
                <w:color w:val="auto"/>
                <w:szCs w:val="21"/>
                <w:highlight w:val="none"/>
              </w:rPr>
            </w:pPr>
          </w:p>
        </w:tc>
        <w:tc>
          <w:tcPr>
            <w:tcW w:w="1939" w:type="dxa"/>
            <w:vAlign w:val="center"/>
          </w:tcPr>
          <w:p>
            <w:pPr>
              <w:jc w:val="center"/>
              <w:rPr>
                <w:color w:val="auto"/>
                <w:szCs w:val="21"/>
                <w:highlight w:val="none"/>
              </w:rPr>
            </w:pPr>
            <w:r>
              <w:rPr>
                <w:color w:val="auto"/>
                <w:szCs w:val="21"/>
                <w:highlight w:val="none"/>
              </w:rPr>
              <w:t>主体工程</w:t>
            </w:r>
          </w:p>
        </w:tc>
        <w:tc>
          <w:tcPr>
            <w:tcW w:w="897" w:type="dxa"/>
            <w:vAlign w:val="center"/>
          </w:tcPr>
          <w:p>
            <w:pPr>
              <w:jc w:val="center"/>
              <w:rPr>
                <w:color w:val="auto"/>
                <w:szCs w:val="21"/>
                <w:highlight w:val="none"/>
              </w:rPr>
            </w:pPr>
            <w:r>
              <w:rPr>
                <w:color w:val="auto"/>
                <w:szCs w:val="21"/>
                <w:highlight w:val="none"/>
              </w:rPr>
              <w:t>/</w:t>
            </w:r>
          </w:p>
        </w:tc>
        <w:tc>
          <w:tcPr>
            <w:tcW w:w="1120" w:type="dxa"/>
            <w:vAlign w:val="center"/>
          </w:tcPr>
          <w:p>
            <w:pPr>
              <w:jc w:val="center"/>
              <w:rPr>
                <w:color w:val="auto"/>
                <w:szCs w:val="21"/>
                <w:highlight w:val="none"/>
              </w:rPr>
            </w:pPr>
            <w:r>
              <w:rPr>
                <w:color w:val="auto"/>
                <w:szCs w:val="21"/>
                <w:highlight w:val="none"/>
              </w:rPr>
              <w:t>-1S</w:t>
            </w:r>
          </w:p>
        </w:tc>
        <w:tc>
          <w:tcPr>
            <w:tcW w:w="897" w:type="dxa"/>
            <w:vAlign w:val="center"/>
          </w:tcPr>
          <w:p>
            <w:pPr>
              <w:jc w:val="center"/>
              <w:rPr>
                <w:color w:val="auto"/>
                <w:szCs w:val="21"/>
                <w:highlight w:val="none"/>
              </w:rPr>
            </w:pPr>
            <w:r>
              <w:rPr>
                <w:color w:val="auto"/>
                <w:szCs w:val="21"/>
                <w:highlight w:val="none"/>
              </w:rPr>
              <w:t>-1S</w:t>
            </w:r>
          </w:p>
        </w:tc>
        <w:tc>
          <w:tcPr>
            <w:tcW w:w="1120" w:type="dxa"/>
            <w:vAlign w:val="center"/>
          </w:tcPr>
          <w:p>
            <w:pPr>
              <w:jc w:val="center"/>
              <w:rPr>
                <w:color w:val="auto"/>
                <w:szCs w:val="21"/>
                <w:highlight w:val="none"/>
              </w:rPr>
            </w:pPr>
            <w:r>
              <w:rPr>
                <w:color w:val="auto"/>
                <w:szCs w:val="21"/>
                <w:highlight w:val="none"/>
              </w:rPr>
              <w:t>/</w:t>
            </w:r>
          </w:p>
        </w:tc>
        <w:tc>
          <w:tcPr>
            <w:tcW w:w="675" w:type="dxa"/>
            <w:vAlign w:val="center"/>
          </w:tcPr>
          <w:p>
            <w:pPr>
              <w:jc w:val="center"/>
              <w:rPr>
                <w:color w:val="auto"/>
                <w:szCs w:val="21"/>
                <w:highlight w:val="none"/>
              </w:rPr>
            </w:pPr>
            <w:r>
              <w:rPr>
                <w:color w:val="auto"/>
                <w:szCs w:val="21"/>
                <w:highlight w:val="none"/>
              </w:rPr>
              <w:t>-1S</w:t>
            </w:r>
          </w:p>
        </w:tc>
        <w:tc>
          <w:tcPr>
            <w:tcW w:w="1135"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jc w:val="center"/>
              <w:rPr>
                <w:color w:val="auto"/>
                <w:szCs w:val="21"/>
                <w:highlight w:val="none"/>
              </w:rPr>
            </w:pPr>
          </w:p>
        </w:tc>
        <w:tc>
          <w:tcPr>
            <w:tcW w:w="1939" w:type="dxa"/>
            <w:vAlign w:val="center"/>
          </w:tcPr>
          <w:p>
            <w:pPr>
              <w:jc w:val="center"/>
              <w:rPr>
                <w:color w:val="auto"/>
                <w:szCs w:val="21"/>
                <w:highlight w:val="none"/>
              </w:rPr>
            </w:pPr>
            <w:r>
              <w:rPr>
                <w:color w:val="auto"/>
                <w:szCs w:val="21"/>
                <w:highlight w:val="none"/>
              </w:rPr>
              <w:t>安装工程</w:t>
            </w:r>
          </w:p>
        </w:tc>
        <w:tc>
          <w:tcPr>
            <w:tcW w:w="897" w:type="dxa"/>
            <w:vAlign w:val="center"/>
          </w:tcPr>
          <w:p>
            <w:pPr>
              <w:jc w:val="center"/>
              <w:rPr>
                <w:color w:val="auto"/>
                <w:szCs w:val="21"/>
                <w:highlight w:val="none"/>
              </w:rPr>
            </w:pPr>
            <w:r>
              <w:rPr>
                <w:color w:val="auto"/>
                <w:szCs w:val="21"/>
                <w:highlight w:val="none"/>
              </w:rPr>
              <w:t>/</w:t>
            </w:r>
          </w:p>
        </w:tc>
        <w:tc>
          <w:tcPr>
            <w:tcW w:w="1120" w:type="dxa"/>
            <w:vAlign w:val="center"/>
          </w:tcPr>
          <w:p>
            <w:pPr>
              <w:jc w:val="center"/>
              <w:rPr>
                <w:color w:val="auto"/>
                <w:szCs w:val="21"/>
                <w:highlight w:val="none"/>
              </w:rPr>
            </w:pPr>
            <w:r>
              <w:rPr>
                <w:color w:val="auto"/>
                <w:szCs w:val="21"/>
                <w:highlight w:val="none"/>
              </w:rPr>
              <w:t>/</w:t>
            </w:r>
          </w:p>
        </w:tc>
        <w:tc>
          <w:tcPr>
            <w:tcW w:w="897" w:type="dxa"/>
            <w:vAlign w:val="center"/>
          </w:tcPr>
          <w:p>
            <w:pPr>
              <w:jc w:val="center"/>
              <w:rPr>
                <w:color w:val="auto"/>
                <w:szCs w:val="21"/>
                <w:highlight w:val="none"/>
              </w:rPr>
            </w:pPr>
            <w:r>
              <w:rPr>
                <w:color w:val="auto"/>
                <w:szCs w:val="21"/>
                <w:highlight w:val="none"/>
              </w:rPr>
              <w:t>-2S</w:t>
            </w:r>
          </w:p>
        </w:tc>
        <w:tc>
          <w:tcPr>
            <w:tcW w:w="1120" w:type="dxa"/>
            <w:vAlign w:val="center"/>
          </w:tcPr>
          <w:p>
            <w:pPr>
              <w:jc w:val="center"/>
              <w:rPr>
                <w:color w:val="auto"/>
                <w:szCs w:val="21"/>
                <w:highlight w:val="none"/>
              </w:rPr>
            </w:pPr>
            <w:r>
              <w:rPr>
                <w:color w:val="auto"/>
                <w:szCs w:val="21"/>
                <w:highlight w:val="none"/>
              </w:rPr>
              <w:t>/</w:t>
            </w:r>
          </w:p>
        </w:tc>
        <w:tc>
          <w:tcPr>
            <w:tcW w:w="675" w:type="dxa"/>
            <w:vAlign w:val="center"/>
          </w:tcPr>
          <w:p>
            <w:pPr>
              <w:jc w:val="center"/>
              <w:rPr>
                <w:color w:val="auto"/>
                <w:szCs w:val="21"/>
                <w:highlight w:val="none"/>
              </w:rPr>
            </w:pPr>
            <w:r>
              <w:rPr>
                <w:color w:val="auto"/>
                <w:szCs w:val="21"/>
                <w:highlight w:val="none"/>
              </w:rPr>
              <w:t>/</w:t>
            </w:r>
          </w:p>
        </w:tc>
        <w:tc>
          <w:tcPr>
            <w:tcW w:w="1135"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jc w:val="center"/>
              <w:rPr>
                <w:color w:val="auto"/>
                <w:szCs w:val="21"/>
                <w:highlight w:val="none"/>
              </w:rPr>
            </w:pPr>
          </w:p>
        </w:tc>
        <w:tc>
          <w:tcPr>
            <w:tcW w:w="1939" w:type="dxa"/>
            <w:vAlign w:val="center"/>
          </w:tcPr>
          <w:p>
            <w:pPr>
              <w:jc w:val="center"/>
              <w:rPr>
                <w:color w:val="auto"/>
                <w:szCs w:val="21"/>
                <w:highlight w:val="none"/>
              </w:rPr>
            </w:pPr>
            <w:r>
              <w:rPr>
                <w:color w:val="auto"/>
                <w:szCs w:val="21"/>
                <w:highlight w:val="none"/>
              </w:rPr>
              <w:t>运输工程</w:t>
            </w:r>
          </w:p>
        </w:tc>
        <w:tc>
          <w:tcPr>
            <w:tcW w:w="897" w:type="dxa"/>
            <w:vAlign w:val="center"/>
          </w:tcPr>
          <w:p>
            <w:pPr>
              <w:jc w:val="center"/>
              <w:rPr>
                <w:color w:val="auto"/>
                <w:szCs w:val="21"/>
                <w:highlight w:val="none"/>
              </w:rPr>
            </w:pPr>
            <w:r>
              <w:rPr>
                <w:color w:val="auto"/>
                <w:szCs w:val="21"/>
                <w:highlight w:val="none"/>
              </w:rPr>
              <w:t>-1S</w:t>
            </w:r>
          </w:p>
        </w:tc>
        <w:tc>
          <w:tcPr>
            <w:tcW w:w="1120" w:type="dxa"/>
            <w:vAlign w:val="center"/>
          </w:tcPr>
          <w:p>
            <w:pPr>
              <w:jc w:val="center"/>
              <w:rPr>
                <w:color w:val="auto"/>
                <w:szCs w:val="21"/>
                <w:highlight w:val="none"/>
              </w:rPr>
            </w:pPr>
            <w:r>
              <w:rPr>
                <w:color w:val="auto"/>
                <w:szCs w:val="21"/>
                <w:highlight w:val="none"/>
              </w:rPr>
              <w:t>-2S</w:t>
            </w:r>
          </w:p>
        </w:tc>
        <w:tc>
          <w:tcPr>
            <w:tcW w:w="897" w:type="dxa"/>
            <w:vAlign w:val="center"/>
          </w:tcPr>
          <w:p>
            <w:pPr>
              <w:jc w:val="center"/>
              <w:rPr>
                <w:color w:val="auto"/>
                <w:szCs w:val="21"/>
                <w:highlight w:val="none"/>
              </w:rPr>
            </w:pPr>
            <w:r>
              <w:rPr>
                <w:color w:val="auto"/>
                <w:szCs w:val="21"/>
                <w:highlight w:val="none"/>
              </w:rPr>
              <w:t>-2S</w:t>
            </w:r>
          </w:p>
        </w:tc>
        <w:tc>
          <w:tcPr>
            <w:tcW w:w="1120" w:type="dxa"/>
            <w:vAlign w:val="center"/>
          </w:tcPr>
          <w:p>
            <w:pPr>
              <w:jc w:val="center"/>
              <w:rPr>
                <w:color w:val="auto"/>
                <w:szCs w:val="21"/>
                <w:highlight w:val="none"/>
              </w:rPr>
            </w:pPr>
            <w:r>
              <w:rPr>
                <w:color w:val="auto"/>
                <w:szCs w:val="21"/>
                <w:highlight w:val="none"/>
              </w:rPr>
              <w:t>/</w:t>
            </w:r>
          </w:p>
        </w:tc>
        <w:tc>
          <w:tcPr>
            <w:tcW w:w="675" w:type="dxa"/>
            <w:vAlign w:val="center"/>
          </w:tcPr>
          <w:p>
            <w:pPr>
              <w:jc w:val="center"/>
              <w:rPr>
                <w:color w:val="auto"/>
                <w:szCs w:val="21"/>
                <w:highlight w:val="none"/>
              </w:rPr>
            </w:pPr>
            <w:r>
              <w:rPr>
                <w:color w:val="auto"/>
                <w:szCs w:val="21"/>
                <w:highlight w:val="none"/>
              </w:rPr>
              <w:t>/</w:t>
            </w:r>
          </w:p>
        </w:tc>
        <w:tc>
          <w:tcPr>
            <w:tcW w:w="1135"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jc w:val="center"/>
              <w:rPr>
                <w:color w:val="auto"/>
                <w:szCs w:val="21"/>
                <w:highlight w:val="none"/>
              </w:rPr>
            </w:pPr>
            <w:r>
              <w:rPr>
                <w:color w:val="auto"/>
                <w:szCs w:val="21"/>
                <w:highlight w:val="none"/>
              </w:rPr>
              <w:t>运营期</w:t>
            </w:r>
          </w:p>
        </w:tc>
        <w:tc>
          <w:tcPr>
            <w:tcW w:w="1939"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塑料框生产</w:t>
            </w:r>
          </w:p>
        </w:tc>
        <w:tc>
          <w:tcPr>
            <w:tcW w:w="897" w:type="dxa"/>
            <w:vAlign w:val="center"/>
          </w:tcPr>
          <w:p>
            <w:pPr>
              <w:jc w:val="center"/>
              <w:rPr>
                <w:color w:val="auto"/>
                <w:szCs w:val="21"/>
                <w:highlight w:val="none"/>
              </w:rPr>
            </w:pPr>
            <w:r>
              <w:rPr>
                <w:color w:val="auto"/>
                <w:szCs w:val="21"/>
                <w:highlight w:val="none"/>
              </w:rPr>
              <w:t>-1L</w:t>
            </w:r>
          </w:p>
        </w:tc>
        <w:tc>
          <w:tcPr>
            <w:tcW w:w="1120" w:type="dxa"/>
            <w:vAlign w:val="center"/>
          </w:tcPr>
          <w:p>
            <w:pPr>
              <w:jc w:val="center"/>
              <w:rPr>
                <w:color w:val="auto"/>
                <w:szCs w:val="21"/>
                <w:highlight w:val="none"/>
              </w:rPr>
            </w:pPr>
            <w:r>
              <w:rPr>
                <w:color w:val="auto"/>
                <w:szCs w:val="21"/>
                <w:highlight w:val="none"/>
              </w:rPr>
              <w:t>-2L</w:t>
            </w:r>
          </w:p>
        </w:tc>
        <w:tc>
          <w:tcPr>
            <w:tcW w:w="897" w:type="dxa"/>
            <w:vAlign w:val="center"/>
          </w:tcPr>
          <w:p>
            <w:pPr>
              <w:jc w:val="center"/>
              <w:rPr>
                <w:color w:val="auto"/>
                <w:szCs w:val="21"/>
                <w:highlight w:val="none"/>
              </w:rPr>
            </w:pPr>
            <w:r>
              <w:rPr>
                <w:color w:val="auto"/>
                <w:szCs w:val="21"/>
                <w:highlight w:val="none"/>
              </w:rPr>
              <w:t>-2L</w:t>
            </w:r>
          </w:p>
        </w:tc>
        <w:tc>
          <w:tcPr>
            <w:tcW w:w="1120" w:type="dxa"/>
            <w:vAlign w:val="center"/>
          </w:tcPr>
          <w:p>
            <w:pPr>
              <w:jc w:val="center"/>
              <w:rPr>
                <w:color w:val="auto"/>
                <w:szCs w:val="21"/>
                <w:highlight w:val="none"/>
              </w:rPr>
            </w:pPr>
            <w:r>
              <w:rPr>
                <w:color w:val="auto"/>
                <w:szCs w:val="21"/>
                <w:highlight w:val="none"/>
              </w:rPr>
              <w:t>/</w:t>
            </w:r>
          </w:p>
        </w:tc>
        <w:tc>
          <w:tcPr>
            <w:tcW w:w="67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-1L</w:t>
            </w:r>
          </w:p>
        </w:tc>
        <w:tc>
          <w:tcPr>
            <w:tcW w:w="1135"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jc w:val="center"/>
              <w:rPr>
                <w:color w:val="auto"/>
                <w:szCs w:val="21"/>
                <w:highlight w:val="none"/>
              </w:rPr>
            </w:pPr>
          </w:p>
        </w:tc>
        <w:tc>
          <w:tcPr>
            <w:tcW w:w="1939" w:type="dxa"/>
            <w:vAlign w:val="center"/>
          </w:tcPr>
          <w:p>
            <w:pPr>
              <w:jc w:val="center"/>
              <w:rPr>
                <w:color w:val="auto"/>
                <w:szCs w:val="21"/>
                <w:highlight w:val="none"/>
              </w:rPr>
            </w:pPr>
            <w:r>
              <w:rPr>
                <w:color w:val="auto"/>
                <w:szCs w:val="21"/>
                <w:highlight w:val="none"/>
              </w:rPr>
              <w:t>生活办公</w:t>
            </w:r>
          </w:p>
        </w:tc>
        <w:tc>
          <w:tcPr>
            <w:tcW w:w="897" w:type="dxa"/>
            <w:vAlign w:val="center"/>
          </w:tcPr>
          <w:p>
            <w:pPr>
              <w:jc w:val="center"/>
              <w:rPr>
                <w:color w:val="auto"/>
                <w:szCs w:val="21"/>
                <w:highlight w:val="none"/>
              </w:rPr>
            </w:pPr>
            <w:r>
              <w:rPr>
                <w:color w:val="auto"/>
                <w:szCs w:val="21"/>
                <w:highlight w:val="none"/>
              </w:rPr>
              <w:t>-1L</w:t>
            </w:r>
          </w:p>
        </w:tc>
        <w:tc>
          <w:tcPr>
            <w:tcW w:w="1120" w:type="dxa"/>
            <w:vAlign w:val="center"/>
          </w:tcPr>
          <w:p>
            <w:pPr>
              <w:jc w:val="center"/>
              <w:rPr>
                <w:color w:val="auto"/>
                <w:szCs w:val="21"/>
                <w:highlight w:val="none"/>
              </w:rPr>
            </w:pPr>
            <w:r>
              <w:rPr>
                <w:color w:val="auto"/>
                <w:szCs w:val="21"/>
                <w:highlight w:val="none"/>
              </w:rPr>
              <w:t>-1L</w:t>
            </w:r>
          </w:p>
        </w:tc>
        <w:tc>
          <w:tcPr>
            <w:tcW w:w="897" w:type="dxa"/>
            <w:vAlign w:val="center"/>
          </w:tcPr>
          <w:p>
            <w:pPr>
              <w:jc w:val="center"/>
              <w:rPr>
                <w:color w:val="auto"/>
                <w:szCs w:val="21"/>
                <w:highlight w:val="none"/>
              </w:rPr>
            </w:pPr>
            <w:r>
              <w:rPr>
                <w:color w:val="auto"/>
                <w:szCs w:val="21"/>
                <w:highlight w:val="none"/>
              </w:rPr>
              <w:t>-1L</w:t>
            </w:r>
          </w:p>
        </w:tc>
        <w:tc>
          <w:tcPr>
            <w:tcW w:w="1120" w:type="dxa"/>
            <w:vAlign w:val="center"/>
          </w:tcPr>
          <w:p>
            <w:pPr>
              <w:jc w:val="center"/>
              <w:rPr>
                <w:color w:val="auto"/>
                <w:szCs w:val="21"/>
                <w:highlight w:val="none"/>
              </w:rPr>
            </w:pPr>
            <w:r>
              <w:rPr>
                <w:color w:val="auto"/>
                <w:szCs w:val="21"/>
                <w:highlight w:val="none"/>
              </w:rPr>
              <w:t>/</w:t>
            </w:r>
          </w:p>
        </w:tc>
        <w:tc>
          <w:tcPr>
            <w:tcW w:w="675" w:type="dxa"/>
            <w:vAlign w:val="center"/>
          </w:tcPr>
          <w:p>
            <w:pPr>
              <w:jc w:val="center"/>
              <w:rPr>
                <w:color w:val="auto"/>
                <w:szCs w:val="21"/>
                <w:highlight w:val="none"/>
              </w:rPr>
            </w:pPr>
            <w:r>
              <w:rPr>
                <w:color w:val="auto"/>
                <w:szCs w:val="21"/>
                <w:highlight w:val="none"/>
              </w:rPr>
              <w:t>-1L</w:t>
            </w:r>
          </w:p>
        </w:tc>
        <w:tc>
          <w:tcPr>
            <w:tcW w:w="1135"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8"/>
            <w:vAlign w:val="center"/>
          </w:tcPr>
          <w:p>
            <w:pPr>
              <w:rPr>
                <w:color w:val="auto"/>
                <w:szCs w:val="21"/>
                <w:highlight w:val="none"/>
              </w:rPr>
            </w:pPr>
            <w:r>
              <w:rPr>
                <w:color w:val="auto"/>
                <w:szCs w:val="21"/>
                <w:highlight w:val="none"/>
              </w:rPr>
              <w:t>注：“+、-”：+代表有利影响，-代表不利影响；</w:t>
            </w:r>
          </w:p>
          <w:p>
            <w:pPr>
              <w:rPr>
                <w:color w:val="auto"/>
                <w:szCs w:val="21"/>
                <w:highlight w:val="none"/>
              </w:rPr>
            </w:pPr>
            <w:r>
              <w:rPr>
                <w:color w:val="auto"/>
                <w:szCs w:val="21"/>
                <w:highlight w:val="none"/>
              </w:rPr>
              <w:t>“1、2、3”：1代表轻度影响，2代表中度影响，3代表重度影响；</w:t>
            </w:r>
          </w:p>
          <w:p>
            <w:pPr>
              <w:rPr>
                <w:color w:val="auto"/>
                <w:szCs w:val="21"/>
                <w:highlight w:val="none"/>
              </w:rPr>
            </w:pPr>
            <w:r>
              <w:rPr>
                <w:color w:val="auto"/>
                <w:szCs w:val="21"/>
                <w:highlight w:val="none"/>
              </w:rPr>
              <w:t>“L、S”：L代表长期影响，S代表短期影响。</w:t>
            </w:r>
          </w:p>
        </w:tc>
      </w:tr>
    </w:tbl>
    <w:p>
      <w:pPr>
        <w:spacing w:line="360" w:lineRule="auto"/>
        <w:ind w:firstLine="480" w:firstLineChars="200"/>
        <w:rPr>
          <w:color w:val="auto"/>
          <w:sz w:val="24"/>
          <w:highlight w:val="none"/>
        </w:rPr>
      </w:pPr>
      <w:r>
        <w:rPr>
          <w:color w:val="auto"/>
          <w:sz w:val="24"/>
          <w:highlight w:val="none"/>
        </w:rPr>
        <w:t>从表</w:t>
      </w:r>
      <w:r>
        <w:rPr>
          <w:rFonts w:hint="eastAsia"/>
          <w:color w:val="auto"/>
          <w:sz w:val="24"/>
          <w:highlight w:val="none"/>
          <w:lang w:val="en-US" w:eastAsia="zh-CN"/>
        </w:rPr>
        <w:t>1</w:t>
      </w:r>
      <w:r>
        <w:rPr>
          <w:color w:val="auto"/>
          <w:sz w:val="24"/>
          <w:highlight w:val="none"/>
        </w:rPr>
        <w:t>.3-1可以看出，工程施工期对环境的不利影响主要表现在施工扬尘、施工噪声和施工固废的影响。运营期对环境的不利影响主要表现在废气、废水、噪声和固体废物方面。</w:t>
      </w:r>
    </w:p>
    <w:p>
      <w:pPr>
        <w:keepNext/>
        <w:keepLines/>
        <w:spacing w:line="360" w:lineRule="auto"/>
        <w:outlineLvl w:val="2"/>
        <w:rPr>
          <w:b/>
          <w:bCs/>
          <w:color w:val="auto"/>
          <w:sz w:val="24"/>
          <w:highlight w:val="none"/>
        </w:rPr>
      </w:pPr>
      <w:bookmarkStart w:id="227" w:name="_Toc11618"/>
      <w:bookmarkStart w:id="228" w:name="_Toc75908601"/>
      <w:r>
        <w:rPr>
          <w:b/>
          <w:bCs/>
          <w:color w:val="auto"/>
          <w:sz w:val="24"/>
          <w:highlight w:val="none"/>
        </w:rPr>
        <w:t>1.3.2环境影响因子识别</w:t>
      </w:r>
      <w:bookmarkEnd w:id="227"/>
      <w:bookmarkEnd w:id="228"/>
    </w:p>
    <w:p>
      <w:pPr>
        <w:spacing w:line="360" w:lineRule="auto"/>
        <w:ind w:firstLine="480"/>
        <w:rPr>
          <w:color w:val="auto"/>
          <w:sz w:val="24"/>
          <w:highlight w:val="none"/>
        </w:rPr>
      </w:pPr>
      <w:r>
        <w:rPr>
          <w:color w:val="auto"/>
          <w:sz w:val="24"/>
          <w:highlight w:val="none"/>
        </w:rPr>
        <w:t>（1）施工期</w:t>
      </w:r>
    </w:p>
    <w:p>
      <w:pPr>
        <w:spacing w:line="360" w:lineRule="auto"/>
        <w:ind w:firstLine="480"/>
        <w:rPr>
          <w:color w:val="auto"/>
          <w:sz w:val="24"/>
          <w:highlight w:val="none"/>
        </w:rPr>
      </w:pPr>
      <w:r>
        <w:rPr>
          <w:color w:val="auto"/>
          <w:sz w:val="24"/>
          <w:highlight w:val="none"/>
        </w:rPr>
        <w:t>环境空气：建设施工期物料装运等过程产生的施工扬尘，属无组织排放，会对局部环境空气质量产生短期不利影响，其影响因子为TSP。</w:t>
      </w:r>
    </w:p>
    <w:p>
      <w:pPr>
        <w:spacing w:line="360" w:lineRule="auto"/>
        <w:ind w:firstLine="480"/>
        <w:rPr>
          <w:color w:val="auto"/>
          <w:sz w:val="24"/>
          <w:highlight w:val="none"/>
        </w:rPr>
      </w:pPr>
      <w:r>
        <w:rPr>
          <w:color w:val="auto"/>
          <w:sz w:val="24"/>
          <w:highlight w:val="none"/>
        </w:rPr>
        <w:t>水环境：施工过程产生的</w:t>
      </w:r>
      <w:r>
        <w:rPr>
          <w:rFonts w:hint="eastAsia"/>
          <w:color w:val="auto"/>
          <w:sz w:val="24"/>
          <w:highlight w:val="none"/>
        </w:rPr>
        <w:t>废水主要为</w:t>
      </w:r>
      <w:r>
        <w:rPr>
          <w:color w:val="auto"/>
          <w:sz w:val="24"/>
          <w:highlight w:val="none"/>
        </w:rPr>
        <w:t>施工人员产生的生活污水。生活污水影响因子为COD、BOD</w:t>
      </w:r>
      <w:r>
        <w:rPr>
          <w:color w:val="auto"/>
          <w:sz w:val="24"/>
          <w:highlight w:val="none"/>
          <w:vertAlign w:val="subscript"/>
        </w:rPr>
        <w:t>5</w:t>
      </w:r>
      <w:r>
        <w:rPr>
          <w:color w:val="auto"/>
          <w:sz w:val="24"/>
          <w:highlight w:val="none"/>
        </w:rPr>
        <w:t>、</w:t>
      </w:r>
      <w:r>
        <w:rPr>
          <w:color w:val="auto"/>
          <w:sz w:val="24"/>
          <w:szCs w:val="20"/>
          <w:highlight w:val="none"/>
        </w:rPr>
        <w:t>氨氮、</w:t>
      </w:r>
      <w:r>
        <w:rPr>
          <w:color w:val="auto"/>
          <w:sz w:val="24"/>
          <w:highlight w:val="none"/>
        </w:rPr>
        <w:t>SS等。</w:t>
      </w:r>
    </w:p>
    <w:p>
      <w:pPr>
        <w:spacing w:line="360" w:lineRule="auto"/>
        <w:ind w:firstLine="480"/>
        <w:rPr>
          <w:color w:val="auto"/>
          <w:sz w:val="24"/>
          <w:highlight w:val="none"/>
        </w:rPr>
      </w:pPr>
      <w:r>
        <w:rPr>
          <w:color w:val="auto"/>
          <w:sz w:val="24"/>
          <w:highlight w:val="none"/>
        </w:rPr>
        <w:t>声环境：施工机械噪声对施工地段附近的局部声环境会产生短期不利影响，影响因子为等效声级Leq（A）。</w:t>
      </w:r>
    </w:p>
    <w:p>
      <w:pPr>
        <w:spacing w:line="360" w:lineRule="auto"/>
        <w:ind w:firstLine="480"/>
        <w:rPr>
          <w:color w:val="auto"/>
          <w:sz w:val="24"/>
          <w:highlight w:val="none"/>
        </w:rPr>
      </w:pPr>
      <w:r>
        <w:rPr>
          <w:color w:val="auto"/>
          <w:sz w:val="24"/>
          <w:highlight w:val="none"/>
        </w:rPr>
        <w:t>固体废物：主要为施工人员产生的生活垃圾及建筑垃圾等固体废物。</w:t>
      </w:r>
    </w:p>
    <w:p>
      <w:pPr>
        <w:autoSpaceDE w:val="0"/>
        <w:autoSpaceDN w:val="0"/>
        <w:spacing w:line="360" w:lineRule="auto"/>
        <w:ind w:firstLine="480" w:firstLineChars="200"/>
        <w:rPr>
          <w:color w:val="auto"/>
          <w:sz w:val="24"/>
          <w:highlight w:val="none"/>
        </w:rPr>
      </w:pPr>
      <w:r>
        <w:rPr>
          <w:color w:val="auto"/>
          <w:sz w:val="24"/>
          <w:highlight w:val="none"/>
        </w:rPr>
        <w:t>（2）运营期</w:t>
      </w:r>
    </w:p>
    <w:p>
      <w:pPr>
        <w:autoSpaceDE w:val="0"/>
        <w:autoSpaceDN w:val="0"/>
        <w:spacing w:line="360" w:lineRule="auto"/>
        <w:ind w:firstLine="480" w:firstLineChars="200"/>
        <w:rPr>
          <w:color w:val="auto"/>
          <w:sz w:val="24"/>
          <w:highlight w:val="none"/>
        </w:rPr>
      </w:pPr>
      <w:r>
        <w:rPr>
          <w:color w:val="auto"/>
          <w:sz w:val="24"/>
          <w:highlight w:val="none"/>
        </w:rPr>
        <w:t>环境空气：项目建成后废气污染源主要是</w:t>
      </w:r>
      <w:r>
        <w:rPr>
          <w:rFonts w:hint="eastAsia"/>
          <w:color w:val="auto"/>
          <w:sz w:val="24"/>
          <w:highlight w:val="none"/>
          <w:lang w:val="en-US" w:eastAsia="zh-CN"/>
        </w:rPr>
        <w:t>再生塑料颗粒</w:t>
      </w:r>
      <w:r>
        <w:rPr>
          <w:color w:val="auto"/>
          <w:sz w:val="24"/>
          <w:highlight w:val="none"/>
        </w:rPr>
        <w:t>在</w:t>
      </w:r>
      <w:r>
        <w:rPr>
          <w:rFonts w:hint="eastAsia"/>
          <w:color w:val="auto"/>
          <w:sz w:val="24"/>
          <w:highlight w:val="none"/>
          <w:lang w:val="en-US" w:eastAsia="zh-CN"/>
        </w:rPr>
        <w:t>注塑</w:t>
      </w:r>
      <w:r>
        <w:rPr>
          <w:color w:val="auto"/>
          <w:sz w:val="24"/>
          <w:highlight w:val="none"/>
        </w:rPr>
        <w:t>工序中产生的少量有机废气及由此产生的异味，主要污染因子是非甲烷总烃</w:t>
      </w:r>
      <w:r>
        <w:rPr>
          <w:rFonts w:hint="eastAsia"/>
          <w:color w:val="auto"/>
          <w:sz w:val="24"/>
          <w:highlight w:val="none"/>
        </w:rPr>
        <w:t>、</w:t>
      </w:r>
      <w:r>
        <w:rPr>
          <w:rFonts w:hint="eastAsia"/>
          <w:color w:val="auto"/>
          <w:sz w:val="24"/>
          <w:highlight w:val="none"/>
          <w:lang w:val="en-US" w:eastAsia="zh-CN"/>
        </w:rPr>
        <w:t>臭气浓度</w:t>
      </w:r>
      <w:r>
        <w:rPr>
          <w:color w:val="auto"/>
          <w:sz w:val="24"/>
          <w:highlight w:val="none"/>
        </w:rPr>
        <w:t>；</w:t>
      </w:r>
      <w:r>
        <w:rPr>
          <w:rFonts w:hint="eastAsia"/>
          <w:color w:val="auto"/>
          <w:sz w:val="24"/>
          <w:highlight w:val="none"/>
          <w:lang w:val="en-US" w:eastAsia="zh-CN"/>
        </w:rPr>
        <w:t>不合格产品及边角料在破碎</w:t>
      </w:r>
      <w:r>
        <w:rPr>
          <w:color w:val="auto"/>
          <w:sz w:val="24"/>
          <w:szCs w:val="20"/>
          <w:highlight w:val="none"/>
        </w:rPr>
        <w:t>过程中产生的粉尘，</w:t>
      </w:r>
      <w:r>
        <w:rPr>
          <w:color w:val="auto"/>
          <w:sz w:val="24"/>
          <w:highlight w:val="none"/>
        </w:rPr>
        <w:t>主要污染因子是TSP。</w:t>
      </w:r>
    </w:p>
    <w:p>
      <w:pPr>
        <w:spacing w:line="360" w:lineRule="auto"/>
        <w:ind w:firstLine="540" w:firstLineChars="225"/>
        <w:rPr>
          <w:color w:val="auto"/>
          <w:sz w:val="24"/>
          <w:highlight w:val="none"/>
        </w:rPr>
      </w:pPr>
      <w:r>
        <w:rPr>
          <w:color w:val="auto"/>
          <w:sz w:val="24"/>
          <w:highlight w:val="none"/>
        </w:rPr>
        <w:t>水环境：本项目产生的废水主要为生产废水和生活污水。生产废水包括冷却水、车间地面清洗废水，主要污染物为COD、SS等。生活废水主要污染物为COD、BOD</w:t>
      </w:r>
      <w:r>
        <w:rPr>
          <w:color w:val="auto"/>
          <w:sz w:val="24"/>
          <w:highlight w:val="none"/>
          <w:vertAlign w:val="subscript"/>
        </w:rPr>
        <w:t>5</w:t>
      </w:r>
      <w:r>
        <w:rPr>
          <w:color w:val="auto"/>
          <w:sz w:val="24"/>
          <w:highlight w:val="none"/>
        </w:rPr>
        <w:t>、SS、NH</w:t>
      </w:r>
      <w:r>
        <w:rPr>
          <w:color w:val="auto"/>
          <w:sz w:val="24"/>
          <w:highlight w:val="none"/>
          <w:vertAlign w:val="subscript"/>
        </w:rPr>
        <w:t>3</w:t>
      </w:r>
      <w:r>
        <w:rPr>
          <w:color w:val="auto"/>
          <w:sz w:val="24"/>
          <w:highlight w:val="none"/>
        </w:rPr>
        <w:t>-N等。</w:t>
      </w:r>
    </w:p>
    <w:p>
      <w:pPr>
        <w:autoSpaceDE w:val="0"/>
        <w:autoSpaceDN w:val="0"/>
        <w:spacing w:line="360" w:lineRule="auto"/>
        <w:ind w:firstLine="480" w:firstLineChars="200"/>
        <w:rPr>
          <w:color w:val="auto"/>
          <w:sz w:val="24"/>
          <w:highlight w:val="none"/>
        </w:rPr>
      </w:pPr>
      <w:r>
        <w:rPr>
          <w:color w:val="auto"/>
          <w:sz w:val="24"/>
          <w:highlight w:val="none"/>
        </w:rPr>
        <w:t>声环境：主要噪声设备为</w:t>
      </w:r>
      <w:r>
        <w:rPr>
          <w:rFonts w:hint="eastAsia"/>
          <w:color w:val="auto"/>
          <w:sz w:val="24"/>
          <w:highlight w:val="none"/>
          <w:lang w:val="en-US" w:eastAsia="zh-CN"/>
        </w:rPr>
        <w:t>注塑机</w:t>
      </w:r>
      <w:r>
        <w:rPr>
          <w:color w:val="auto"/>
          <w:sz w:val="24"/>
          <w:highlight w:val="none"/>
        </w:rPr>
        <w:t>、</w:t>
      </w:r>
      <w:r>
        <w:rPr>
          <w:rFonts w:hint="eastAsia"/>
          <w:color w:val="auto"/>
          <w:sz w:val="24"/>
          <w:highlight w:val="none"/>
          <w:lang w:val="en-US" w:eastAsia="zh-CN"/>
        </w:rPr>
        <w:t>上料机、搅拌机、破碎机、</w:t>
      </w:r>
      <w:r>
        <w:rPr>
          <w:color w:val="auto"/>
          <w:sz w:val="24"/>
          <w:highlight w:val="none"/>
        </w:rPr>
        <w:t>水泵、风机等，评价因子为等效声级Leq（A）。</w:t>
      </w:r>
    </w:p>
    <w:p>
      <w:pPr>
        <w:autoSpaceDE w:val="0"/>
        <w:autoSpaceDN w:val="0"/>
        <w:spacing w:line="360" w:lineRule="auto"/>
        <w:ind w:firstLine="480" w:firstLineChars="200"/>
        <w:rPr>
          <w:color w:val="auto"/>
          <w:sz w:val="24"/>
          <w:highlight w:val="none"/>
        </w:rPr>
      </w:pPr>
      <w:r>
        <w:rPr>
          <w:color w:val="auto"/>
          <w:sz w:val="24"/>
          <w:highlight w:val="none"/>
        </w:rPr>
        <w:t>固体废物：本项目运营期固废污染源为</w:t>
      </w:r>
      <w:r>
        <w:rPr>
          <w:rFonts w:hint="eastAsia"/>
          <w:color w:val="auto"/>
          <w:sz w:val="24"/>
          <w:highlight w:val="none"/>
          <w:lang w:val="en-US" w:eastAsia="zh-CN"/>
        </w:rPr>
        <w:t>废包装袋、不合格产品及边角料、</w:t>
      </w:r>
      <w:r>
        <w:rPr>
          <w:color w:val="auto"/>
          <w:sz w:val="24"/>
          <w:highlight w:val="none"/>
        </w:rPr>
        <w:t>废活性炭、废机油</w:t>
      </w:r>
      <w:r>
        <w:rPr>
          <w:rFonts w:hint="eastAsia"/>
          <w:color w:val="auto"/>
          <w:sz w:val="24"/>
          <w:highlight w:val="none"/>
          <w:lang w:eastAsia="zh-CN"/>
        </w:rPr>
        <w:t>、</w:t>
      </w:r>
      <w:r>
        <w:rPr>
          <w:rFonts w:hint="eastAsia"/>
          <w:color w:val="auto"/>
          <w:sz w:val="24"/>
          <w:highlight w:val="none"/>
          <w:lang w:val="en-US" w:eastAsia="zh-CN"/>
        </w:rPr>
        <w:t>含油废抹布、手套</w:t>
      </w:r>
      <w:r>
        <w:rPr>
          <w:color w:val="auto"/>
          <w:sz w:val="24"/>
          <w:highlight w:val="none"/>
        </w:rPr>
        <w:t>及生活垃圾</w:t>
      </w:r>
      <w:r>
        <w:rPr>
          <w:rFonts w:hint="eastAsia"/>
          <w:color w:val="auto"/>
          <w:sz w:val="24"/>
          <w:highlight w:val="none"/>
        </w:rPr>
        <w:t>等</w:t>
      </w:r>
      <w:r>
        <w:rPr>
          <w:color w:val="auto"/>
          <w:sz w:val="24"/>
          <w:highlight w:val="none"/>
        </w:rPr>
        <w:t>。</w:t>
      </w:r>
    </w:p>
    <w:p>
      <w:pPr>
        <w:autoSpaceDE w:val="0"/>
        <w:autoSpaceDN w:val="0"/>
        <w:spacing w:line="360" w:lineRule="auto"/>
        <w:ind w:firstLine="480" w:firstLineChars="200"/>
        <w:rPr>
          <w:color w:val="auto"/>
          <w:sz w:val="24"/>
          <w:highlight w:val="none"/>
        </w:rPr>
      </w:pPr>
      <w:r>
        <w:rPr>
          <w:color w:val="auto"/>
          <w:sz w:val="24"/>
          <w:highlight w:val="none"/>
        </w:rPr>
        <w:t>事故风险类型主要为</w:t>
      </w:r>
      <w:r>
        <w:rPr>
          <w:rFonts w:hint="eastAsia"/>
          <w:color w:val="auto"/>
          <w:sz w:val="24"/>
          <w:highlight w:val="none"/>
        </w:rPr>
        <w:t>危废暂存间</w:t>
      </w:r>
      <w:r>
        <w:rPr>
          <w:color w:val="auto"/>
          <w:sz w:val="24"/>
          <w:highlight w:val="none"/>
        </w:rPr>
        <w:t>废机油泄漏发生火灾引起大气污染事故、渗漏污染地下水及土壤事故；原料</w:t>
      </w:r>
      <w:r>
        <w:rPr>
          <w:rFonts w:hint="eastAsia"/>
          <w:color w:val="auto"/>
          <w:sz w:val="24"/>
          <w:highlight w:val="none"/>
          <w:lang w:val="en-US" w:eastAsia="zh-CN"/>
        </w:rPr>
        <w:t>仓库</w:t>
      </w:r>
      <w:r>
        <w:rPr>
          <w:color w:val="auto"/>
          <w:sz w:val="24"/>
          <w:highlight w:val="none"/>
        </w:rPr>
        <w:t>、</w:t>
      </w:r>
      <w:r>
        <w:rPr>
          <w:rFonts w:hint="eastAsia"/>
          <w:color w:val="auto"/>
          <w:sz w:val="24"/>
          <w:highlight w:val="none"/>
          <w:lang w:val="en-US" w:eastAsia="zh-CN"/>
        </w:rPr>
        <w:t>成品堆存区、生产车间</w:t>
      </w:r>
      <w:r>
        <w:rPr>
          <w:color w:val="auto"/>
          <w:sz w:val="24"/>
          <w:highlight w:val="none"/>
        </w:rPr>
        <w:t>塑料引起的火灾及伴随产生的有毒废气。</w:t>
      </w:r>
    </w:p>
    <w:bookmarkEnd w:id="207"/>
    <w:bookmarkEnd w:id="208"/>
    <w:bookmarkEnd w:id="209"/>
    <w:p>
      <w:pPr>
        <w:keepNext/>
        <w:keepLines/>
        <w:spacing w:line="360" w:lineRule="auto"/>
        <w:outlineLvl w:val="2"/>
        <w:rPr>
          <w:b/>
          <w:bCs/>
          <w:color w:val="auto"/>
          <w:sz w:val="24"/>
          <w:highlight w:val="none"/>
        </w:rPr>
      </w:pPr>
      <w:bookmarkStart w:id="229" w:name="_Toc367281999"/>
      <w:bookmarkStart w:id="230" w:name="_Toc367281416"/>
      <w:bookmarkStart w:id="231" w:name="_Toc75908602"/>
      <w:bookmarkStart w:id="232" w:name="_Toc11719"/>
      <w:bookmarkStart w:id="233" w:name="_Toc341369381"/>
      <w:r>
        <w:rPr>
          <w:b/>
          <w:bCs/>
          <w:color w:val="auto"/>
          <w:sz w:val="24"/>
          <w:highlight w:val="none"/>
        </w:rPr>
        <w:t>1.3.3评价因子</w:t>
      </w:r>
      <w:bookmarkEnd w:id="229"/>
      <w:bookmarkEnd w:id="230"/>
      <w:r>
        <w:rPr>
          <w:b/>
          <w:bCs/>
          <w:color w:val="auto"/>
          <w:sz w:val="24"/>
          <w:highlight w:val="none"/>
        </w:rPr>
        <w:t>筛选</w:t>
      </w:r>
      <w:bookmarkEnd w:id="231"/>
      <w:bookmarkEnd w:id="232"/>
    </w:p>
    <w:p>
      <w:pPr>
        <w:spacing w:line="360" w:lineRule="auto"/>
        <w:ind w:firstLine="480" w:firstLineChars="200"/>
        <w:rPr>
          <w:color w:val="auto"/>
          <w:sz w:val="24"/>
          <w:highlight w:val="none"/>
        </w:rPr>
      </w:pPr>
      <w:r>
        <w:rPr>
          <w:color w:val="auto"/>
          <w:sz w:val="24"/>
          <w:highlight w:val="none"/>
        </w:rPr>
        <w:t>综上分析，结合工程工艺特征、当地的环境特点，环境现状、影响评价及环境风险影响评价因子筛选结果见表</w:t>
      </w:r>
      <w:r>
        <w:rPr>
          <w:rFonts w:hint="eastAsia"/>
          <w:color w:val="auto"/>
          <w:sz w:val="24"/>
          <w:highlight w:val="none"/>
          <w:lang w:val="en-US" w:eastAsia="zh-CN"/>
        </w:rPr>
        <w:t>1</w:t>
      </w:r>
      <w:r>
        <w:rPr>
          <w:color w:val="auto"/>
          <w:sz w:val="24"/>
          <w:highlight w:val="none"/>
        </w:rPr>
        <w:t>.3-2。</w:t>
      </w: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lang w:val="en-US" w:eastAsia="zh-CN"/>
        </w:rPr>
        <w:t>1</w:t>
      </w:r>
      <w:r>
        <w:rPr>
          <w:b/>
          <w:color w:val="auto"/>
          <w:sz w:val="24"/>
          <w:highlight w:val="none"/>
        </w:rPr>
        <w:t>.3-2  评价因子筛选结果一览表</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534"/>
        <w:gridCol w:w="5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557" w:type="dxa"/>
            <w:gridSpan w:val="2"/>
            <w:vAlign w:val="center"/>
          </w:tcPr>
          <w:p>
            <w:pPr>
              <w:jc w:val="center"/>
              <w:rPr>
                <w:b/>
                <w:bCs/>
                <w:color w:val="auto"/>
                <w:szCs w:val="21"/>
                <w:highlight w:val="none"/>
              </w:rPr>
            </w:pPr>
            <w:r>
              <w:rPr>
                <w:b/>
                <w:bCs/>
                <w:color w:val="auto"/>
                <w:szCs w:val="21"/>
                <w:highlight w:val="none"/>
              </w:rPr>
              <w:t>类别</w:t>
            </w:r>
          </w:p>
        </w:tc>
        <w:tc>
          <w:tcPr>
            <w:tcW w:w="5965" w:type="dxa"/>
            <w:vAlign w:val="center"/>
          </w:tcPr>
          <w:p>
            <w:pPr>
              <w:jc w:val="center"/>
              <w:rPr>
                <w:b/>
                <w:bCs/>
                <w:color w:val="auto"/>
                <w:szCs w:val="21"/>
                <w:highlight w:val="none"/>
              </w:rPr>
            </w:pPr>
            <w:r>
              <w:rPr>
                <w:b/>
                <w:bCs/>
                <w:color w:val="auto"/>
                <w:szCs w:val="21"/>
                <w:highlight w:val="none"/>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23" w:type="dxa"/>
            <w:vMerge w:val="restart"/>
            <w:vAlign w:val="center"/>
          </w:tcPr>
          <w:p>
            <w:pPr>
              <w:jc w:val="center"/>
              <w:rPr>
                <w:bCs/>
                <w:color w:val="auto"/>
                <w:szCs w:val="21"/>
                <w:highlight w:val="none"/>
              </w:rPr>
            </w:pPr>
            <w:r>
              <w:rPr>
                <w:bCs/>
                <w:color w:val="auto"/>
                <w:szCs w:val="21"/>
                <w:highlight w:val="none"/>
              </w:rPr>
              <w:t>环境</w:t>
            </w:r>
          </w:p>
          <w:p>
            <w:pPr>
              <w:jc w:val="center"/>
              <w:rPr>
                <w:bCs/>
                <w:color w:val="auto"/>
                <w:szCs w:val="21"/>
                <w:highlight w:val="none"/>
              </w:rPr>
            </w:pPr>
            <w:r>
              <w:rPr>
                <w:bCs/>
                <w:color w:val="auto"/>
                <w:szCs w:val="21"/>
                <w:highlight w:val="none"/>
              </w:rPr>
              <w:t>空气</w:t>
            </w:r>
          </w:p>
        </w:tc>
        <w:tc>
          <w:tcPr>
            <w:tcW w:w="1534" w:type="dxa"/>
            <w:vAlign w:val="center"/>
          </w:tcPr>
          <w:p>
            <w:pPr>
              <w:jc w:val="center"/>
              <w:rPr>
                <w:color w:val="auto"/>
                <w:szCs w:val="21"/>
                <w:highlight w:val="none"/>
              </w:rPr>
            </w:pPr>
            <w:r>
              <w:rPr>
                <w:color w:val="auto"/>
                <w:szCs w:val="21"/>
                <w:highlight w:val="none"/>
              </w:rPr>
              <w:t>现状评价因子</w:t>
            </w:r>
          </w:p>
        </w:tc>
        <w:tc>
          <w:tcPr>
            <w:tcW w:w="5965" w:type="dxa"/>
            <w:vAlign w:val="center"/>
          </w:tcPr>
          <w:p>
            <w:pPr>
              <w:jc w:val="center"/>
              <w:rPr>
                <w:color w:val="auto"/>
                <w:szCs w:val="21"/>
                <w:highlight w:val="none"/>
              </w:rPr>
            </w:pPr>
            <w:r>
              <w:rPr>
                <w:color w:val="auto"/>
                <w:szCs w:val="21"/>
                <w:highlight w:val="none"/>
              </w:rPr>
              <w:t>PM</w:t>
            </w:r>
            <w:r>
              <w:rPr>
                <w:color w:val="auto"/>
                <w:szCs w:val="21"/>
                <w:highlight w:val="none"/>
                <w:vertAlign w:val="subscript"/>
              </w:rPr>
              <w:t>10</w:t>
            </w:r>
            <w:r>
              <w:rPr>
                <w:color w:val="auto"/>
                <w:szCs w:val="21"/>
                <w:highlight w:val="none"/>
              </w:rPr>
              <w:t>、PM</w:t>
            </w:r>
            <w:r>
              <w:rPr>
                <w:color w:val="auto"/>
                <w:szCs w:val="21"/>
                <w:highlight w:val="none"/>
                <w:vertAlign w:val="subscript"/>
              </w:rPr>
              <w:t>2.5</w:t>
            </w:r>
            <w:r>
              <w:rPr>
                <w:color w:val="auto"/>
                <w:szCs w:val="21"/>
                <w:highlight w:val="none"/>
              </w:rPr>
              <w:t>、NO</w:t>
            </w:r>
            <w:r>
              <w:rPr>
                <w:color w:val="auto"/>
                <w:szCs w:val="21"/>
                <w:highlight w:val="none"/>
                <w:vertAlign w:val="subscript"/>
              </w:rPr>
              <w:t>2</w:t>
            </w:r>
            <w:r>
              <w:rPr>
                <w:color w:val="auto"/>
                <w:szCs w:val="21"/>
                <w:highlight w:val="none"/>
              </w:rPr>
              <w:t>、SO</w:t>
            </w:r>
            <w:r>
              <w:rPr>
                <w:color w:val="auto"/>
                <w:szCs w:val="21"/>
                <w:highlight w:val="none"/>
                <w:vertAlign w:val="subscript"/>
              </w:rPr>
              <w:t>2</w:t>
            </w:r>
            <w:r>
              <w:rPr>
                <w:color w:val="auto"/>
                <w:szCs w:val="21"/>
                <w:highlight w:val="none"/>
              </w:rPr>
              <w:t>、CO、O</w:t>
            </w:r>
            <w:r>
              <w:rPr>
                <w:color w:val="auto"/>
                <w:szCs w:val="21"/>
                <w:highlight w:val="none"/>
                <w:vertAlign w:val="subscript"/>
              </w:rPr>
              <w:t>3</w:t>
            </w:r>
            <w:r>
              <w:rPr>
                <w:color w:val="auto"/>
                <w:szCs w:val="21"/>
                <w:highlight w:val="none"/>
              </w:rPr>
              <w:t>、TSP、非甲烷总烃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23" w:type="dxa"/>
            <w:vMerge w:val="continue"/>
            <w:vAlign w:val="center"/>
          </w:tcPr>
          <w:p>
            <w:pPr>
              <w:jc w:val="center"/>
              <w:rPr>
                <w:bCs/>
                <w:color w:val="auto"/>
                <w:szCs w:val="21"/>
                <w:highlight w:val="none"/>
              </w:rPr>
            </w:pPr>
          </w:p>
        </w:tc>
        <w:tc>
          <w:tcPr>
            <w:tcW w:w="1534" w:type="dxa"/>
            <w:vAlign w:val="center"/>
          </w:tcPr>
          <w:p>
            <w:pPr>
              <w:jc w:val="center"/>
              <w:rPr>
                <w:color w:val="auto"/>
                <w:szCs w:val="21"/>
                <w:highlight w:val="none"/>
              </w:rPr>
            </w:pPr>
            <w:r>
              <w:rPr>
                <w:color w:val="auto"/>
                <w:szCs w:val="21"/>
                <w:highlight w:val="none"/>
              </w:rPr>
              <w:t>影响评价因子</w:t>
            </w:r>
          </w:p>
        </w:tc>
        <w:tc>
          <w:tcPr>
            <w:tcW w:w="5965" w:type="dxa"/>
            <w:vAlign w:val="center"/>
          </w:tcPr>
          <w:p>
            <w:pPr>
              <w:jc w:val="center"/>
              <w:rPr>
                <w:color w:val="auto"/>
                <w:szCs w:val="21"/>
                <w:highlight w:val="none"/>
              </w:rPr>
            </w:pPr>
            <w:r>
              <w:rPr>
                <w:color w:val="auto"/>
                <w:szCs w:val="21"/>
                <w:highlight w:val="none"/>
              </w:rPr>
              <w:t>TSP、非甲烷总烃</w:t>
            </w:r>
            <w:r>
              <w:rPr>
                <w:rFonts w:hint="eastAsia"/>
                <w:color w:val="auto"/>
                <w:szCs w:val="21"/>
                <w:highlight w:val="none"/>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23" w:type="dxa"/>
            <w:vMerge w:val="restart"/>
            <w:vAlign w:val="center"/>
          </w:tcPr>
          <w:p>
            <w:pPr>
              <w:jc w:val="center"/>
              <w:rPr>
                <w:bCs/>
                <w:color w:val="auto"/>
                <w:szCs w:val="21"/>
                <w:highlight w:val="none"/>
              </w:rPr>
            </w:pPr>
            <w:r>
              <w:rPr>
                <w:bCs/>
                <w:color w:val="auto"/>
                <w:szCs w:val="21"/>
                <w:highlight w:val="none"/>
              </w:rPr>
              <w:t>地表水</w:t>
            </w:r>
          </w:p>
          <w:p>
            <w:pPr>
              <w:jc w:val="center"/>
              <w:rPr>
                <w:bCs/>
                <w:color w:val="auto"/>
                <w:szCs w:val="21"/>
                <w:highlight w:val="none"/>
              </w:rPr>
            </w:pPr>
            <w:r>
              <w:rPr>
                <w:bCs/>
                <w:color w:val="auto"/>
                <w:szCs w:val="21"/>
                <w:highlight w:val="none"/>
              </w:rPr>
              <w:t>环境</w:t>
            </w:r>
          </w:p>
        </w:tc>
        <w:tc>
          <w:tcPr>
            <w:tcW w:w="1534" w:type="dxa"/>
            <w:vAlign w:val="center"/>
          </w:tcPr>
          <w:p>
            <w:pPr>
              <w:jc w:val="center"/>
              <w:rPr>
                <w:bCs/>
                <w:color w:val="auto"/>
                <w:szCs w:val="21"/>
                <w:highlight w:val="none"/>
              </w:rPr>
            </w:pPr>
            <w:r>
              <w:rPr>
                <w:bCs/>
                <w:color w:val="auto"/>
                <w:szCs w:val="21"/>
                <w:highlight w:val="none"/>
              </w:rPr>
              <w:t>现状评价因子</w:t>
            </w:r>
          </w:p>
        </w:tc>
        <w:tc>
          <w:tcPr>
            <w:tcW w:w="5965" w:type="dxa"/>
            <w:vAlign w:val="center"/>
          </w:tcPr>
          <w:p>
            <w:pPr>
              <w:jc w:val="center"/>
              <w:rPr>
                <w:color w:val="auto"/>
                <w:szCs w:val="21"/>
                <w:highlight w:val="none"/>
              </w:rPr>
            </w:pPr>
            <w:r>
              <w:rPr>
                <w:color w:val="auto"/>
                <w:szCs w:val="21"/>
                <w:highlight w:val="none"/>
              </w:rPr>
              <w:t>pH、氨氮、总氮、总磷、石油类、COD、BOD</w:t>
            </w:r>
            <w:r>
              <w:rPr>
                <w:color w:val="auto"/>
                <w:szCs w:val="21"/>
                <w:highlight w:val="none"/>
                <w:vertAlign w:val="subscript"/>
              </w:rPr>
              <w:t>5</w:t>
            </w:r>
            <w:r>
              <w:rPr>
                <w:color w:val="auto"/>
                <w:szCs w:val="21"/>
                <w:highlight w:val="none"/>
              </w:rPr>
              <w:t>、高锰酸盐指数、粪大肠菌群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23" w:type="dxa"/>
            <w:vMerge w:val="continue"/>
            <w:vAlign w:val="center"/>
          </w:tcPr>
          <w:p>
            <w:pPr>
              <w:jc w:val="center"/>
              <w:rPr>
                <w:bCs/>
                <w:color w:val="auto"/>
                <w:szCs w:val="21"/>
                <w:highlight w:val="none"/>
              </w:rPr>
            </w:pPr>
          </w:p>
        </w:tc>
        <w:tc>
          <w:tcPr>
            <w:tcW w:w="1534" w:type="dxa"/>
            <w:vAlign w:val="center"/>
          </w:tcPr>
          <w:p>
            <w:pPr>
              <w:jc w:val="center"/>
              <w:rPr>
                <w:color w:val="auto"/>
                <w:szCs w:val="21"/>
                <w:highlight w:val="none"/>
              </w:rPr>
            </w:pPr>
            <w:r>
              <w:rPr>
                <w:color w:val="auto"/>
                <w:szCs w:val="21"/>
                <w:highlight w:val="none"/>
              </w:rPr>
              <w:t>影响评价因子</w:t>
            </w:r>
          </w:p>
        </w:tc>
        <w:tc>
          <w:tcPr>
            <w:tcW w:w="5965" w:type="dxa"/>
            <w:vAlign w:val="center"/>
          </w:tcPr>
          <w:p>
            <w:pPr>
              <w:jc w:val="center"/>
              <w:rPr>
                <w:bCs/>
                <w:color w:val="auto"/>
                <w:szCs w:val="21"/>
                <w:highlight w:val="none"/>
              </w:rPr>
            </w:pPr>
            <w:r>
              <w:rPr>
                <w:color w:val="auto"/>
                <w:szCs w:val="21"/>
                <w:highlight w:val="none"/>
              </w:rPr>
              <w:t>回用</w:t>
            </w:r>
            <w:r>
              <w:rPr>
                <w:rFonts w:hint="eastAsia"/>
                <w:color w:val="auto"/>
                <w:szCs w:val="21"/>
                <w:highlight w:val="none"/>
                <w:lang w:val="en-US" w:eastAsia="zh-CN"/>
              </w:rPr>
              <w:t>至生产或清运至水质净化厂</w:t>
            </w:r>
            <w:r>
              <w:rPr>
                <w:color w:val="auto"/>
                <w:szCs w:val="21"/>
                <w:highlight w:val="none"/>
              </w:rPr>
              <w:t>，不外排。作分析评价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3" w:type="dxa"/>
            <w:vMerge w:val="restart"/>
            <w:vAlign w:val="center"/>
          </w:tcPr>
          <w:p>
            <w:pPr>
              <w:jc w:val="center"/>
              <w:rPr>
                <w:bCs/>
                <w:color w:val="auto"/>
                <w:szCs w:val="21"/>
                <w:highlight w:val="none"/>
              </w:rPr>
            </w:pPr>
            <w:r>
              <w:rPr>
                <w:bCs/>
                <w:color w:val="auto"/>
                <w:szCs w:val="21"/>
                <w:highlight w:val="none"/>
              </w:rPr>
              <w:t>声环境</w:t>
            </w:r>
          </w:p>
        </w:tc>
        <w:tc>
          <w:tcPr>
            <w:tcW w:w="1534" w:type="dxa"/>
            <w:vAlign w:val="center"/>
          </w:tcPr>
          <w:p>
            <w:pPr>
              <w:jc w:val="center"/>
              <w:rPr>
                <w:color w:val="auto"/>
                <w:szCs w:val="21"/>
                <w:highlight w:val="none"/>
              </w:rPr>
            </w:pPr>
            <w:r>
              <w:rPr>
                <w:color w:val="auto"/>
                <w:szCs w:val="21"/>
                <w:highlight w:val="none"/>
              </w:rPr>
              <w:t>现状评价因子</w:t>
            </w:r>
          </w:p>
        </w:tc>
        <w:tc>
          <w:tcPr>
            <w:tcW w:w="5965" w:type="dxa"/>
            <w:vAlign w:val="center"/>
          </w:tcPr>
          <w:p>
            <w:pPr>
              <w:jc w:val="center"/>
              <w:rPr>
                <w:bCs/>
                <w:color w:val="auto"/>
                <w:szCs w:val="21"/>
                <w:highlight w:val="none"/>
              </w:rPr>
            </w:pPr>
            <w:r>
              <w:rPr>
                <w:bCs/>
                <w:color w:val="auto"/>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23" w:type="dxa"/>
            <w:vMerge w:val="continue"/>
            <w:vAlign w:val="center"/>
          </w:tcPr>
          <w:p>
            <w:pPr>
              <w:jc w:val="center"/>
              <w:rPr>
                <w:bCs/>
                <w:color w:val="auto"/>
                <w:szCs w:val="21"/>
                <w:highlight w:val="none"/>
              </w:rPr>
            </w:pPr>
          </w:p>
        </w:tc>
        <w:tc>
          <w:tcPr>
            <w:tcW w:w="1534" w:type="dxa"/>
            <w:vAlign w:val="center"/>
          </w:tcPr>
          <w:p>
            <w:pPr>
              <w:jc w:val="center"/>
              <w:rPr>
                <w:color w:val="auto"/>
                <w:szCs w:val="21"/>
                <w:highlight w:val="none"/>
              </w:rPr>
            </w:pPr>
            <w:r>
              <w:rPr>
                <w:color w:val="auto"/>
                <w:szCs w:val="21"/>
                <w:highlight w:val="none"/>
              </w:rPr>
              <w:t>影响评价因子</w:t>
            </w:r>
          </w:p>
        </w:tc>
        <w:tc>
          <w:tcPr>
            <w:tcW w:w="5965" w:type="dxa"/>
            <w:vAlign w:val="center"/>
          </w:tcPr>
          <w:p>
            <w:pPr>
              <w:jc w:val="center"/>
              <w:rPr>
                <w:bCs/>
                <w:color w:val="auto"/>
                <w:szCs w:val="21"/>
                <w:highlight w:val="none"/>
              </w:rPr>
            </w:pPr>
            <w:r>
              <w:rPr>
                <w:bCs/>
                <w:color w:val="auto"/>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23" w:type="dxa"/>
            <w:vMerge w:val="restart"/>
            <w:vAlign w:val="center"/>
          </w:tcPr>
          <w:p>
            <w:pPr>
              <w:jc w:val="center"/>
              <w:rPr>
                <w:bCs/>
                <w:color w:val="auto"/>
                <w:szCs w:val="21"/>
                <w:highlight w:val="none"/>
              </w:rPr>
            </w:pPr>
            <w:r>
              <w:rPr>
                <w:bCs/>
                <w:color w:val="auto"/>
                <w:szCs w:val="21"/>
                <w:highlight w:val="none"/>
              </w:rPr>
              <w:t>土壤</w:t>
            </w:r>
          </w:p>
          <w:p>
            <w:pPr>
              <w:jc w:val="center"/>
              <w:rPr>
                <w:bCs/>
                <w:color w:val="auto"/>
                <w:szCs w:val="21"/>
                <w:highlight w:val="none"/>
              </w:rPr>
            </w:pPr>
            <w:r>
              <w:rPr>
                <w:bCs/>
                <w:color w:val="auto"/>
                <w:szCs w:val="21"/>
                <w:highlight w:val="none"/>
              </w:rPr>
              <w:t>环境</w:t>
            </w:r>
          </w:p>
        </w:tc>
        <w:tc>
          <w:tcPr>
            <w:tcW w:w="1534" w:type="dxa"/>
            <w:vAlign w:val="center"/>
          </w:tcPr>
          <w:p>
            <w:pPr>
              <w:jc w:val="center"/>
              <w:rPr>
                <w:bCs/>
                <w:color w:val="auto"/>
                <w:szCs w:val="21"/>
                <w:highlight w:val="none"/>
              </w:rPr>
            </w:pPr>
            <w:r>
              <w:rPr>
                <w:bCs/>
                <w:color w:val="auto"/>
                <w:szCs w:val="21"/>
                <w:highlight w:val="none"/>
              </w:rPr>
              <w:t>现状评价因子</w:t>
            </w:r>
          </w:p>
        </w:tc>
        <w:tc>
          <w:tcPr>
            <w:tcW w:w="5965" w:type="dxa"/>
            <w:vAlign w:val="center"/>
          </w:tcPr>
          <w:p>
            <w:pPr>
              <w:jc w:val="center"/>
              <w:rPr>
                <w:bCs/>
                <w:color w:val="auto"/>
                <w:szCs w:val="21"/>
                <w:highlight w:val="none"/>
              </w:rPr>
            </w:pPr>
            <w:r>
              <w:rPr>
                <w:bCs/>
                <w:color w:val="auto"/>
                <w:szCs w:val="21"/>
                <w:highlight w:val="none"/>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硝基苯、苯胺、2-氯酚、苯并[a]蒽、苯并[a]芘、苯并[b]荧蒽、苯并[k]荧蒽、䓛、二苯并[a, h]蒽、茚并[1,2,3-cd]芘、萘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23" w:type="dxa"/>
            <w:vMerge w:val="continue"/>
            <w:vAlign w:val="center"/>
          </w:tcPr>
          <w:p>
            <w:pPr>
              <w:jc w:val="center"/>
              <w:rPr>
                <w:bCs/>
                <w:color w:val="auto"/>
                <w:szCs w:val="21"/>
                <w:highlight w:val="none"/>
              </w:rPr>
            </w:pPr>
          </w:p>
        </w:tc>
        <w:tc>
          <w:tcPr>
            <w:tcW w:w="1534" w:type="dxa"/>
            <w:vAlign w:val="center"/>
          </w:tcPr>
          <w:p>
            <w:pPr>
              <w:jc w:val="center"/>
              <w:rPr>
                <w:bCs/>
                <w:color w:val="auto"/>
                <w:szCs w:val="21"/>
                <w:highlight w:val="none"/>
              </w:rPr>
            </w:pPr>
            <w:r>
              <w:rPr>
                <w:bCs/>
                <w:color w:val="auto"/>
                <w:szCs w:val="21"/>
                <w:highlight w:val="none"/>
              </w:rPr>
              <w:t>影响评价因子</w:t>
            </w:r>
          </w:p>
        </w:tc>
        <w:tc>
          <w:tcPr>
            <w:tcW w:w="5965" w:type="dxa"/>
            <w:vAlign w:val="center"/>
          </w:tcPr>
          <w:p>
            <w:pPr>
              <w:jc w:val="center"/>
              <w:rPr>
                <w:bCs/>
                <w:color w:val="auto"/>
                <w:szCs w:val="21"/>
                <w:highlight w:val="none"/>
              </w:rPr>
            </w:pPr>
            <w:r>
              <w:rPr>
                <w:bCs/>
                <w:color w:val="auto"/>
                <w:szCs w:val="21"/>
                <w:highlight w:val="none"/>
              </w:rPr>
              <w:t>一般性分析评述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23" w:type="dxa"/>
            <w:vMerge w:val="restart"/>
            <w:vAlign w:val="center"/>
          </w:tcPr>
          <w:p>
            <w:pPr>
              <w:jc w:val="center"/>
              <w:rPr>
                <w:bCs/>
                <w:color w:val="auto"/>
                <w:szCs w:val="21"/>
                <w:highlight w:val="none"/>
              </w:rPr>
            </w:pPr>
            <w:r>
              <w:rPr>
                <w:bCs/>
                <w:color w:val="auto"/>
                <w:szCs w:val="21"/>
                <w:highlight w:val="none"/>
              </w:rPr>
              <w:t>固废</w:t>
            </w:r>
          </w:p>
        </w:tc>
        <w:tc>
          <w:tcPr>
            <w:tcW w:w="1534" w:type="dxa"/>
            <w:vAlign w:val="center"/>
          </w:tcPr>
          <w:p>
            <w:pPr>
              <w:jc w:val="center"/>
              <w:rPr>
                <w:bCs/>
                <w:color w:val="auto"/>
                <w:szCs w:val="21"/>
                <w:highlight w:val="none"/>
              </w:rPr>
            </w:pPr>
            <w:r>
              <w:rPr>
                <w:bCs/>
                <w:color w:val="auto"/>
                <w:szCs w:val="21"/>
                <w:highlight w:val="none"/>
              </w:rPr>
              <w:t>现状评价因子</w:t>
            </w:r>
          </w:p>
        </w:tc>
        <w:tc>
          <w:tcPr>
            <w:tcW w:w="5965" w:type="dxa"/>
            <w:vAlign w:val="center"/>
          </w:tcPr>
          <w:p>
            <w:pPr>
              <w:jc w:val="center"/>
              <w:rPr>
                <w:bCs/>
                <w:color w:val="auto"/>
                <w:szCs w:val="21"/>
                <w:highlight w:val="none"/>
              </w:rPr>
            </w:pPr>
            <w:r>
              <w:rPr>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23" w:type="dxa"/>
            <w:vMerge w:val="continue"/>
            <w:vAlign w:val="center"/>
          </w:tcPr>
          <w:p>
            <w:pPr>
              <w:jc w:val="center"/>
              <w:rPr>
                <w:bCs/>
                <w:color w:val="auto"/>
                <w:szCs w:val="21"/>
                <w:highlight w:val="none"/>
              </w:rPr>
            </w:pPr>
          </w:p>
        </w:tc>
        <w:tc>
          <w:tcPr>
            <w:tcW w:w="1534" w:type="dxa"/>
            <w:vAlign w:val="center"/>
          </w:tcPr>
          <w:p>
            <w:pPr>
              <w:jc w:val="center"/>
              <w:rPr>
                <w:bCs/>
                <w:color w:val="auto"/>
                <w:szCs w:val="21"/>
                <w:highlight w:val="none"/>
              </w:rPr>
            </w:pPr>
            <w:r>
              <w:rPr>
                <w:bCs/>
                <w:color w:val="auto"/>
                <w:szCs w:val="21"/>
                <w:highlight w:val="none"/>
              </w:rPr>
              <w:t>影响评价因子</w:t>
            </w:r>
          </w:p>
        </w:tc>
        <w:tc>
          <w:tcPr>
            <w:tcW w:w="5965" w:type="dxa"/>
            <w:vAlign w:val="center"/>
          </w:tcPr>
          <w:p>
            <w:pPr>
              <w:jc w:val="center"/>
              <w:rPr>
                <w:bCs/>
                <w:color w:val="auto"/>
                <w:szCs w:val="21"/>
                <w:highlight w:val="none"/>
              </w:rPr>
            </w:pPr>
            <w:r>
              <w:rPr>
                <w:bCs/>
                <w:color w:val="auto"/>
                <w:szCs w:val="21"/>
                <w:highlight w:val="none"/>
              </w:rPr>
              <w:t>一般固废、危险废物、生活垃圾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23" w:type="dxa"/>
            <w:vMerge w:val="restart"/>
            <w:vAlign w:val="center"/>
          </w:tcPr>
          <w:p>
            <w:pPr>
              <w:jc w:val="center"/>
              <w:rPr>
                <w:bCs/>
                <w:color w:val="auto"/>
                <w:szCs w:val="21"/>
                <w:highlight w:val="none"/>
              </w:rPr>
            </w:pPr>
            <w:r>
              <w:rPr>
                <w:bCs/>
                <w:color w:val="auto"/>
                <w:szCs w:val="21"/>
                <w:highlight w:val="none"/>
              </w:rPr>
              <w:t>环境</w:t>
            </w:r>
          </w:p>
          <w:p>
            <w:pPr>
              <w:jc w:val="center"/>
              <w:rPr>
                <w:bCs/>
                <w:color w:val="auto"/>
                <w:szCs w:val="21"/>
                <w:highlight w:val="none"/>
              </w:rPr>
            </w:pPr>
            <w:r>
              <w:rPr>
                <w:bCs/>
                <w:color w:val="auto"/>
                <w:szCs w:val="21"/>
                <w:highlight w:val="none"/>
              </w:rPr>
              <w:t>风险</w:t>
            </w:r>
          </w:p>
        </w:tc>
        <w:tc>
          <w:tcPr>
            <w:tcW w:w="1534" w:type="dxa"/>
            <w:vAlign w:val="center"/>
          </w:tcPr>
          <w:p>
            <w:pPr>
              <w:jc w:val="center"/>
              <w:rPr>
                <w:color w:val="auto"/>
                <w:szCs w:val="21"/>
                <w:highlight w:val="none"/>
              </w:rPr>
            </w:pPr>
            <w:r>
              <w:rPr>
                <w:bCs/>
                <w:color w:val="auto"/>
                <w:szCs w:val="21"/>
                <w:highlight w:val="none"/>
              </w:rPr>
              <w:t>现状评价因子</w:t>
            </w:r>
          </w:p>
        </w:tc>
        <w:tc>
          <w:tcPr>
            <w:tcW w:w="5965"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23" w:type="dxa"/>
            <w:vMerge w:val="continue"/>
            <w:vAlign w:val="center"/>
          </w:tcPr>
          <w:p>
            <w:pPr>
              <w:jc w:val="center"/>
              <w:rPr>
                <w:bCs/>
                <w:color w:val="auto"/>
                <w:szCs w:val="21"/>
                <w:highlight w:val="none"/>
              </w:rPr>
            </w:pPr>
          </w:p>
        </w:tc>
        <w:tc>
          <w:tcPr>
            <w:tcW w:w="1534" w:type="dxa"/>
            <w:vAlign w:val="center"/>
          </w:tcPr>
          <w:p>
            <w:pPr>
              <w:jc w:val="center"/>
              <w:rPr>
                <w:color w:val="auto"/>
                <w:szCs w:val="21"/>
                <w:highlight w:val="none"/>
              </w:rPr>
            </w:pPr>
            <w:r>
              <w:rPr>
                <w:color w:val="auto"/>
                <w:szCs w:val="21"/>
                <w:highlight w:val="none"/>
              </w:rPr>
              <w:t>评价对象</w:t>
            </w:r>
          </w:p>
        </w:tc>
        <w:tc>
          <w:tcPr>
            <w:tcW w:w="5965" w:type="dxa"/>
            <w:vAlign w:val="center"/>
          </w:tcPr>
          <w:p>
            <w:pPr>
              <w:jc w:val="center"/>
              <w:rPr>
                <w:color w:val="auto"/>
                <w:szCs w:val="21"/>
                <w:highlight w:val="none"/>
              </w:rPr>
            </w:pPr>
            <w:r>
              <w:rPr>
                <w:rFonts w:hint="eastAsia"/>
                <w:color w:val="auto"/>
                <w:szCs w:val="21"/>
                <w:highlight w:val="none"/>
              </w:rPr>
              <w:t>危废暂存间</w:t>
            </w:r>
            <w:r>
              <w:rPr>
                <w:color w:val="auto"/>
                <w:szCs w:val="21"/>
                <w:highlight w:val="none"/>
              </w:rPr>
              <w:t>废机油泄漏引发的火灾事故、渗漏污染地下水及土壤事故；原料</w:t>
            </w:r>
            <w:r>
              <w:rPr>
                <w:rFonts w:hint="eastAsia"/>
                <w:color w:val="auto"/>
                <w:szCs w:val="21"/>
                <w:highlight w:val="none"/>
                <w:lang w:val="en-US" w:eastAsia="zh-CN"/>
              </w:rPr>
              <w:t>仓库</w:t>
            </w:r>
            <w:r>
              <w:rPr>
                <w:color w:val="auto"/>
                <w:szCs w:val="21"/>
                <w:highlight w:val="none"/>
              </w:rPr>
              <w:t>、生产</w:t>
            </w:r>
            <w:r>
              <w:rPr>
                <w:rFonts w:hint="eastAsia"/>
                <w:color w:val="auto"/>
                <w:szCs w:val="21"/>
                <w:highlight w:val="none"/>
                <w:lang w:val="en-US" w:eastAsia="zh-CN"/>
              </w:rPr>
              <w:t>车间</w:t>
            </w:r>
            <w:r>
              <w:rPr>
                <w:color w:val="auto"/>
                <w:szCs w:val="21"/>
                <w:highlight w:val="none"/>
              </w:rPr>
              <w:t>、</w:t>
            </w:r>
            <w:r>
              <w:rPr>
                <w:rFonts w:hint="eastAsia"/>
                <w:color w:val="auto"/>
                <w:szCs w:val="21"/>
                <w:highlight w:val="none"/>
                <w:lang w:eastAsia="zh-CN"/>
              </w:rPr>
              <w:t>成品堆存区</w:t>
            </w:r>
            <w:r>
              <w:rPr>
                <w:color w:val="auto"/>
                <w:szCs w:val="21"/>
                <w:highlight w:val="none"/>
              </w:rPr>
              <w:t>塑料引起的火灾及伴随产生的有毒废气风险事故</w:t>
            </w:r>
          </w:p>
        </w:tc>
      </w:tr>
    </w:tbl>
    <w:p>
      <w:pPr>
        <w:pStyle w:val="3"/>
        <w:spacing w:before="0" w:after="0" w:line="360" w:lineRule="auto"/>
        <w:ind w:left="0"/>
        <w:textAlignment w:val="baseline"/>
        <w:rPr>
          <w:rFonts w:ascii="Times New Roman" w:hAnsi="Times New Roman" w:eastAsia="宋体"/>
          <w:color w:val="auto"/>
          <w:sz w:val="28"/>
          <w:szCs w:val="20"/>
          <w:highlight w:val="none"/>
        </w:rPr>
      </w:pPr>
      <w:bookmarkStart w:id="234" w:name="_Toc367282000"/>
      <w:bookmarkStart w:id="235" w:name="_Toc27851"/>
      <w:bookmarkStart w:id="236" w:name="_Toc75908603"/>
      <w:bookmarkStart w:id="237" w:name="_Toc367281417"/>
      <w:r>
        <w:rPr>
          <w:rFonts w:ascii="Times New Roman" w:hAnsi="Times New Roman" w:eastAsia="宋体"/>
          <w:color w:val="auto"/>
          <w:sz w:val="28"/>
          <w:szCs w:val="20"/>
          <w:highlight w:val="none"/>
        </w:rPr>
        <w:t>1.4评价标准</w:t>
      </w:r>
      <w:bookmarkEnd w:id="233"/>
      <w:bookmarkEnd w:id="234"/>
      <w:bookmarkEnd w:id="235"/>
      <w:bookmarkEnd w:id="236"/>
      <w:bookmarkEnd w:id="237"/>
    </w:p>
    <w:p>
      <w:pPr>
        <w:keepNext/>
        <w:keepLines/>
        <w:spacing w:line="360" w:lineRule="auto"/>
        <w:outlineLvl w:val="2"/>
        <w:rPr>
          <w:b/>
          <w:bCs/>
          <w:color w:val="auto"/>
          <w:sz w:val="24"/>
          <w:highlight w:val="none"/>
        </w:rPr>
      </w:pPr>
      <w:bookmarkStart w:id="238" w:name="_Toc30169"/>
      <w:bookmarkStart w:id="239" w:name="_Toc75908604"/>
      <w:r>
        <w:rPr>
          <w:b/>
          <w:bCs/>
          <w:color w:val="auto"/>
          <w:sz w:val="24"/>
          <w:highlight w:val="none"/>
        </w:rPr>
        <w:t>1.4.1环境质量标准</w:t>
      </w:r>
      <w:bookmarkEnd w:id="238"/>
      <w:bookmarkEnd w:id="239"/>
    </w:p>
    <w:p>
      <w:pPr>
        <w:spacing w:line="360" w:lineRule="auto"/>
        <w:ind w:firstLine="482" w:firstLineChars="200"/>
        <w:rPr>
          <w:b/>
          <w:bCs/>
          <w:color w:val="auto"/>
          <w:sz w:val="24"/>
          <w:highlight w:val="none"/>
        </w:rPr>
      </w:pPr>
      <w:r>
        <w:rPr>
          <w:b/>
          <w:bCs/>
          <w:color w:val="auto"/>
          <w:sz w:val="24"/>
          <w:highlight w:val="none"/>
        </w:rPr>
        <w:t>1、环境空气质量标准</w:t>
      </w:r>
    </w:p>
    <w:p>
      <w:pPr>
        <w:spacing w:line="360" w:lineRule="auto"/>
        <w:ind w:firstLine="480" w:firstLineChars="200"/>
        <w:rPr>
          <w:color w:val="auto"/>
          <w:sz w:val="24"/>
          <w:highlight w:val="none"/>
        </w:rPr>
      </w:pPr>
      <w:r>
        <w:rPr>
          <w:color w:val="auto"/>
          <w:sz w:val="24"/>
          <w:highlight w:val="none"/>
        </w:rPr>
        <w:t>建设项目位于</w:t>
      </w:r>
      <w:r>
        <w:rPr>
          <w:rFonts w:hint="eastAsia"/>
          <w:color w:val="auto"/>
          <w:sz w:val="24"/>
          <w:highlight w:val="none"/>
          <w:lang w:val="en-US" w:eastAsia="zh-CN"/>
        </w:rPr>
        <w:t>寻甸县仁德街道三月三村</w:t>
      </w:r>
      <w:r>
        <w:rPr>
          <w:color w:val="auto"/>
          <w:sz w:val="24"/>
          <w:highlight w:val="none"/>
        </w:rPr>
        <w:t>，环境空气质量执行《环境空气质量标准》（GB3095-2012）中二级标准及其修改单中有关规定要求，非甲烷总烃参照执行《大气污染物综合排放标准详解》中规定的2mg/m</w:t>
      </w:r>
      <w:r>
        <w:rPr>
          <w:color w:val="auto"/>
          <w:sz w:val="24"/>
          <w:highlight w:val="none"/>
          <w:vertAlign w:val="superscript"/>
        </w:rPr>
        <w:t>3</w:t>
      </w:r>
      <w:r>
        <w:rPr>
          <w:color w:val="auto"/>
          <w:sz w:val="24"/>
          <w:highlight w:val="none"/>
        </w:rPr>
        <w:t>标准限值。TOVC参照执行《环境影响评价技术导则  大气环境》（HJ2.2-2018）附录D中规定的标准限值。</w:t>
      </w:r>
    </w:p>
    <w:p>
      <w:pPr>
        <w:spacing w:line="360" w:lineRule="auto"/>
        <w:jc w:val="center"/>
        <w:rPr>
          <w:b/>
          <w:bCs/>
          <w:color w:val="auto"/>
          <w:sz w:val="24"/>
          <w:highlight w:val="none"/>
        </w:rPr>
      </w:pPr>
      <w:r>
        <w:rPr>
          <w:b/>
          <w:bCs/>
          <w:color w:val="auto"/>
          <w:sz w:val="24"/>
          <w:highlight w:val="none"/>
        </w:rPr>
        <w:t xml:space="preserve">表1.4-1  环境空气质量标准    </w:t>
      </w:r>
      <w:r>
        <w:rPr>
          <w:b/>
          <w:color w:val="auto"/>
          <w:szCs w:val="21"/>
          <w:highlight w:val="none"/>
        </w:rPr>
        <w:t>单位：ug/m</w:t>
      </w:r>
      <w:r>
        <w:rPr>
          <w:b/>
          <w:color w:val="auto"/>
          <w:szCs w:val="21"/>
          <w:highlight w:val="none"/>
          <w:vertAlign w:val="superscript"/>
        </w:rPr>
        <w:t>3</w:t>
      </w:r>
    </w:p>
    <w:tbl>
      <w:tblPr>
        <w:tblStyle w:val="5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476"/>
        <w:gridCol w:w="1979"/>
        <w:gridCol w:w="3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Align w:val="center"/>
          </w:tcPr>
          <w:p>
            <w:pPr>
              <w:jc w:val="center"/>
              <w:rPr>
                <w:b/>
                <w:bCs/>
                <w:color w:val="auto"/>
                <w:szCs w:val="21"/>
                <w:highlight w:val="none"/>
              </w:rPr>
            </w:pPr>
            <w:r>
              <w:rPr>
                <w:b/>
                <w:bCs/>
                <w:color w:val="auto"/>
                <w:szCs w:val="21"/>
                <w:highlight w:val="none"/>
              </w:rPr>
              <w:t>污染物名称</w:t>
            </w:r>
          </w:p>
        </w:tc>
        <w:tc>
          <w:tcPr>
            <w:tcW w:w="1476" w:type="dxa"/>
            <w:vAlign w:val="center"/>
          </w:tcPr>
          <w:p>
            <w:pPr>
              <w:jc w:val="center"/>
              <w:rPr>
                <w:b/>
                <w:bCs/>
                <w:color w:val="auto"/>
                <w:szCs w:val="21"/>
                <w:highlight w:val="none"/>
              </w:rPr>
            </w:pPr>
            <w:r>
              <w:rPr>
                <w:b/>
                <w:bCs/>
                <w:color w:val="auto"/>
                <w:szCs w:val="21"/>
                <w:highlight w:val="none"/>
              </w:rPr>
              <w:t>取值时间</w:t>
            </w:r>
          </w:p>
        </w:tc>
        <w:tc>
          <w:tcPr>
            <w:tcW w:w="1979" w:type="dxa"/>
            <w:vAlign w:val="center"/>
          </w:tcPr>
          <w:p>
            <w:pPr>
              <w:jc w:val="center"/>
              <w:rPr>
                <w:b/>
                <w:bCs/>
                <w:color w:val="auto"/>
                <w:szCs w:val="21"/>
                <w:highlight w:val="none"/>
              </w:rPr>
            </w:pPr>
            <w:r>
              <w:rPr>
                <w:b/>
                <w:bCs/>
                <w:color w:val="auto"/>
                <w:szCs w:val="21"/>
                <w:highlight w:val="none"/>
              </w:rPr>
              <w:t>二级标准浓度限值（ug/m</w:t>
            </w:r>
            <w:r>
              <w:rPr>
                <w:b/>
                <w:bCs/>
                <w:color w:val="auto"/>
                <w:szCs w:val="21"/>
                <w:highlight w:val="none"/>
                <w:vertAlign w:val="superscript"/>
              </w:rPr>
              <w:t>3</w:t>
            </w:r>
            <w:r>
              <w:rPr>
                <w:b/>
                <w:bCs/>
                <w:color w:val="auto"/>
                <w:szCs w:val="21"/>
                <w:highlight w:val="none"/>
              </w:rPr>
              <w:t>）</w:t>
            </w:r>
          </w:p>
        </w:tc>
        <w:tc>
          <w:tcPr>
            <w:tcW w:w="3498" w:type="dxa"/>
            <w:vAlign w:val="center"/>
          </w:tcPr>
          <w:p>
            <w:pPr>
              <w:jc w:val="center"/>
              <w:rPr>
                <w:b/>
                <w:bCs/>
                <w:color w:val="auto"/>
                <w:szCs w:val="21"/>
                <w:highlight w:val="none"/>
              </w:rPr>
            </w:pPr>
            <w:r>
              <w:rPr>
                <w:b/>
                <w:bCs/>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restart"/>
            <w:vAlign w:val="center"/>
          </w:tcPr>
          <w:p>
            <w:pPr>
              <w:jc w:val="center"/>
              <w:rPr>
                <w:color w:val="auto"/>
                <w:szCs w:val="21"/>
                <w:highlight w:val="none"/>
              </w:rPr>
            </w:pPr>
            <w:r>
              <w:rPr>
                <w:color w:val="auto"/>
                <w:szCs w:val="21"/>
                <w:highlight w:val="none"/>
              </w:rPr>
              <w:t>二氧化硫</w:t>
            </w:r>
          </w:p>
          <w:p>
            <w:pPr>
              <w:jc w:val="center"/>
              <w:rPr>
                <w:color w:val="auto"/>
                <w:szCs w:val="21"/>
                <w:highlight w:val="none"/>
              </w:rPr>
            </w:pPr>
            <w:r>
              <w:rPr>
                <w:color w:val="auto"/>
                <w:szCs w:val="21"/>
                <w:highlight w:val="none"/>
              </w:rPr>
              <w:t>（SO</w:t>
            </w:r>
            <w:r>
              <w:rPr>
                <w:color w:val="auto"/>
                <w:szCs w:val="21"/>
                <w:highlight w:val="none"/>
                <w:vertAlign w:val="subscript"/>
              </w:rPr>
              <w:t>2</w:t>
            </w:r>
            <w:r>
              <w:rPr>
                <w:color w:val="auto"/>
                <w:szCs w:val="21"/>
                <w:highlight w:val="none"/>
              </w:rPr>
              <w:t>）</w:t>
            </w:r>
          </w:p>
        </w:tc>
        <w:tc>
          <w:tcPr>
            <w:tcW w:w="1476" w:type="dxa"/>
            <w:vAlign w:val="center"/>
          </w:tcPr>
          <w:p>
            <w:pPr>
              <w:jc w:val="center"/>
              <w:rPr>
                <w:color w:val="auto"/>
                <w:szCs w:val="21"/>
                <w:highlight w:val="none"/>
              </w:rPr>
            </w:pPr>
            <w:r>
              <w:rPr>
                <w:color w:val="auto"/>
                <w:szCs w:val="21"/>
                <w:highlight w:val="none"/>
              </w:rPr>
              <w:t>年平均</w:t>
            </w:r>
          </w:p>
        </w:tc>
        <w:tc>
          <w:tcPr>
            <w:tcW w:w="1979" w:type="dxa"/>
            <w:vAlign w:val="center"/>
          </w:tcPr>
          <w:p>
            <w:pPr>
              <w:jc w:val="center"/>
              <w:rPr>
                <w:color w:val="auto"/>
                <w:szCs w:val="21"/>
                <w:highlight w:val="none"/>
              </w:rPr>
            </w:pPr>
            <w:r>
              <w:rPr>
                <w:color w:val="auto"/>
                <w:szCs w:val="21"/>
                <w:highlight w:val="none"/>
              </w:rPr>
              <w:t>60</w:t>
            </w:r>
          </w:p>
        </w:tc>
        <w:tc>
          <w:tcPr>
            <w:tcW w:w="3498" w:type="dxa"/>
            <w:vMerge w:val="restart"/>
            <w:vAlign w:val="center"/>
          </w:tcPr>
          <w:p>
            <w:pPr>
              <w:jc w:val="center"/>
              <w:rPr>
                <w:color w:val="auto"/>
                <w:szCs w:val="21"/>
                <w:highlight w:val="none"/>
              </w:rPr>
            </w:pPr>
            <w:r>
              <w:rPr>
                <w:color w:val="auto"/>
                <w:szCs w:val="21"/>
                <w:highlight w:val="none"/>
              </w:rPr>
              <w:t>《环境空气质量标准》</w:t>
            </w:r>
          </w:p>
          <w:p>
            <w:pPr>
              <w:jc w:val="center"/>
              <w:rPr>
                <w:color w:val="auto"/>
                <w:szCs w:val="21"/>
                <w:highlight w:val="none"/>
              </w:rPr>
            </w:pPr>
            <w:r>
              <w:rPr>
                <w:color w:val="auto"/>
                <w:szCs w:val="21"/>
                <w:highlight w:val="none"/>
              </w:rPr>
              <w:t>（GB 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24小时平均</w:t>
            </w:r>
          </w:p>
        </w:tc>
        <w:tc>
          <w:tcPr>
            <w:tcW w:w="1979" w:type="dxa"/>
            <w:vAlign w:val="center"/>
          </w:tcPr>
          <w:p>
            <w:pPr>
              <w:jc w:val="center"/>
              <w:rPr>
                <w:color w:val="auto"/>
                <w:szCs w:val="21"/>
                <w:highlight w:val="none"/>
              </w:rPr>
            </w:pPr>
            <w:r>
              <w:rPr>
                <w:color w:val="auto"/>
                <w:szCs w:val="21"/>
                <w:highlight w:val="none"/>
              </w:rPr>
              <w:t>150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1小时平均</w:t>
            </w:r>
          </w:p>
        </w:tc>
        <w:tc>
          <w:tcPr>
            <w:tcW w:w="1979" w:type="dxa"/>
            <w:vAlign w:val="center"/>
          </w:tcPr>
          <w:p>
            <w:pPr>
              <w:jc w:val="center"/>
              <w:rPr>
                <w:color w:val="auto"/>
                <w:szCs w:val="21"/>
                <w:highlight w:val="none"/>
              </w:rPr>
            </w:pPr>
            <w:r>
              <w:rPr>
                <w:color w:val="auto"/>
                <w:szCs w:val="21"/>
                <w:highlight w:val="none"/>
              </w:rPr>
              <w:t>500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restart"/>
            <w:vAlign w:val="center"/>
          </w:tcPr>
          <w:p>
            <w:pPr>
              <w:widowControl/>
              <w:jc w:val="center"/>
              <w:rPr>
                <w:color w:val="auto"/>
                <w:szCs w:val="21"/>
                <w:highlight w:val="none"/>
              </w:rPr>
            </w:pPr>
            <w:r>
              <w:rPr>
                <w:color w:val="auto"/>
                <w:szCs w:val="21"/>
                <w:highlight w:val="none"/>
              </w:rPr>
              <w:t>二氧化氮（NO</w:t>
            </w:r>
            <w:r>
              <w:rPr>
                <w:color w:val="auto"/>
                <w:szCs w:val="21"/>
                <w:highlight w:val="none"/>
                <w:vertAlign w:val="subscript"/>
              </w:rPr>
              <w:t>2</w:t>
            </w:r>
            <w:r>
              <w:rPr>
                <w:color w:val="auto"/>
                <w:szCs w:val="21"/>
                <w:highlight w:val="none"/>
              </w:rPr>
              <w:t>）</w:t>
            </w:r>
          </w:p>
        </w:tc>
        <w:tc>
          <w:tcPr>
            <w:tcW w:w="1476" w:type="dxa"/>
            <w:vAlign w:val="center"/>
          </w:tcPr>
          <w:p>
            <w:pPr>
              <w:jc w:val="center"/>
              <w:rPr>
                <w:color w:val="auto"/>
                <w:szCs w:val="21"/>
                <w:highlight w:val="none"/>
              </w:rPr>
            </w:pPr>
            <w:r>
              <w:rPr>
                <w:color w:val="auto"/>
                <w:szCs w:val="21"/>
                <w:highlight w:val="none"/>
              </w:rPr>
              <w:t>年平均</w:t>
            </w:r>
          </w:p>
        </w:tc>
        <w:tc>
          <w:tcPr>
            <w:tcW w:w="1979" w:type="dxa"/>
            <w:vAlign w:val="center"/>
          </w:tcPr>
          <w:p>
            <w:pPr>
              <w:jc w:val="center"/>
              <w:rPr>
                <w:color w:val="auto"/>
                <w:szCs w:val="21"/>
                <w:highlight w:val="none"/>
              </w:rPr>
            </w:pPr>
            <w:r>
              <w:rPr>
                <w:color w:val="auto"/>
                <w:szCs w:val="21"/>
                <w:highlight w:val="none"/>
              </w:rPr>
              <w:t>40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24小时平均</w:t>
            </w:r>
          </w:p>
        </w:tc>
        <w:tc>
          <w:tcPr>
            <w:tcW w:w="1979" w:type="dxa"/>
            <w:vAlign w:val="center"/>
          </w:tcPr>
          <w:p>
            <w:pPr>
              <w:jc w:val="center"/>
              <w:rPr>
                <w:color w:val="auto"/>
                <w:szCs w:val="21"/>
                <w:highlight w:val="none"/>
              </w:rPr>
            </w:pPr>
            <w:r>
              <w:rPr>
                <w:color w:val="auto"/>
                <w:szCs w:val="21"/>
                <w:highlight w:val="none"/>
              </w:rPr>
              <w:t>80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1小时平均</w:t>
            </w:r>
          </w:p>
        </w:tc>
        <w:tc>
          <w:tcPr>
            <w:tcW w:w="1979" w:type="dxa"/>
            <w:vAlign w:val="center"/>
          </w:tcPr>
          <w:p>
            <w:pPr>
              <w:jc w:val="center"/>
              <w:rPr>
                <w:color w:val="auto"/>
                <w:szCs w:val="21"/>
                <w:highlight w:val="none"/>
              </w:rPr>
            </w:pPr>
            <w:r>
              <w:rPr>
                <w:color w:val="auto"/>
                <w:szCs w:val="21"/>
                <w:highlight w:val="none"/>
              </w:rPr>
              <w:t>200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restart"/>
            <w:vAlign w:val="center"/>
          </w:tcPr>
          <w:p>
            <w:pPr>
              <w:jc w:val="center"/>
              <w:rPr>
                <w:color w:val="auto"/>
                <w:szCs w:val="21"/>
                <w:highlight w:val="none"/>
                <w:vertAlign w:val="subscript"/>
              </w:rPr>
            </w:pPr>
            <w:r>
              <w:rPr>
                <w:color w:val="auto"/>
                <w:szCs w:val="21"/>
                <w:highlight w:val="none"/>
              </w:rPr>
              <w:t>PM</w:t>
            </w:r>
            <w:r>
              <w:rPr>
                <w:color w:val="auto"/>
                <w:szCs w:val="21"/>
                <w:highlight w:val="none"/>
                <w:vertAlign w:val="subscript"/>
              </w:rPr>
              <w:t>10</w:t>
            </w:r>
          </w:p>
        </w:tc>
        <w:tc>
          <w:tcPr>
            <w:tcW w:w="1476" w:type="dxa"/>
            <w:vAlign w:val="center"/>
          </w:tcPr>
          <w:p>
            <w:pPr>
              <w:jc w:val="center"/>
              <w:rPr>
                <w:color w:val="auto"/>
                <w:szCs w:val="21"/>
                <w:highlight w:val="none"/>
              </w:rPr>
            </w:pPr>
            <w:r>
              <w:rPr>
                <w:color w:val="auto"/>
                <w:szCs w:val="21"/>
                <w:highlight w:val="none"/>
              </w:rPr>
              <w:t>年平均</w:t>
            </w:r>
          </w:p>
        </w:tc>
        <w:tc>
          <w:tcPr>
            <w:tcW w:w="1979" w:type="dxa"/>
            <w:vAlign w:val="center"/>
          </w:tcPr>
          <w:p>
            <w:pPr>
              <w:jc w:val="center"/>
              <w:rPr>
                <w:color w:val="auto"/>
                <w:szCs w:val="21"/>
                <w:highlight w:val="none"/>
              </w:rPr>
            </w:pPr>
            <w:r>
              <w:rPr>
                <w:color w:val="auto"/>
                <w:szCs w:val="21"/>
                <w:highlight w:val="none"/>
              </w:rPr>
              <w:t>70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24小时平均</w:t>
            </w:r>
          </w:p>
        </w:tc>
        <w:tc>
          <w:tcPr>
            <w:tcW w:w="1979" w:type="dxa"/>
            <w:vAlign w:val="center"/>
          </w:tcPr>
          <w:p>
            <w:pPr>
              <w:jc w:val="center"/>
              <w:rPr>
                <w:color w:val="auto"/>
                <w:szCs w:val="21"/>
                <w:highlight w:val="none"/>
              </w:rPr>
            </w:pPr>
            <w:r>
              <w:rPr>
                <w:color w:val="auto"/>
                <w:szCs w:val="21"/>
                <w:highlight w:val="none"/>
              </w:rPr>
              <w:t>150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restart"/>
            <w:vAlign w:val="center"/>
          </w:tcPr>
          <w:p>
            <w:pPr>
              <w:jc w:val="center"/>
              <w:rPr>
                <w:color w:val="auto"/>
                <w:szCs w:val="21"/>
                <w:highlight w:val="none"/>
                <w:vertAlign w:val="subscript"/>
              </w:rPr>
            </w:pPr>
            <w:r>
              <w:rPr>
                <w:color w:val="auto"/>
                <w:szCs w:val="21"/>
                <w:highlight w:val="none"/>
              </w:rPr>
              <w:t>PM</w:t>
            </w:r>
            <w:r>
              <w:rPr>
                <w:color w:val="auto"/>
                <w:szCs w:val="21"/>
                <w:highlight w:val="none"/>
                <w:vertAlign w:val="subscript"/>
              </w:rPr>
              <w:t>2.5</w:t>
            </w:r>
          </w:p>
        </w:tc>
        <w:tc>
          <w:tcPr>
            <w:tcW w:w="1476" w:type="dxa"/>
            <w:vAlign w:val="center"/>
          </w:tcPr>
          <w:p>
            <w:pPr>
              <w:jc w:val="center"/>
              <w:rPr>
                <w:color w:val="auto"/>
                <w:szCs w:val="21"/>
                <w:highlight w:val="none"/>
              </w:rPr>
            </w:pPr>
            <w:r>
              <w:rPr>
                <w:color w:val="auto"/>
                <w:szCs w:val="21"/>
                <w:highlight w:val="none"/>
              </w:rPr>
              <w:t>年平均</w:t>
            </w:r>
          </w:p>
        </w:tc>
        <w:tc>
          <w:tcPr>
            <w:tcW w:w="1979" w:type="dxa"/>
            <w:vAlign w:val="center"/>
          </w:tcPr>
          <w:p>
            <w:pPr>
              <w:jc w:val="center"/>
              <w:rPr>
                <w:color w:val="auto"/>
                <w:szCs w:val="21"/>
                <w:highlight w:val="none"/>
              </w:rPr>
            </w:pPr>
            <w:r>
              <w:rPr>
                <w:color w:val="auto"/>
                <w:szCs w:val="21"/>
                <w:highlight w:val="none"/>
              </w:rPr>
              <w:t>35</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24小时平均</w:t>
            </w:r>
          </w:p>
        </w:tc>
        <w:tc>
          <w:tcPr>
            <w:tcW w:w="1979" w:type="dxa"/>
            <w:vAlign w:val="center"/>
          </w:tcPr>
          <w:p>
            <w:pPr>
              <w:jc w:val="center"/>
              <w:rPr>
                <w:color w:val="auto"/>
                <w:szCs w:val="21"/>
                <w:highlight w:val="none"/>
              </w:rPr>
            </w:pPr>
            <w:r>
              <w:rPr>
                <w:color w:val="auto"/>
                <w:szCs w:val="21"/>
                <w:highlight w:val="none"/>
              </w:rPr>
              <w:t>75</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restart"/>
            <w:vAlign w:val="center"/>
          </w:tcPr>
          <w:p>
            <w:pPr>
              <w:widowControl/>
              <w:jc w:val="center"/>
              <w:rPr>
                <w:color w:val="auto"/>
                <w:szCs w:val="21"/>
                <w:highlight w:val="none"/>
              </w:rPr>
            </w:pPr>
            <w:r>
              <w:rPr>
                <w:color w:val="auto"/>
                <w:szCs w:val="21"/>
                <w:highlight w:val="none"/>
              </w:rPr>
              <w:t>总悬浮颗粒物（TSP）</w:t>
            </w:r>
          </w:p>
        </w:tc>
        <w:tc>
          <w:tcPr>
            <w:tcW w:w="1476" w:type="dxa"/>
            <w:vAlign w:val="center"/>
          </w:tcPr>
          <w:p>
            <w:pPr>
              <w:jc w:val="center"/>
              <w:rPr>
                <w:color w:val="auto"/>
                <w:szCs w:val="21"/>
                <w:highlight w:val="none"/>
              </w:rPr>
            </w:pPr>
            <w:r>
              <w:rPr>
                <w:color w:val="auto"/>
                <w:szCs w:val="21"/>
                <w:highlight w:val="none"/>
              </w:rPr>
              <w:t>年平均</w:t>
            </w:r>
          </w:p>
        </w:tc>
        <w:tc>
          <w:tcPr>
            <w:tcW w:w="1979" w:type="dxa"/>
            <w:vAlign w:val="center"/>
          </w:tcPr>
          <w:p>
            <w:pPr>
              <w:jc w:val="center"/>
              <w:rPr>
                <w:color w:val="auto"/>
                <w:szCs w:val="21"/>
                <w:highlight w:val="none"/>
              </w:rPr>
            </w:pPr>
            <w:r>
              <w:rPr>
                <w:color w:val="auto"/>
                <w:szCs w:val="21"/>
                <w:highlight w:val="none"/>
              </w:rPr>
              <w:t>200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24小时平均</w:t>
            </w:r>
          </w:p>
        </w:tc>
        <w:tc>
          <w:tcPr>
            <w:tcW w:w="1979" w:type="dxa"/>
            <w:vAlign w:val="center"/>
          </w:tcPr>
          <w:p>
            <w:pPr>
              <w:jc w:val="center"/>
              <w:rPr>
                <w:color w:val="auto"/>
                <w:szCs w:val="21"/>
                <w:highlight w:val="none"/>
              </w:rPr>
            </w:pPr>
            <w:r>
              <w:rPr>
                <w:color w:val="auto"/>
                <w:szCs w:val="21"/>
                <w:highlight w:val="none"/>
              </w:rPr>
              <w:t>300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566" w:type="dxa"/>
            <w:vMerge w:val="restart"/>
            <w:vAlign w:val="center"/>
          </w:tcPr>
          <w:p>
            <w:pPr>
              <w:widowControl/>
              <w:jc w:val="center"/>
              <w:rPr>
                <w:color w:val="auto"/>
                <w:szCs w:val="21"/>
                <w:highlight w:val="none"/>
              </w:rPr>
            </w:pPr>
            <w:r>
              <w:rPr>
                <w:color w:val="auto"/>
                <w:szCs w:val="21"/>
                <w:highlight w:val="none"/>
              </w:rPr>
              <w:t>臭氧（O</w:t>
            </w:r>
            <w:r>
              <w:rPr>
                <w:color w:val="auto"/>
                <w:szCs w:val="21"/>
                <w:highlight w:val="none"/>
                <w:vertAlign w:val="subscript"/>
              </w:rPr>
              <w:t>3</w:t>
            </w:r>
            <w:r>
              <w:rPr>
                <w:color w:val="auto"/>
                <w:szCs w:val="21"/>
                <w:highlight w:val="none"/>
              </w:rPr>
              <w:t>）</w:t>
            </w:r>
          </w:p>
        </w:tc>
        <w:tc>
          <w:tcPr>
            <w:tcW w:w="1476" w:type="dxa"/>
            <w:vAlign w:val="center"/>
          </w:tcPr>
          <w:p>
            <w:pPr>
              <w:jc w:val="center"/>
              <w:rPr>
                <w:color w:val="auto"/>
                <w:szCs w:val="21"/>
                <w:highlight w:val="none"/>
              </w:rPr>
            </w:pPr>
            <w:r>
              <w:rPr>
                <w:color w:val="auto"/>
                <w:szCs w:val="21"/>
                <w:highlight w:val="none"/>
              </w:rPr>
              <w:t>日最大8小时平均</w:t>
            </w:r>
          </w:p>
        </w:tc>
        <w:tc>
          <w:tcPr>
            <w:tcW w:w="1979" w:type="dxa"/>
            <w:vAlign w:val="center"/>
          </w:tcPr>
          <w:p>
            <w:pPr>
              <w:jc w:val="center"/>
              <w:rPr>
                <w:color w:val="auto"/>
                <w:szCs w:val="21"/>
                <w:highlight w:val="none"/>
              </w:rPr>
            </w:pPr>
            <w:r>
              <w:rPr>
                <w:color w:val="auto"/>
                <w:szCs w:val="21"/>
                <w:highlight w:val="none"/>
              </w:rPr>
              <w:t>160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1小时平均</w:t>
            </w:r>
          </w:p>
        </w:tc>
        <w:tc>
          <w:tcPr>
            <w:tcW w:w="1979" w:type="dxa"/>
            <w:vAlign w:val="center"/>
          </w:tcPr>
          <w:p>
            <w:pPr>
              <w:jc w:val="center"/>
              <w:rPr>
                <w:color w:val="auto"/>
                <w:szCs w:val="21"/>
                <w:highlight w:val="none"/>
              </w:rPr>
            </w:pPr>
            <w:r>
              <w:rPr>
                <w:color w:val="auto"/>
                <w:szCs w:val="21"/>
                <w:highlight w:val="none"/>
              </w:rPr>
              <w:t>200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66" w:type="dxa"/>
            <w:vMerge w:val="restart"/>
            <w:vAlign w:val="center"/>
          </w:tcPr>
          <w:p>
            <w:pPr>
              <w:widowControl/>
              <w:jc w:val="center"/>
              <w:rPr>
                <w:color w:val="auto"/>
                <w:szCs w:val="21"/>
                <w:highlight w:val="none"/>
              </w:rPr>
            </w:pPr>
            <w:r>
              <w:rPr>
                <w:color w:val="auto"/>
                <w:szCs w:val="21"/>
                <w:highlight w:val="none"/>
              </w:rPr>
              <w:t>一氧化碳（CO）（mg/m</w:t>
            </w:r>
            <w:r>
              <w:rPr>
                <w:color w:val="auto"/>
                <w:szCs w:val="21"/>
                <w:highlight w:val="none"/>
                <w:vertAlign w:val="superscript"/>
              </w:rPr>
              <w:t>3</w:t>
            </w:r>
            <w:r>
              <w:rPr>
                <w:color w:val="auto"/>
                <w:szCs w:val="21"/>
                <w:highlight w:val="none"/>
              </w:rPr>
              <w:t>）</w:t>
            </w:r>
          </w:p>
        </w:tc>
        <w:tc>
          <w:tcPr>
            <w:tcW w:w="1476" w:type="dxa"/>
            <w:vAlign w:val="center"/>
          </w:tcPr>
          <w:p>
            <w:pPr>
              <w:jc w:val="center"/>
              <w:rPr>
                <w:color w:val="auto"/>
                <w:szCs w:val="21"/>
                <w:highlight w:val="none"/>
              </w:rPr>
            </w:pPr>
            <w:r>
              <w:rPr>
                <w:color w:val="auto"/>
                <w:szCs w:val="21"/>
                <w:highlight w:val="none"/>
              </w:rPr>
              <w:t>24小时平均</w:t>
            </w:r>
          </w:p>
        </w:tc>
        <w:tc>
          <w:tcPr>
            <w:tcW w:w="1979" w:type="dxa"/>
            <w:vAlign w:val="center"/>
          </w:tcPr>
          <w:p>
            <w:pPr>
              <w:jc w:val="center"/>
              <w:rPr>
                <w:color w:val="auto"/>
                <w:szCs w:val="21"/>
                <w:highlight w:val="none"/>
              </w:rPr>
            </w:pPr>
            <w:r>
              <w:rPr>
                <w:color w:val="auto"/>
                <w:szCs w:val="21"/>
                <w:highlight w:val="none"/>
              </w:rPr>
              <w:t>4</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1566" w:type="dxa"/>
            <w:vMerge w:val="continue"/>
            <w:vAlign w:val="center"/>
          </w:tcPr>
          <w:p>
            <w:pPr>
              <w:widowControl/>
              <w:jc w:val="center"/>
              <w:rPr>
                <w:color w:val="auto"/>
                <w:szCs w:val="21"/>
                <w:highlight w:val="none"/>
              </w:rPr>
            </w:pPr>
          </w:p>
        </w:tc>
        <w:tc>
          <w:tcPr>
            <w:tcW w:w="1476" w:type="dxa"/>
            <w:vAlign w:val="center"/>
          </w:tcPr>
          <w:p>
            <w:pPr>
              <w:jc w:val="center"/>
              <w:rPr>
                <w:color w:val="auto"/>
                <w:szCs w:val="21"/>
                <w:highlight w:val="none"/>
              </w:rPr>
            </w:pPr>
            <w:r>
              <w:rPr>
                <w:color w:val="auto"/>
                <w:szCs w:val="21"/>
                <w:highlight w:val="none"/>
              </w:rPr>
              <w:t>1小时平均</w:t>
            </w:r>
          </w:p>
        </w:tc>
        <w:tc>
          <w:tcPr>
            <w:tcW w:w="1979" w:type="dxa"/>
            <w:vAlign w:val="center"/>
          </w:tcPr>
          <w:p>
            <w:pPr>
              <w:jc w:val="center"/>
              <w:rPr>
                <w:color w:val="auto"/>
                <w:szCs w:val="21"/>
                <w:highlight w:val="none"/>
              </w:rPr>
            </w:pPr>
            <w:r>
              <w:rPr>
                <w:color w:val="auto"/>
                <w:szCs w:val="21"/>
                <w:highlight w:val="none"/>
              </w:rPr>
              <w:t>10</w:t>
            </w:r>
          </w:p>
        </w:tc>
        <w:tc>
          <w:tcPr>
            <w:tcW w:w="349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6" w:type="dxa"/>
            <w:vAlign w:val="center"/>
          </w:tcPr>
          <w:p>
            <w:pPr>
              <w:widowControl/>
              <w:jc w:val="center"/>
              <w:rPr>
                <w:color w:val="auto"/>
                <w:szCs w:val="21"/>
                <w:highlight w:val="none"/>
              </w:rPr>
            </w:pPr>
            <w:r>
              <w:rPr>
                <w:color w:val="auto"/>
                <w:szCs w:val="21"/>
                <w:highlight w:val="none"/>
              </w:rPr>
              <w:t>非甲烷总烃</w:t>
            </w:r>
          </w:p>
        </w:tc>
        <w:tc>
          <w:tcPr>
            <w:tcW w:w="1476" w:type="dxa"/>
            <w:vAlign w:val="center"/>
          </w:tcPr>
          <w:p>
            <w:pPr>
              <w:jc w:val="center"/>
              <w:rPr>
                <w:color w:val="auto"/>
                <w:szCs w:val="21"/>
                <w:highlight w:val="none"/>
              </w:rPr>
            </w:pPr>
            <w:r>
              <w:rPr>
                <w:color w:val="auto"/>
                <w:szCs w:val="21"/>
                <w:highlight w:val="none"/>
              </w:rPr>
              <w:t>小时均值</w:t>
            </w:r>
          </w:p>
        </w:tc>
        <w:tc>
          <w:tcPr>
            <w:tcW w:w="1979" w:type="dxa"/>
            <w:vAlign w:val="center"/>
          </w:tcPr>
          <w:p>
            <w:pPr>
              <w:jc w:val="center"/>
              <w:rPr>
                <w:color w:val="auto"/>
                <w:szCs w:val="21"/>
                <w:highlight w:val="none"/>
              </w:rPr>
            </w:pPr>
            <w:r>
              <w:rPr>
                <w:color w:val="auto"/>
                <w:szCs w:val="21"/>
                <w:highlight w:val="none"/>
              </w:rPr>
              <w:t>2mg/m</w:t>
            </w:r>
            <w:r>
              <w:rPr>
                <w:color w:val="auto"/>
                <w:szCs w:val="21"/>
                <w:highlight w:val="none"/>
                <w:vertAlign w:val="superscript"/>
              </w:rPr>
              <w:t>3</w:t>
            </w:r>
          </w:p>
        </w:tc>
        <w:tc>
          <w:tcPr>
            <w:tcW w:w="3498" w:type="dxa"/>
            <w:vAlign w:val="center"/>
          </w:tcPr>
          <w:p>
            <w:pPr>
              <w:rPr>
                <w:color w:val="auto"/>
                <w:szCs w:val="21"/>
                <w:highlight w:val="none"/>
              </w:rPr>
            </w:pPr>
            <w:r>
              <w:rPr>
                <w:color w:val="auto"/>
                <w:szCs w:val="21"/>
                <w:highlight w:val="none"/>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66" w:type="dxa"/>
            <w:vAlign w:val="center"/>
          </w:tcPr>
          <w:p>
            <w:pPr>
              <w:widowControl/>
              <w:jc w:val="center"/>
              <w:rPr>
                <w:color w:val="auto"/>
                <w:szCs w:val="21"/>
                <w:highlight w:val="none"/>
              </w:rPr>
            </w:pPr>
            <w:r>
              <w:rPr>
                <w:color w:val="auto"/>
                <w:szCs w:val="21"/>
                <w:highlight w:val="none"/>
              </w:rPr>
              <w:t>TVOC</w:t>
            </w:r>
          </w:p>
        </w:tc>
        <w:tc>
          <w:tcPr>
            <w:tcW w:w="1476" w:type="dxa"/>
            <w:vAlign w:val="center"/>
          </w:tcPr>
          <w:p>
            <w:pPr>
              <w:jc w:val="center"/>
              <w:rPr>
                <w:color w:val="auto"/>
                <w:szCs w:val="21"/>
                <w:highlight w:val="none"/>
              </w:rPr>
            </w:pPr>
            <w:r>
              <w:rPr>
                <w:color w:val="auto"/>
                <w:szCs w:val="21"/>
                <w:highlight w:val="none"/>
              </w:rPr>
              <w:t>8h平均</w:t>
            </w:r>
          </w:p>
        </w:tc>
        <w:tc>
          <w:tcPr>
            <w:tcW w:w="1979" w:type="dxa"/>
            <w:vAlign w:val="center"/>
          </w:tcPr>
          <w:p>
            <w:pPr>
              <w:jc w:val="center"/>
              <w:rPr>
                <w:color w:val="auto"/>
                <w:szCs w:val="21"/>
                <w:highlight w:val="none"/>
              </w:rPr>
            </w:pPr>
            <w:r>
              <w:rPr>
                <w:color w:val="auto"/>
                <w:szCs w:val="21"/>
                <w:highlight w:val="none"/>
              </w:rPr>
              <w:t>600</w:t>
            </w:r>
          </w:p>
        </w:tc>
        <w:tc>
          <w:tcPr>
            <w:tcW w:w="3498" w:type="dxa"/>
            <w:vAlign w:val="center"/>
          </w:tcPr>
          <w:p>
            <w:pPr>
              <w:jc w:val="center"/>
              <w:rPr>
                <w:color w:val="auto"/>
                <w:szCs w:val="21"/>
                <w:highlight w:val="none"/>
              </w:rPr>
            </w:pPr>
            <w:r>
              <w:rPr>
                <w:color w:val="auto"/>
                <w:szCs w:val="21"/>
                <w:highlight w:val="none"/>
              </w:rPr>
              <w:t>《环境影响评价技术导则 大气环境》（HJ2.2-2018）附录D</w:t>
            </w:r>
          </w:p>
        </w:tc>
      </w:tr>
    </w:tbl>
    <w:p>
      <w:pPr>
        <w:spacing w:line="360" w:lineRule="auto"/>
        <w:ind w:firstLine="482" w:firstLineChars="200"/>
        <w:rPr>
          <w:b/>
          <w:bCs/>
          <w:color w:val="auto"/>
          <w:sz w:val="24"/>
          <w:highlight w:val="none"/>
        </w:rPr>
      </w:pPr>
      <w:r>
        <w:rPr>
          <w:b/>
          <w:bCs/>
          <w:color w:val="auto"/>
          <w:sz w:val="24"/>
          <w:highlight w:val="none"/>
        </w:rPr>
        <w:t>2、地表水环境质量标准</w:t>
      </w:r>
    </w:p>
    <w:p>
      <w:pPr>
        <w:spacing w:line="360" w:lineRule="auto"/>
        <w:ind w:firstLine="480" w:firstLineChars="200"/>
        <w:rPr>
          <w:color w:val="auto"/>
          <w:sz w:val="24"/>
          <w:highlight w:val="none"/>
        </w:rPr>
      </w:pPr>
      <w:r>
        <w:rPr>
          <w:color w:val="auto"/>
          <w:sz w:val="24"/>
          <w:highlight w:val="none"/>
        </w:rPr>
        <w:t>本项目附近水体为</w:t>
      </w:r>
      <w:r>
        <w:rPr>
          <w:rFonts w:hint="eastAsia"/>
          <w:color w:val="auto"/>
          <w:sz w:val="24"/>
          <w:highlight w:val="none"/>
          <w:lang w:val="en-US" w:eastAsia="zh-CN"/>
        </w:rPr>
        <w:t>三月三水库和前进河</w:t>
      </w:r>
      <w:r>
        <w:rPr>
          <w:color w:val="auto"/>
          <w:sz w:val="24"/>
          <w:highlight w:val="none"/>
        </w:rPr>
        <w:t>，</w:t>
      </w:r>
      <w:r>
        <w:rPr>
          <w:rFonts w:hint="default" w:ascii="Times New Roman" w:hAnsi="Times New Roman" w:cs="Times New Roman"/>
          <w:color w:val="auto"/>
          <w:sz w:val="24"/>
          <w:highlight w:val="none"/>
          <w:lang w:val="en-US" w:eastAsia="zh-CN"/>
        </w:rPr>
        <w:t>三月三水库</w:t>
      </w:r>
      <w:r>
        <w:rPr>
          <w:rFonts w:hint="default" w:ascii="Times New Roman" w:hAnsi="Times New Roman" w:cs="Times New Roman"/>
          <w:color w:val="auto"/>
          <w:sz w:val="24"/>
          <w:highlight w:val="none"/>
        </w:rPr>
        <w:t>位于项目</w:t>
      </w:r>
      <w:r>
        <w:rPr>
          <w:rFonts w:hint="eastAsia" w:cs="Times New Roman"/>
          <w:color w:val="auto"/>
          <w:sz w:val="24"/>
          <w:highlight w:val="none"/>
          <w:lang w:val="en-US" w:eastAsia="zh-CN"/>
        </w:rPr>
        <w:t>东</w:t>
      </w:r>
      <w:r>
        <w:rPr>
          <w:rFonts w:hint="default" w:ascii="Times New Roman" w:hAnsi="Times New Roman" w:cs="Times New Roman"/>
          <w:color w:val="auto"/>
          <w:sz w:val="24"/>
          <w:highlight w:val="none"/>
        </w:rPr>
        <w:t>侧约</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35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lang w:val="en-US" w:eastAsia="zh-CN"/>
        </w:rPr>
        <w:t>前进河</w:t>
      </w:r>
      <w:r>
        <w:rPr>
          <w:rFonts w:hint="default" w:ascii="Times New Roman" w:hAnsi="Times New Roman" w:cs="Times New Roman"/>
          <w:color w:val="auto"/>
          <w:sz w:val="24"/>
          <w:highlight w:val="none"/>
        </w:rPr>
        <w:t>位于项目</w:t>
      </w:r>
      <w:r>
        <w:rPr>
          <w:rFonts w:hint="default" w:ascii="Times New Roman" w:hAnsi="Times New Roman" w:cs="Times New Roman"/>
          <w:color w:val="auto"/>
          <w:sz w:val="24"/>
          <w:highlight w:val="none"/>
          <w:lang w:val="en-US" w:eastAsia="zh-CN"/>
        </w:rPr>
        <w:t>东侧</w:t>
      </w:r>
      <w:r>
        <w:rPr>
          <w:rFonts w:hint="default" w:ascii="Times New Roman" w:hAnsi="Times New Roman" w:cs="Times New Roman"/>
          <w:color w:val="auto"/>
          <w:sz w:val="24"/>
          <w:highlight w:val="none"/>
        </w:rPr>
        <w:t>约</w:t>
      </w:r>
      <w:r>
        <w:rPr>
          <w:rFonts w:hint="eastAsia" w:cs="Times New Roman"/>
          <w:color w:val="auto"/>
          <w:sz w:val="24"/>
          <w:highlight w:val="none"/>
          <w:lang w:val="en-US" w:eastAsia="zh-CN"/>
        </w:rPr>
        <w:t>2470</w:t>
      </w:r>
      <w:r>
        <w:rPr>
          <w:rFonts w:hint="default" w:ascii="Times New Roman" w:hAnsi="Times New Roman" w:cs="Times New Roman"/>
          <w:color w:val="auto"/>
          <w:sz w:val="24"/>
          <w:highlight w:val="none"/>
        </w:rPr>
        <w:t>m。三月三水库</w:t>
      </w:r>
      <w:r>
        <w:rPr>
          <w:rFonts w:hint="default" w:ascii="Times New Roman" w:hAnsi="Times New Roman" w:cs="Times New Roman"/>
          <w:color w:val="auto"/>
          <w:sz w:val="24"/>
          <w:highlight w:val="none"/>
          <w:lang w:val="en-US" w:eastAsia="zh-CN"/>
        </w:rPr>
        <w:t>的水进入</w:t>
      </w:r>
      <w:r>
        <w:rPr>
          <w:rFonts w:hint="default" w:ascii="Times New Roman" w:hAnsi="Times New Roman" w:cs="Times New Roman"/>
          <w:color w:val="auto"/>
          <w:sz w:val="24"/>
          <w:highlight w:val="none"/>
        </w:rPr>
        <w:t>前进河，</w:t>
      </w:r>
      <w:r>
        <w:rPr>
          <w:rFonts w:hint="default" w:ascii="Times New Roman" w:hAnsi="Times New Roman" w:cs="Times New Roman"/>
          <w:color w:val="auto"/>
          <w:sz w:val="24"/>
          <w:highlight w:val="none"/>
          <w:lang w:val="en-US" w:eastAsia="zh-CN"/>
        </w:rPr>
        <w:t>前进河</w:t>
      </w:r>
      <w:r>
        <w:rPr>
          <w:rFonts w:hint="default" w:ascii="Times New Roman" w:hAnsi="Times New Roman" w:cs="Times New Roman"/>
          <w:color w:val="auto"/>
          <w:sz w:val="24"/>
          <w:highlight w:val="none"/>
        </w:rPr>
        <w:t>最终汇入牛栏江，属牛栏江支流。根据《</w:t>
      </w:r>
      <w:r>
        <w:rPr>
          <w:rFonts w:hint="eastAsia" w:cs="Times New Roman"/>
          <w:color w:val="auto"/>
          <w:sz w:val="24"/>
          <w:highlight w:val="none"/>
          <w:lang w:val="en-US" w:eastAsia="zh-CN"/>
        </w:rPr>
        <w:t>昆明市和滇中产业新区水功能区划</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eastAsia" w:cs="Times New Roman"/>
          <w:color w:val="auto"/>
          <w:sz w:val="24"/>
          <w:highlight w:val="none"/>
          <w:lang w:val="en-US" w:eastAsia="zh-CN"/>
        </w:rPr>
        <w:t>2010~2030年</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前进河寻甸农业用水区：三月三水库起始至入牛栏江口，河长度10.7km，属前进河中下游段，均在寻甸县境内，主要流经仁德街道办事处，其中三月三小（一）型水库总库容302万m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，设计年供水量605万m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，主要为沿途两岸农田提供农灌水，现状水质Ⅳ类，2030规划水平年水质保护目标为Ⅲ类。</w:t>
      </w:r>
      <w:r>
        <w:rPr>
          <w:rFonts w:hint="default" w:ascii="Times New Roman" w:hAnsi="Times New Roman" w:cs="Times New Roman"/>
          <w:color w:val="auto"/>
          <w:sz w:val="24"/>
          <w:highlight w:val="none"/>
        </w:rPr>
        <w:t>执行《地表水环境质量标准》（GB3838-2002）Ⅲ类标准。标准值详见表</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.4-2：</w:t>
      </w:r>
    </w:p>
    <w:p>
      <w:pPr>
        <w:pStyle w:val="50"/>
        <w:spacing w:before="0" w:beforeAutospacing="0" w:after="0" w:afterAutospacing="0" w:line="360" w:lineRule="auto"/>
        <w:jc w:val="center"/>
        <w:rPr>
          <w:rFonts w:ascii="Times New Roman" w:hAnsi="Times New Roman"/>
          <w:b/>
          <w:color w:val="auto"/>
          <w:highlight w:val="none"/>
        </w:rPr>
      </w:pPr>
      <w:r>
        <w:rPr>
          <w:rFonts w:ascii="Times New Roman" w:hAnsi="Times New Roman"/>
          <w:b/>
          <w:color w:val="auto"/>
          <w:kern w:val="24"/>
          <w:highlight w:val="none"/>
          <w:lang w:bidi="ar"/>
        </w:rPr>
        <w:t>表1.4-2  地表水环境质量标准限值    单位：mg/L</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3116"/>
        <w:gridCol w:w="3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
                <w:bCs/>
                <w:color w:val="auto"/>
                <w:szCs w:val="21"/>
                <w:highlight w:val="none"/>
              </w:rPr>
            </w:pPr>
            <w:r>
              <w:rPr>
                <w:b/>
                <w:bCs/>
                <w:color w:val="auto"/>
                <w:szCs w:val="21"/>
                <w:highlight w:val="none"/>
              </w:rPr>
              <w:t>序号</w:t>
            </w:r>
          </w:p>
        </w:tc>
        <w:tc>
          <w:tcPr>
            <w:tcW w:w="3116" w:type="dxa"/>
            <w:vAlign w:val="center"/>
          </w:tcPr>
          <w:p>
            <w:pPr>
              <w:jc w:val="center"/>
              <w:rPr>
                <w:b/>
                <w:bCs/>
                <w:color w:val="auto"/>
                <w:szCs w:val="21"/>
                <w:highlight w:val="none"/>
              </w:rPr>
            </w:pPr>
            <w:r>
              <w:rPr>
                <w:b/>
                <w:bCs/>
                <w:color w:val="auto"/>
                <w:szCs w:val="21"/>
                <w:highlight w:val="none"/>
              </w:rPr>
              <w:t>项目</w:t>
            </w:r>
          </w:p>
        </w:tc>
        <w:tc>
          <w:tcPr>
            <w:tcW w:w="3393" w:type="dxa"/>
          </w:tcPr>
          <w:p>
            <w:pPr>
              <w:jc w:val="center"/>
              <w:rPr>
                <w:b/>
                <w:bCs/>
                <w:color w:val="auto"/>
                <w:szCs w:val="21"/>
                <w:highlight w:val="none"/>
              </w:rPr>
            </w:pPr>
            <w:r>
              <w:rPr>
                <w:b/>
                <w:bCs/>
                <w:color w:val="auto"/>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Cs/>
                <w:color w:val="auto"/>
                <w:szCs w:val="21"/>
                <w:highlight w:val="none"/>
              </w:rPr>
            </w:pPr>
            <w:r>
              <w:rPr>
                <w:bCs/>
                <w:color w:val="auto"/>
                <w:szCs w:val="21"/>
                <w:highlight w:val="none"/>
              </w:rPr>
              <w:t>1</w:t>
            </w:r>
          </w:p>
        </w:tc>
        <w:tc>
          <w:tcPr>
            <w:tcW w:w="3116" w:type="dxa"/>
            <w:vAlign w:val="center"/>
          </w:tcPr>
          <w:p>
            <w:pPr>
              <w:widowControl/>
              <w:jc w:val="center"/>
              <w:rPr>
                <w:color w:val="auto"/>
                <w:kern w:val="0"/>
                <w:szCs w:val="21"/>
                <w:highlight w:val="none"/>
              </w:rPr>
            </w:pPr>
            <w:r>
              <w:rPr>
                <w:color w:val="auto"/>
                <w:kern w:val="0"/>
                <w:szCs w:val="21"/>
                <w:highlight w:val="none"/>
              </w:rPr>
              <w:t>pH（无量纲）</w:t>
            </w:r>
          </w:p>
        </w:tc>
        <w:tc>
          <w:tcPr>
            <w:tcW w:w="3393" w:type="dxa"/>
            <w:vAlign w:val="center"/>
          </w:tcPr>
          <w:p>
            <w:pPr>
              <w:widowControl/>
              <w:jc w:val="center"/>
              <w:rPr>
                <w:color w:val="auto"/>
                <w:kern w:val="0"/>
                <w:szCs w:val="21"/>
                <w:highlight w:val="none"/>
              </w:rPr>
            </w:pPr>
            <w:r>
              <w:rPr>
                <w:color w:val="auto"/>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Cs/>
                <w:color w:val="auto"/>
                <w:szCs w:val="21"/>
                <w:highlight w:val="none"/>
              </w:rPr>
            </w:pPr>
            <w:r>
              <w:rPr>
                <w:bCs/>
                <w:color w:val="auto"/>
                <w:szCs w:val="21"/>
                <w:highlight w:val="none"/>
              </w:rPr>
              <w:t>2</w:t>
            </w:r>
          </w:p>
        </w:tc>
        <w:tc>
          <w:tcPr>
            <w:tcW w:w="3116" w:type="dxa"/>
            <w:vAlign w:val="center"/>
          </w:tcPr>
          <w:p>
            <w:pPr>
              <w:jc w:val="center"/>
              <w:rPr>
                <w:color w:val="auto"/>
                <w:szCs w:val="21"/>
                <w:highlight w:val="none"/>
              </w:rPr>
            </w:pPr>
            <w:r>
              <w:rPr>
                <w:color w:val="auto"/>
                <w:szCs w:val="21"/>
                <w:highlight w:val="none"/>
              </w:rPr>
              <w:t>高锰酸盐指数</w:t>
            </w:r>
          </w:p>
        </w:tc>
        <w:tc>
          <w:tcPr>
            <w:tcW w:w="3393" w:type="dxa"/>
            <w:vAlign w:val="center"/>
          </w:tcPr>
          <w:p>
            <w:pPr>
              <w:widowControl/>
              <w:jc w:val="center"/>
              <w:rPr>
                <w:color w:val="auto"/>
                <w:kern w:val="0"/>
                <w:szCs w:val="21"/>
                <w:highlight w:val="none"/>
              </w:rPr>
            </w:pPr>
            <w:r>
              <w:rPr>
                <w:color w:val="auto"/>
                <w:kern w:val="0"/>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013" w:type="dxa"/>
            <w:vAlign w:val="center"/>
          </w:tcPr>
          <w:p>
            <w:pPr>
              <w:jc w:val="center"/>
              <w:rPr>
                <w:bCs/>
                <w:color w:val="auto"/>
                <w:szCs w:val="21"/>
                <w:highlight w:val="none"/>
              </w:rPr>
            </w:pPr>
            <w:r>
              <w:rPr>
                <w:bCs/>
                <w:color w:val="auto"/>
                <w:szCs w:val="21"/>
                <w:highlight w:val="none"/>
              </w:rPr>
              <w:t>3</w:t>
            </w:r>
          </w:p>
        </w:tc>
        <w:tc>
          <w:tcPr>
            <w:tcW w:w="3116" w:type="dxa"/>
            <w:vAlign w:val="center"/>
          </w:tcPr>
          <w:p>
            <w:pPr>
              <w:widowControl/>
              <w:jc w:val="center"/>
              <w:rPr>
                <w:color w:val="auto"/>
                <w:kern w:val="0"/>
                <w:szCs w:val="21"/>
                <w:highlight w:val="none"/>
              </w:rPr>
            </w:pPr>
            <w:r>
              <w:rPr>
                <w:color w:val="auto"/>
                <w:szCs w:val="21"/>
                <w:highlight w:val="none"/>
              </w:rPr>
              <w:t>COD</w:t>
            </w:r>
          </w:p>
        </w:tc>
        <w:tc>
          <w:tcPr>
            <w:tcW w:w="3393" w:type="dxa"/>
            <w:vAlign w:val="center"/>
          </w:tcPr>
          <w:p>
            <w:pPr>
              <w:widowControl/>
              <w:jc w:val="center"/>
              <w:rPr>
                <w:color w:val="auto"/>
                <w:kern w:val="0"/>
                <w:szCs w:val="21"/>
                <w:highlight w:val="none"/>
              </w:rPr>
            </w:pPr>
            <w:r>
              <w:rPr>
                <w:color w:val="auto"/>
                <w:kern w:val="0"/>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widowControl/>
              <w:jc w:val="center"/>
              <w:rPr>
                <w:color w:val="auto"/>
                <w:kern w:val="0"/>
                <w:szCs w:val="21"/>
                <w:highlight w:val="none"/>
              </w:rPr>
            </w:pPr>
            <w:r>
              <w:rPr>
                <w:color w:val="auto"/>
                <w:kern w:val="0"/>
                <w:szCs w:val="21"/>
                <w:highlight w:val="none"/>
              </w:rPr>
              <w:t>4</w:t>
            </w:r>
          </w:p>
        </w:tc>
        <w:tc>
          <w:tcPr>
            <w:tcW w:w="3116" w:type="dxa"/>
            <w:vAlign w:val="center"/>
          </w:tcPr>
          <w:p>
            <w:pPr>
              <w:widowControl/>
              <w:jc w:val="center"/>
              <w:rPr>
                <w:color w:val="auto"/>
                <w:kern w:val="0"/>
                <w:szCs w:val="21"/>
                <w:highlight w:val="none"/>
              </w:rPr>
            </w:pPr>
            <w:r>
              <w:rPr>
                <w:color w:val="auto"/>
                <w:szCs w:val="21"/>
                <w:highlight w:val="none"/>
              </w:rPr>
              <w:t>BOD</w:t>
            </w:r>
            <w:r>
              <w:rPr>
                <w:color w:val="auto"/>
                <w:szCs w:val="21"/>
                <w:highlight w:val="none"/>
                <w:vertAlign w:val="subscript"/>
              </w:rPr>
              <w:t>5</w:t>
            </w:r>
          </w:p>
        </w:tc>
        <w:tc>
          <w:tcPr>
            <w:tcW w:w="3393" w:type="dxa"/>
            <w:vAlign w:val="center"/>
          </w:tcPr>
          <w:p>
            <w:pPr>
              <w:widowControl/>
              <w:jc w:val="center"/>
              <w:rPr>
                <w:color w:val="auto"/>
                <w:kern w:val="0"/>
                <w:szCs w:val="21"/>
                <w:highlight w:val="none"/>
              </w:rPr>
            </w:pPr>
            <w:r>
              <w:rPr>
                <w:color w:val="auto"/>
                <w:kern w:val="0"/>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Cs/>
                <w:color w:val="auto"/>
                <w:szCs w:val="21"/>
                <w:highlight w:val="none"/>
              </w:rPr>
            </w:pPr>
            <w:r>
              <w:rPr>
                <w:bCs/>
                <w:color w:val="auto"/>
                <w:szCs w:val="21"/>
                <w:highlight w:val="none"/>
              </w:rPr>
              <w:t>5</w:t>
            </w:r>
          </w:p>
        </w:tc>
        <w:tc>
          <w:tcPr>
            <w:tcW w:w="3116" w:type="dxa"/>
            <w:vAlign w:val="center"/>
          </w:tcPr>
          <w:p>
            <w:pPr>
              <w:widowControl/>
              <w:jc w:val="center"/>
              <w:rPr>
                <w:color w:val="auto"/>
                <w:kern w:val="0"/>
                <w:szCs w:val="21"/>
                <w:highlight w:val="none"/>
              </w:rPr>
            </w:pPr>
            <w:r>
              <w:rPr>
                <w:color w:val="auto"/>
                <w:kern w:val="0"/>
                <w:szCs w:val="21"/>
                <w:highlight w:val="none"/>
              </w:rPr>
              <w:t>氨氮（NH</w:t>
            </w:r>
            <w:r>
              <w:rPr>
                <w:color w:val="auto"/>
                <w:kern w:val="0"/>
                <w:szCs w:val="21"/>
                <w:highlight w:val="none"/>
                <w:vertAlign w:val="subscript"/>
              </w:rPr>
              <w:t>3</w:t>
            </w:r>
            <w:r>
              <w:rPr>
                <w:color w:val="auto"/>
                <w:kern w:val="0"/>
                <w:szCs w:val="21"/>
                <w:highlight w:val="none"/>
              </w:rPr>
              <w:t>-N）</w:t>
            </w:r>
          </w:p>
        </w:tc>
        <w:tc>
          <w:tcPr>
            <w:tcW w:w="3393" w:type="dxa"/>
            <w:vAlign w:val="center"/>
          </w:tcPr>
          <w:p>
            <w:pPr>
              <w:widowControl/>
              <w:jc w:val="center"/>
              <w:rPr>
                <w:color w:val="auto"/>
                <w:kern w:val="0"/>
                <w:szCs w:val="21"/>
                <w:highlight w:val="none"/>
              </w:rPr>
            </w:pPr>
            <w:r>
              <w:rPr>
                <w:color w:val="auto"/>
                <w:kern w:val="0"/>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Cs/>
                <w:color w:val="auto"/>
                <w:szCs w:val="21"/>
                <w:highlight w:val="none"/>
              </w:rPr>
            </w:pPr>
            <w:r>
              <w:rPr>
                <w:bCs/>
                <w:color w:val="auto"/>
                <w:szCs w:val="21"/>
                <w:highlight w:val="none"/>
              </w:rPr>
              <w:t>6</w:t>
            </w:r>
          </w:p>
        </w:tc>
        <w:tc>
          <w:tcPr>
            <w:tcW w:w="3116" w:type="dxa"/>
            <w:vAlign w:val="center"/>
          </w:tcPr>
          <w:p>
            <w:pPr>
              <w:widowControl/>
              <w:jc w:val="center"/>
              <w:rPr>
                <w:color w:val="auto"/>
                <w:kern w:val="0"/>
                <w:szCs w:val="21"/>
                <w:highlight w:val="none"/>
              </w:rPr>
            </w:pPr>
            <w:r>
              <w:rPr>
                <w:color w:val="auto"/>
                <w:szCs w:val="21"/>
                <w:highlight w:val="none"/>
              </w:rPr>
              <w:t>总磷</w:t>
            </w:r>
          </w:p>
        </w:tc>
        <w:tc>
          <w:tcPr>
            <w:tcW w:w="3393" w:type="dxa"/>
            <w:vAlign w:val="center"/>
          </w:tcPr>
          <w:p>
            <w:pPr>
              <w:widowControl/>
              <w:jc w:val="center"/>
              <w:rPr>
                <w:color w:val="auto"/>
                <w:kern w:val="0"/>
                <w:szCs w:val="21"/>
                <w:highlight w:val="none"/>
              </w:rPr>
            </w:pPr>
            <w:r>
              <w:rPr>
                <w:color w:val="auto"/>
                <w:kern w:val="0"/>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Cs/>
                <w:color w:val="auto"/>
                <w:szCs w:val="21"/>
                <w:highlight w:val="none"/>
              </w:rPr>
            </w:pPr>
            <w:r>
              <w:rPr>
                <w:bCs/>
                <w:color w:val="auto"/>
                <w:szCs w:val="21"/>
                <w:highlight w:val="none"/>
              </w:rPr>
              <w:t>7</w:t>
            </w:r>
          </w:p>
        </w:tc>
        <w:tc>
          <w:tcPr>
            <w:tcW w:w="3116" w:type="dxa"/>
            <w:vAlign w:val="center"/>
          </w:tcPr>
          <w:p>
            <w:pPr>
              <w:jc w:val="center"/>
              <w:rPr>
                <w:color w:val="auto"/>
                <w:szCs w:val="21"/>
                <w:highlight w:val="none"/>
              </w:rPr>
            </w:pPr>
            <w:r>
              <w:rPr>
                <w:color w:val="auto"/>
                <w:szCs w:val="21"/>
                <w:highlight w:val="none"/>
              </w:rPr>
              <w:t>总氮</w:t>
            </w:r>
          </w:p>
        </w:tc>
        <w:tc>
          <w:tcPr>
            <w:tcW w:w="3393" w:type="dxa"/>
            <w:vAlign w:val="center"/>
          </w:tcPr>
          <w:p>
            <w:pPr>
              <w:widowControl/>
              <w:jc w:val="center"/>
              <w:rPr>
                <w:color w:val="auto"/>
                <w:kern w:val="0"/>
                <w:szCs w:val="21"/>
                <w:highlight w:val="none"/>
              </w:rPr>
            </w:pPr>
            <w:r>
              <w:rPr>
                <w:color w:val="auto"/>
                <w:kern w:val="0"/>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Cs/>
                <w:color w:val="auto"/>
                <w:szCs w:val="21"/>
                <w:highlight w:val="none"/>
              </w:rPr>
            </w:pPr>
            <w:r>
              <w:rPr>
                <w:bCs/>
                <w:color w:val="auto"/>
                <w:szCs w:val="21"/>
                <w:highlight w:val="none"/>
              </w:rPr>
              <w:t>8</w:t>
            </w:r>
          </w:p>
        </w:tc>
        <w:tc>
          <w:tcPr>
            <w:tcW w:w="3116" w:type="dxa"/>
            <w:vAlign w:val="center"/>
          </w:tcPr>
          <w:p>
            <w:pPr>
              <w:jc w:val="center"/>
              <w:rPr>
                <w:color w:val="auto"/>
                <w:szCs w:val="21"/>
                <w:highlight w:val="none"/>
              </w:rPr>
            </w:pPr>
            <w:r>
              <w:rPr>
                <w:color w:val="auto"/>
                <w:szCs w:val="21"/>
                <w:highlight w:val="none"/>
              </w:rPr>
              <w:t>石油类</w:t>
            </w:r>
          </w:p>
        </w:tc>
        <w:tc>
          <w:tcPr>
            <w:tcW w:w="3393" w:type="dxa"/>
            <w:vAlign w:val="center"/>
          </w:tcPr>
          <w:p>
            <w:pPr>
              <w:widowControl/>
              <w:jc w:val="center"/>
              <w:rPr>
                <w:color w:val="auto"/>
                <w:kern w:val="0"/>
                <w:szCs w:val="21"/>
                <w:highlight w:val="none"/>
              </w:rPr>
            </w:pPr>
            <w:r>
              <w:rPr>
                <w:color w:val="auto"/>
                <w:kern w:val="0"/>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3" w:type="dxa"/>
            <w:vAlign w:val="center"/>
          </w:tcPr>
          <w:p>
            <w:pPr>
              <w:jc w:val="center"/>
              <w:rPr>
                <w:bCs/>
                <w:color w:val="auto"/>
                <w:szCs w:val="21"/>
                <w:highlight w:val="none"/>
              </w:rPr>
            </w:pPr>
            <w:r>
              <w:rPr>
                <w:bCs/>
                <w:color w:val="auto"/>
                <w:szCs w:val="21"/>
                <w:highlight w:val="none"/>
              </w:rPr>
              <w:t>9</w:t>
            </w:r>
          </w:p>
        </w:tc>
        <w:tc>
          <w:tcPr>
            <w:tcW w:w="3116" w:type="dxa"/>
            <w:vAlign w:val="center"/>
          </w:tcPr>
          <w:p>
            <w:pPr>
              <w:jc w:val="center"/>
              <w:rPr>
                <w:color w:val="auto"/>
                <w:szCs w:val="21"/>
                <w:highlight w:val="none"/>
              </w:rPr>
            </w:pPr>
            <w:r>
              <w:rPr>
                <w:color w:val="auto"/>
                <w:szCs w:val="21"/>
                <w:highlight w:val="none"/>
              </w:rPr>
              <w:t>粪大肠菌群（个/L）</w:t>
            </w:r>
          </w:p>
        </w:tc>
        <w:tc>
          <w:tcPr>
            <w:tcW w:w="3393" w:type="dxa"/>
            <w:vAlign w:val="center"/>
          </w:tcPr>
          <w:p>
            <w:pPr>
              <w:widowControl/>
              <w:jc w:val="center"/>
              <w:rPr>
                <w:color w:val="auto"/>
                <w:kern w:val="0"/>
                <w:szCs w:val="21"/>
                <w:highlight w:val="none"/>
              </w:rPr>
            </w:pPr>
            <w:r>
              <w:rPr>
                <w:color w:val="auto"/>
                <w:kern w:val="0"/>
                <w:szCs w:val="21"/>
                <w:highlight w:val="none"/>
              </w:rPr>
              <w:t>≤10000</w:t>
            </w:r>
          </w:p>
        </w:tc>
      </w:tr>
    </w:tbl>
    <w:p>
      <w:pPr>
        <w:spacing w:line="360" w:lineRule="auto"/>
        <w:ind w:firstLine="482" w:firstLineChars="200"/>
        <w:rPr>
          <w:b/>
          <w:bCs/>
          <w:color w:val="auto"/>
          <w:sz w:val="24"/>
          <w:highlight w:val="none"/>
        </w:rPr>
      </w:pPr>
      <w:r>
        <w:rPr>
          <w:rFonts w:hint="eastAsia"/>
          <w:b/>
          <w:bCs/>
          <w:color w:val="auto"/>
          <w:sz w:val="24"/>
          <w:highlight w:val="none"/>
          <w:lang w:val="en-US" w:eastAsia="zh-CN"/>
        </w:rPr>
        <w:t>3</w:t>
      </w:r>
      <w:r>
        <w:rPr>
          <w:b/>
          <w:bCs/>
          <w:color w:val="auto"/>
          <w:sz w:val="24"/>
          <w:highlight w:val="none"/>
        </w:rPr>
        <w:t>、声环境质量标准</w:t>
      </w:r>
    </w:p>
    <w:p>
      <w:pPr>
        <w:spacing w:line="360" w:lineRule="auto"/>
        <w:ind w:firstLine="480" w:firstLineChars="200"/>
        <w:rPr>
          <w:color w:val="auto"/>
          <w:sz w:val="24"/>
          <w:highlight w:val="none"/>
        </w:rPr>
      </w:pPr>
      <w:r>
        <w:rPr>
          <w:color w:val="auto"/>
          <w:sz w:val="24"/>
          <w:highlight w:val="none"/>
        </w:rPr>
        <w:t>项目位于寻甸</w:t>
      </w:r>
      <w:r>
        <w:rPr>
          <w:rFonts w:hint="eastAsia"/>
          <w:color w:val="auto"/>
          <w:sz w:val="24"/>
          <w:highlight w:val="none"/>
          <w:lang w:val="en-US" w:eastAsia="zh-CN"/>
        </w:rPr>
        <w:t>县仁德街道三月三村</w:t>
      </w:r>
      <w:r>
        <w:rPr>
          <w:color w:val="auto"/>
          <w:sz w:val="24"/>
          <w:highlight w:val="none"/>
        </w:rPr>
        <w:t>，所在区域属于</w:t>
      </w:r>
      <w:r>
        <w:rPr>
          <w:rFonts w:hint="eastAsia"/>
          <w:color w:val="auto"/>
          <w:sz w:val="24"/>
          <w:highlight w:val="none"/>
          <w:lang w:val="en-US" w:eastAsia="zh-CN"/>
        </w:rPr>
        <w:t>居住、商业、工业混杂区</w:t>
      </w:r>
      <w:r>
        <w:rPr>
          <w:color w:val="auto"/>
          <w:sz w:val="24"/>
          <w:highlight w:val="none"/>
        </w:rPr>
        <w:t>，</w:t>
      </w:r>
      <w:r>
        <w:rPr>
          <w:rFonts w:hint="eastAsia"/>
          <w:color w:val="auto"/>
          <w:sz w:val="24"/>
          <w:highlight w:val="none"/>
          <w:lang w:val="en-US" w:eastAsia="zh-CN"/>
        </w:rPr>
        <w:t>项目厂界北侧15m为S102省道（柯沙线），S102省道属于二级公路，因此项目临S102省道边界向外至项目北侧边界30m区域范围内执行《声环境质量标准》（GB3096-2008）4a类标准，其他区域为居住、商业、工业混杂区，属于2类区域，执行</w:t>
      </w:r>
      <w:r>
        <w:rPr>
          <w:color w:val="auto"/>
          <w:sz w:val="24"/>
          <w:highlight w:val="none"/>
        </w:rPr>
        <w:t>《声环境质量标准》（GB3096-2008）</w:t>
      </w:r>
      <w:r>
        <w:rPr>
          <w:rFonts w:hint="eastAsia"/>
          <w:color w:val="auto"/>
          <w:sz w:val="24"/>
          <w:highlight w:val="none"/>
          <w:lang w:val="en-US" w:eastAsia="zh-CN"/>
        </w:rPr>
        <w:t>2</w:t>
      </w:r>
      <w:r>
        <w:rPr>
          <w:color w:val="auto"/>
          <w:sz w:val="24"/>
          <w:highlight w:val="none"/>
        </w:rPr>
        <w:t>类区标准。</w:t>
      </w:r>
    </w:p>
    <w:p>
      <w:pPr>
        <w:spacing w:line="360" w:lineRule="auto"/>
        <w:jc w:val="center"/>
        <w:rPr>
          <w:b/>
          <w:bCs/>
          <w:color w:val="auto"/>
          <w:sz w:val="24"/>
          <w:highlight w:val="none"/>
        </w:rPr>
      </w:pPr>
      <w:r>
        <w:rPr>
          <w:b/>
          <w:bCs/>
          <w:color w:val="auto"/>
          <w:sz w:val="24"/>
          <w:highlight w:val="none"/>
        </w:rPr>
        <w:t>表1.4-</w:t>
      </w:r>
      <w:r>
        <w:rPr>
          <w:rFonts w:hint="eastAsia"/>
          <w:b/>
          <w:bCs/>
          <w:color w:val="auto"/>
          <w:sz w:val="24"/>
          <w:highlight w:val="none"/>
          <w:lang w:val="en-US" w:eastAsia="zh-CN"/>
        </w:rPr>
        <w:t>3</w:t>
      </w:r>
      <w:r>
        <w:rPr>
          <w:b/>
          <w:bCs/>
          <w:color w:val="auto"/>
          <w:sz w:val="24"/>
          <w:highlight w:val="none"/>
        </w:rPr>
        <w:t xml:space="preserve">  声环境质量标准限值    单位：dB（A）</w:t>
      </w:r>
    </w:p>
    <w:tbl>
      <w:tblPr>
        <w:tblStyle w:val="55"/>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2129"/>
        <w:gridCol w:w="2133"/>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44" w:type="dxa"/>
            <w:vAlign w:val="center"/>
          </w:tcPr>
          <w:p>
            <w:pPr>
              <w:widowControl/>
              <w:jc w:val="center"/>
              <w:rPr>
                <w:b/>
                <w:bCs/>
                <w:color w:val="auto"/>
                <w:szCs w:val="21"/>
                <w:highlight w:val="none"/>
              </w:rPr>
            </w:pPr>
            <w:r>
              <w:rPr>
                <w:b/>
                <w:bCs/>
                <w:color w:val="auto"/>
                <w:kern w:val="0"/>
                <w:szCs w:val="21"/>
                <w:highlight w:val="none"/>
                <w:lang w:bidi="ar"/>
              </w:rPr>
              <w:t>区域</w:t>
            </w:r>
          </w:p>
        </w:tc>
        <w:tc>
          <w:tcPr>
            <w:tcW w:w="2129" w:type="dxa"/>
            <w:vAlign w:val="center"/>
          </w:tcPr>
          <w:p>
            <w:pPr>
              <w:widowControl/>
              <w:jc w:val="center"/>
              <w:rPr>
                <w:b/>
                <w:bCs/>
                <w:color w:val="auto"/>
                <w:szCs w:val="21"/>
                <w:highlight w:val="none"/>
              </w:rPr>
            </w:pPr>
            <w:r>
              <w:rPr>
                <w:b/>
                <w:bCs/>
                <w:color w:val="auto"/>
                <w:kern w:val="0"/>
                <w:szCs w:val="21"/>
                <w:highlight w:val="none"/>
                <w:lang w:bidi="ar"/>
              </w:rPr>
              <w:t>类别</w:t>
            </w:r>
          </w:p>
        </w:tc>
        <w:tc>
          <w:tcPr>
            <w:tcW w:w="2133" w:type="dxa"/>
            <w:vAlign w:val="center"/>
          </w:tcPr>
          <w:p>
            <w:pPr>
              <w:widowControl/>
              <w:jc w:val="center"/>
              <w:rPr>
                <w:b/>
                <w:bCs/>
                <w:color w:val="auto"/>
                <w:szCs w:val="21"/>
                <w:highlight w:val="none"/>
              </w:rPr>
            </w:pPr>
            <w:r>
              <w:rPr>
                <w:b/>
                <w:bCs/>
                <w:color w:val="auto"/>
                <w:kern w:val="0"/>
                <w:szCs w:val="21"/>
                <w:highlight w:val="none"/>
                <w:lang w:bidi="ar"/>
              </w:rPr>
              <w:t>昼间</w:t>
            </w:r>
          </w:p>
        </w:tc>
        <w:tc>
          <w:tcPr>
            <w:tcW w:w="2029" w:type="dxa"/>
            <w:vAlign w:val="center"/>
          </w:tcPr>
          <w:p>
            <w:pPr>
              <w:widowControl/>
              <w:jc w:val="center"/>
              <w:rPr>
                <w:b/>
                <w:bCs/>
                <w:color w:val="auto"/>
                <w:szCs w:val="21"/>
                <w:highlight w:val="none"/>
              </w:rPr>
            </w:pPr>
            <w:r>
              <w:rPr>
                <w:b/>
                <w:bCs/>
                <w:color w:val="auto"/>
                <w:kern w:val="0"/>
                <w:szCs w:val="21"/>
                <w:highlight w:val="none"/>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044" w:type="dxa"/>
            <w:vMerge w:val="restart"/>
            <w:vAlign w:val="center"/>
          </w:tcPr>
          <w:p>
            <w:pPr>
              <w:widowControl/>
              <w:jc w:val="center"/>
              <w:rPr>
                <w:color w:val="auto"/>
                <w:szCs w:val="21"/>
                <w:highlight w:val="none"/>
              </w:rPr>
            </w:pPr>
            <w:r>
              <w:rPr>
                <w:color w:val="auto"/>
                <w:kern w:val="0"/>
                <w:szCs w:val="21"/>
                <w:highlight w:val="none"/>
                <w:lang w:bidi="ar"/>
              </w:rPr>
              <w:t>项目区域</w:t>
            </w:r>
          </w:p>
        </w:tc>
        <w:tc>
          <w:tcPr>
            <w:tcW w:w="2129" w:type="dxa"/>
            <w:vAlign w:val="center"/>
          </w:tcPr>
          <w:p>
            <w:pPr>
              <w:widowControl/>
              <w:jc w:val="center"/>
              <w:rPr>
                <w:color w:val="auto"/>
                <w:szCs w:val="21"/>
                <w:highlight w:val="none"/>
              </w:rPr>
            </w:pPr>
            <w:r>
              <w:rPr>
                <w:rFonts w:hint="eastAsia"/>
                <w:color w:val="auto"/>
                <w:kern w:val="0"/>
                <w:szCs w:val="21"/>
                <w:highlight w:val="none"/>
                <w:lang w:val="en-US" w:eastAsia="zh-CN" w:bidi="ar"/>
              </w:rPr>
              <w:t>2</w:t>
            </w:r>
            <w:r>
              <w:rPr>
                <w:color w:val="auto"/>
                <w:kern w:val="0"/>
                <w:szCs w:val="21"/>
                <w:highlight w:val="none"/>
                <w:lang w:bidi="ar"/>
              </w:rPr>
              <w:t>类</w:t>
            </w:r>
          </w:p>
        </w:tc>
        <w:tc>
          <w:tcPr>
            <w:tcW w:w="2133" w:type="dxa"/>
            <w:vAlign w:val="center"/>
          </w:tcPr>
          <w:p>
            <w:pPr>
              <w:widowControl/>
              <w:jc w:val="center"/>
              <w:rPr>
                <w:rFonts w:hint="default" w:eastAsia="宋体"/>
                <w:color w:val="auto"/>
                <w:szCs w:val="21"/>
                <w:highlight w:val="none"/>
                <w:lang w:val="en-US" w:eastAsia="zh-CN"/>
              </w:rPr>
            </w:pPr>
            <w:r>
              <w:rPr>
                <w:rFonts w:hint="eastAsia"/>
                <w:color w:val="auto"/>
                <w:kern w:val="0"/>
                <w:szCs w:val="21"/>
                <w:highlight w:val="none"/>
                <w:lang w:val="en-US" w:eastAsia="zh-CN" w:bidi="ar"/>
              </w:rPr>
              <w:t>60</w:t>
            </w:r>
          </w:p>
        </w:tc>
        <w:tc>
          <w:tcPr>
            <w:tcW w:w="2029" w:type="dxa"/>
            <w:vAlign w:val="center"/>
          </w:tcPr>
          <w:p>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044" w:type="dxa"/>
            <w:vMerge w:val="continue"/>
            <w:vAlign w:val="center"/>
          </w:tcPr>
          <w:p>
            <w:pPr>
              <w:widowControl/>
              <w:jc w:val="center"/>
              <w:rPr>
                <w:color w:val="auto"/>
                <w:kern w:val="0"/>
                <w:szCs w:val="21"/>
                <w:highlight w:val="none"/>
                <w:lang w:bidi="ar"/>
              </w:rPr>
            </w:pPr>
          </w:p>
        </w:tc>
        <w:tc>
          <w:tcPr>
            <w:tcW w:w="2129" w:type="dxa"/>
            <w:vAlign w:val="center"/>
          </w:tcPr>
          <w:p>
            <w:pPr>
              <w:widowControl/>
              <w:jc w:val="center"/>
              <w:rPr>
                <w:rFonts w:hint="default"/>
                <w:color w:val="auto"/>
                <w:highlight w:val="none"/>
                <w:lang w:val="en-US" w:eastAsia="zh-CN"/>
              </w:rPr>
            </w:pPr>
            <w:r>
              <w:rPr>
                <w:rFonts w:hint="eastAsia"/>
                <w:color w:val="auto"/>
                <w:kern w:val="0"/>
                <w:szCs w:val="21"/>
                <w:highlight w:val="none"/>
                <w:lang w:val="en-US" w:eastAsia="zh-CN" w:bidi="ar"/>
              </w:rPr>
              <w:t>4a类</w:t>
            </w:r>
          </w:p>
        </w:tc>
        <w:tc>
          <w:tcPr>
            <w:tcW w:w="2133" w:type="dxa"/>
            <w:vAlign w:val="center"/>
          </w:tcPr>
          <w:p>
            <w:pPr>
              <w:widowControl/>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70</w:t>
            </w:r>
          </w:p>
        </w:tc>
        <w:tc>
          <w:tcPr>
            <w:tcW w:w="2029" w:type="dxa"/>
            <w:vAlign w:val="center"/>
          </w:tcPr>
          <w:p>
            <w:pPr>
              <w:widowControl/>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55</w:t>
            </w:r>
          </w:p>
        </w:tc>
      </w:tr>
    </w:tbl>
    <w:p>
      <w:pPr>
        <w:spacing w:line="360" w:lineRule="auto"/>
        <w:ind w:firstLine="482" w:firstLineChars="200"/>
        <w:rPr>
          <w:b/>
          <w:bCs/>
          <w:color w:val="auto"/>
          <w:sz w:val="24"/>
          <w:highlight w:val="none"/>
        </w:rPr>
      </w:pPr>
      <w:r>
        <w:rPr>
          <w:rFonts w:hint="eastAsia"/>
          <w:b/>
          <w:bCs/>
          <w:color w:val="auto"/>
          <w:sz w:val="24"/>
          <w:highlight w:val="none"/>
          <w:lang w:val="en-US" w:eastAsia="zh-CN"/>
        </w:rPr>
        <w:t>4</w:t>
      </w:r>
      <w:r>
        <w:rPr>
          <w:b/>
          <w:bCs/>
          <w:color w:val="auto"/>
          <w:sz w:val="24"/>
          <w:highlight w:val="none"/>
        </w:rPr>
        <w:t>、土壤环境质量标准</w:t>
      </w:r>
    </w:p>
    <w:p>
      <w:pPr>
        <w:spacing w:line="360" w:lineRule="auto"/>
        <w:ind w:firstLine="480" w:firstLineChars="200"/>
        <w:rPr>
          <w:color w:val="auto"/>
          <w:kern w:val="28"/>
          <w:sz w:val="24"/>
          <w:highlight w:val="none"/>
        </w:rPr>
      </w:pPr>
      <w:r>
        <w:rPr>
          <w:color w:val="auto"/>
          <w:kern w:val="28"/>
          <w:sz w:val="24"/>
          <w:highlight w:val="none"/>
        </w:rPr>
        <w:t>建设项目用地性质为建设用地，土壤环境执行《土壤环境质量 建设用地土壤污染风险管控标准（试行）》（GB36600-2018）</w:t>
      </w:r>
      <w:r>
        <w:rPr>
          <w:color w:val="auto"/>
          <w:sz w:val="24"/>
          <w:highlight w:val="none"/>
        </w:rPr>
        <w:t>中第二类用地风险筛选值</w:t>
      </w:r>
      <w:r>
        <w:rPr>
          <w:color w:val="auto"/>
          <w:kern w:val="28"/>
          <w:sz w:val="24"/>
          <w:highlight w:val="none"/>
        </w:rPr>
        <w:t>。</w:t>
      </w:r>
    </w:p>
    <w:p>
      <w:pPr>
        <w:pStyle w:val="485"/>
        <w:ind w:firstLine="0" w:firstLineChars="0"/>
        <w:jc w:val="center"/>
        <w:rPr>
          <w:rFonts w:hAnsi="Times New Roman"/>
          <w:b/>
          <w:color w:val="auto"/>
          <w:highlight w:val="none"/>
        </w:rPr>
      </w:pPr>
      <w:r>
        <w:rPr>
          <w:rFonts w:hAnsi="Times New Roman"/>
          <w:b/>
          <w:bCs/>
          <w:color w:val="auto"/>
          <w:highlight w:val="none"/>
        </w:rPr>
        <w:t>表1.4-</w:t>
      </w:r>
      <w:r>
        <w:rPr>
          <w:rFonts w:hint="eastAsia" w:hAnsi="Times New Roman"/>
          <w:b/>
          <w:bCs/>
          <w:color w:val="auto"/>
          <w:highlight w:val="none"/>
          <w:lang w:val="en-US" w:eastAsia="zh-CN"/>
        </w:rPr>
        <w:t>4</w:t>
      </w:r>
      <w:r>
        <w:rPr>
          <w:rFonts w:hAnsi="Times New Roman"/>
          <w:b/>
          <w:bCs/>
          <w:color w:val="auto"/>
          <w:highlight w:val="none"/>
        </w:rPr>
        <w:t xml:space="preserve">  土壤环境质量标准    </w:t>
      </w:r>
      <w:r>
        <w:rPr>
          <w:rFonts w:hAnsi="Times New Roman"/>
          <w:b/>
          <w:color w:val="auto"/>
          <w:szCs w:val="24"/>
          <w:highlight w:val="none"/>
        </w:rPr>
        <w:t>单位：mg/kg</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2"/>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212" w:type="dxa"/>
            <w:vMerge w:val="restart"/>
            <w:vAlign w:val="center"/>
          </w:tcPr>
          <w:p>
            <w:pPr>
              <w:jc w:val="center"/>
              <w:rPr>
                <w:color w:val="auto"/>
                <w:highlight w:val="none"/>
              </w:rPr>
            </w:pPr>
            <w:bookmarkStart w:id="240" w:name="_Toc341369382"/>
            <w:r>
              <w:rPr>
                <w:color w:val="auto"/>
                <w:highlight w:val="none"/>
              </w:rPr>
              <w:t>污染物项目</w:t>
            </w:r>
          </w:p>
        </w:tc>
        <w:tc>
          <w:tcPr>
            <w:tcW w:w="3310" w:type="dxa"/>
            <w:vAlign w:val="center"/>
          </w:tcPr>
          <w:p>
            <w:pPr>
              <w:jc w:val="center"/>
              <w:rPr>
                <w:color w:val="auto"/>
                <w:highlight w:val="none"/>
              </w:rPr>
            </w:pPr>
            <w:r>
              <w:rPr>
                <w:color w:val="auto"/>
                <w:highlight w:val="none"/>
              </w:rP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212" w:type="dxa"/>
            <w:vMerge w:val="continue"/>
            <w:vAlign w:val="center"/>
          </w:tcPr>
          <w:p>
            <w:pPr>
              <w:jc w:val="center"/>
              <w:rPr>
                <w:color w:val="auto"/>
                <w:highlight w:val="none"/>
              </w:rPr>
            </w:pPr>
          </w:p>
        </w:tc>
        <w:tc>
          <w:tcPr>
            <w:tcW w:w="3310" w:type="dxa"/>
            <w:vAlign w:val="center"/>
          </w:tcPr>
          <w:p>
            <w:pPr>
              <w:jc w:val="center"/>
              <w:rPr>
                <w:color w:val="auto"/>
                <w:highlight w:val="none"/>
              </w:rPr>
            </w:pPr>
            <w:r>
              <w:rPr>
                <w:color w:val="auto"/>
                <w:highlight w:val="none"/>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22" w:type="dxa"/>
            <w:gridSpan w:val="2"/>
            <w:vAlign w:val="center"/>
          </w:tcPr>
          <w:p>
            <w:pPr>
              <w:jc w:val="center"/>
              <w:rPr>
                <w:color w:val="auto"/>
                <w:highlight w:val="none"/>
              </w:rPr>
            </w:pPr>
            <w:r>
              <w:rPr>
                <w:color w:val="auto"/>
                <w:highlight w:val="none"/>
              </w:rPr>
              <w:t>贵金属和无机物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砷≤</w:t>
            </w:r>
          </w:p>
        </w:tc>
        <w:tc>
          <w:tcPr>
            <w:tcW w:w="3310" w:type="dxa"/>
            <w:vAlign w:val="center"/>
          </w:tcPr>
          <w:p>
            <w:pPr>
              <w:jc w:val="center"/>
              <w:rPr>
                <w:color w:val="auto"/>
                <w:highlight w:val="none"/>
              </w:rPr>
            </w:pPr>
            <w:r>
              <w:rPr>
                <w:color w:val="auto"/>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镉≤</w:t>
            </w:r>
          </w:p>
        </w:tc>
        <w:tc>
          <w:tcPr>
            <w:tcW w:w="3310" w:type="dxa"/>
            <w:vAlign w:val="center"/>
          </w:tcPr>
          <w:p>
            <w:pPr>
              <w:jc w:val="center"/>
              <w:rPr>
                <w:color w:val="auto"/>
                <w:highlight w:val="none"/>
              </w:rPr>
            </w:pPr>
            <w:r>
              <w:rPr>
                <w:color w:val="auto"/>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铬（六价）≤</w:t>
            </w:r>
          </w:p>
        </w:tc>
        <w:tc>
          <w:tcPr>
            <w:tcW w:w="3310" w:type="dxa"/>
            <w:vAlign w:val="center"/>
          </w:tcPr>
          <w:p>
            <w:pPr>
              <w:jc w:val="center"/>
              <w:rPr>
                <w:color w:val="auto"/>
                <w:highlight w:val="none"/>
              </w:rPr>
            </w:pPr>
            <w:r>
              <w:rPr>
                <w:color w:val="auto"/>
                <w:highlight w:val="none"/>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铜≤</w:t>
            </w:r>
          </w:p>
        </w:tc>
        <w:tc>
          <w:tcPr>
            <w:tcW w:w="3310" w:type="dxa"/>
            <w:vAlign w:val="center"/>
          </w:tcPr>
          <w:p>
            <w:pPr>
              <w:jc w:val="center"/>
              <w:rPr>
                <w:color w:val="auto"/>
                <w:highlight w:val="none"/>
              </w:rPr>
            </w:pPr>
            <w:r>
              <w:rPr>
                <w:color w:val="auto"/>
                <w:highlight w:val="none"/>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铅≤</w:t>
            </w:r>
          </w:p>
        </w:tc>
        <w:tc>
          <w:tcPr>
            <w:tcW w:w="3310" w:type="dxa"/>
            <w:vAlign w:val="center"/>
          </w:tcPr>
          <w:p>
            <w:pPr>
              <w:jc w:val="center"/>
              <w:rPr>
                <w:color w:val="auto"/>
                <w:highlight w:val="none"/>
              </w:rPr>
            </w:pPr>
            <w:r>
              <w:rPr>
                <w:color w:val="auto"/>
                <w:highlight w:val="none"/>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汞≤</w:t>
            </w:r>
          </w:p>
        </w:tc>
        <w:tc>
          <w:tcPr>
            <w:tcW w:w="3310" w:type="dxa"/>
            <w:vAlign w:val="center"/>
          </w:tcPr>
          <w:p>
            <w:pPr>
              <w:jc w:val="center"/>
              <w:rPr>
                <w:color w:val="auto"/>
                <w:highlight w:val="none"/>
              </w:rPr>
            </w:pPr>
            <w:r>
              <w:rPr>
                <w:color w:val="auto"/>
                <w:highlight w:val="none"/>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镍≤</w:t>
            </w:r>
          </w:p>
        </w:tc>
        <w:tc>
          <w:tcPr>
            <w:tcW w:w="3310" w:type="dxa"/>
            <w:vAlign w:val="center"/>
          </w:tcPr>
          <w:p>
            <w:pPr>
              <w:jc w:val="center"/>
              <w:rPr>
                <w:color w:val="auto"/>
                <w:highlight w:val="none"/>
              </w:rPr>
            </w:pPr>
            <w:r>
              <w:rPr>
                <w:color w:val="auto"/>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22" w:type="dxa"/>
            <w:gridSpan w:val="2"/>
            <w:vAlign w:val="center"/>
          </w:tcPr>
          <w:p>
            <w:pPr>
              <w:jc w:val="center"/>
              <w:rPr>
                <w:color w:val="auto"/>
                <w:highlight w:val="none"/>
              </w:rPr>
            </w:pPr>
            <w:r>
              <w:rPr>
                <w:color w:val="auto"/>
                <w:highlight w:val="none"/>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四氯化碳</w:t>
            </w:r>
          </w:p>
        </w:tc>
        <w:tc>
          <w:tcPr>
            <w:tcW w:w="3310" w:type="dxa"/>
            <w:vAlign w:val="center"/>
          </w:tcPr>
          <w:p>
            <w:pPr>
              <w:jc w:val="center"/>
              <w:rPr>
                <w:color w:val="auto"/>
                <w:highlight w:val="none"/>
              </w:rPr>
            </w:pPr>
            <w:r>
              <w:rPr>
                <w:color w:val="auto"/>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氯仿</w:t>
            </w:r>
          </w:p>
        </w:tc>
        <w:tc>
          <w:tcPr>
            <w:tcW w:w="3310" w:type="dxa"/>
            <w:vAlign w:val="center"/>
          </w:tcPr>
          <w:p>
            <w:pPr>
              <w:jc w:val="center"/>
              <w:rPr>
                <w:color w:val="auto"/>
                <w:highlight w:val="none"/>
              </w:rPr>
            </w:pPr>
            <w:r>
              <w:rPr>
                <w:color w:val="auto"/>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氯甲烷</w:t>
            </w:r>
          </w:p>
        </w:tc>
        <w:tc>
          <w:tcPr>
            <w:tcW w:w="3310" w:type="dxa"/>
            <w:vAlign w:val="center"/>
          </w:tcPr>
          <w:p>
            <w:pPr>
              <w:jc w:val="center"/>
              <w:rPr>
                <w:color w:val="auto"/>
                <w:highlight w:val="none"/>
              </w:rPr>
            </w:pPr>
            <w:r>
              <w:rPr>
                <w:color w:val="auto"/>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1,1-二氯乙烷</w:t>
            </w:r>
          </w:p>
        </w:tc>
        <w:tc>
          <w:tcPr>
            <w:tcW w:w="3310" w:type="dxa"/>
            <w:vAlign w:val="center"/>
          </w:tcPr>
          <w:p>
            <w:pPr>
              <w:jc w:val="center"/>
              <w:rPr>
                <w:color w:val="auto"/>
                <w:highlight w:val="none"/>
              </w:rPr>
            </w:pPr>
            <w:r>
              <w:rPr>
                <w:color w:val="auto"/>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1,2-二氯丙烷</w:t>
            </w:r>
          </w:p>
        </w:tc>
        <w:tc>
          <w:tcPr>
            <w:tcW w:w="3310" w:type="dxa"/>
            <w:vAlign w:val="center"/>
          </w:tcPr>
          <w:p>
            <w:pPr>
              <w:jc w:val="center"/>
              <w:rPr>
                <w:color w:val="auto"/>
                <w:highlight w:val="none"/>
              </w:rPr>
            </w:pPr>
            <w:r>
              <w:rPr>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1,1-二氯乙烯</w:t>
            </w:r>
          </w:p>
        </w:tc>
        <w:tc>
          <w:tcPr>
            <w:tcW w:w="3310" w:type="dxa"/>
            <w:vAlign w:val="center"/>
          </w:tcPr>
          <w:p>
            <w:pPr>
              <w:jc w:val="center"/>
              <w:rPr>
                <w:color w:val="auto"/>
                <w:highlight w:val="none"/>
              </w:rPr>
            </w:pPr>
            <w:r>
              <w:rPr>
                <w:color w:val="auto"/>
                <w:highlight w:val="none"/>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顺-1,2-二氯乙烯</w:t>
            </w:r>
          </w:p>
        </w:tc>
        <w:tc>
          <w:tcPr>
            <w:tcW w:w="3310" w:type="dxa"/>
            <w:vAlign w:val="center"/>
          </w:tcPr>
          <w:p>
            <w:pPr>
              <w:jc w:val="center"/>
              <w:rPr>
                <w:color w:val="auto"/>
                <w:highlight w:val="none"/>
              </w:rPr>
            </w:pPr>
            <w:r>
              <w:rPr>
                <w:color w:val="auto"/>
                <w:highlight w:val="none"/>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反-1,2-二氯乙烯</w:t>
            </w:r>
          </w:p>
        </w:tc>
        <w:tc>
          <w:tcPr>
            <w:tcW w:w="3310" w:type="dxa"/>
            <w:vAlign w:val="center"/>
          </w:tcPr>
          <w:p>
            <w:pPr>
              <w:jc w:val="center"/>
              <w:rPr>
                <w:color w:val="auto"/>
                <w:highlight w:val="none"/>
              </w:rPr>
            </w:pPr>
            <w:r>
              <w:rPr>
                <w:color w:val="auto"/>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二氯甲烷</w:t>
            </w:r>
          </w:p>
        </w:tc>
        <w:tc>
          <w:tcPr>
            <w:tcW w:w="3310" w:type="dxa"/>
            <w:vAlign w:val="center"/>
          </w:tcPr>
          <w:p>
            <w:pPr>
              <w:jc w:val="center"/>
              <w:rPr>
                <w:color w:val="auto"/>
                <w:highlight w:val="none"/>
              </w:rPr>
            </w:pPr>
            <w:r>
              <w:rPr>
                <w:color w:val="auto"/>
                <w:highlight w:val="none"/>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1,2-二氯丙烷</w:t>
            </w:r>
          </w:p>
        </w:tc>
        <w:tc>
          <w:tcPr>
            <w:tcW w:w="3310" w:type="dxa"/>
            <w:vAlign w:val="center"/>
          </w:tcPr>
          <w:p>
            <w:pPr>
              <w:jc w:val="center"/>
              <w:rPr>
                <w:color w:val="auto"/>
                <w:highlight w:val="none"/>
              </w:rPr>
            </w:pPr>
            <w:r>
              <w:rPr>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1,1,1,2-四氯乙烷</w:t>
            </w:r>
          </w:p>
        </w:tc>
        <w:tc>
          <w:tcPr>
            <w:tcW w:w="3310" w:type="dxa"/>
            <w:vAlign w:val="center"/>
          </w:tcPr>
          <w:p>
            <w:pPr>
              <w:jc w:val="center"/>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1,1,2,2-四氯乙烷</w:t>
            </w:r>
          </w:p>
        </w:tc>
        <w:tc>
          <w:tcPr>
            <w:tcW w:w="3310" w:type="dxa"/>
            <w:vAlign w:val="center"/>
          </w:tcPr>
          <w:p>
            <w:pPr>
              <w:jc w:val="center"/>
              <w:rPr>
                <w:color w:val="auto"/>
                <w:highlight w:val="none"/>
              </w:rPr>
            </w:pPr>
            <w:r>
              <w:rPr>
                <w:color w:val="auto"/>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四氯乙烯</w:t>
            </w:r>
          </w:p>
        </w:tc>
        <w:tc>
          <w:tcPr>
            <w:tcW w:w="3310" w:type="dxa"/>
            <w:vAlign w:val="center"/>
          </w:tcPr>
          <w:p>
            <w:pPr>
              <w:jc w:val="center"/>
              <w:rPr>
                <w:color w:val="auto"/>
                <w:highlight w:val="none"/>
              </w:rPr>
            </w:pPr>
            <w:r>
              <w:rPr>
                <w:color w:val="auto"/>
                <w:highlight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1,1,1-三氯乙烷</w:t>
            </w:r>
          </w:p>
        </w:tc>
        <w:tc>
          <w:tcPr>
            <w:tcW w:w="3310" w:type="dxa"/>
            <w:vAlign w:val="center"/>
          </w:tcPr>
          <w:p>
            <w:pPr>
              <w:jc w:val="center"/>
              <w:rPr>
                <w:color w:val="auto"/>
                <w:highlight w:val="none"/>
              </w:rPr>
            </w:pPr>
            <w:r>
              <w:rPr>
                <w:color w:val="auto"/>
                <w:highlight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1,1,2-三氯乙烷</w:t>
            </w:r>
          </w:p>
        </w:tc>
        <w:tc>
          <w:tcPr>
            <w:tcW w:w="3310" w:type="dxa"/>
            <w:vAlign w:val="center"/>
          </w:tcPr>
          <w:p>
            <w:pPr>
              <w:jc w:val="center"/>
              <w:rPr>
                <w:color w:val="auto"/>
                <w:highlight w:val="none"/>
              </w:rPr>
            </w:pPr>
            <w:r>
              <w:rPr>
                <w:color w:val="auto"/>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三氯乙烯</w:t>
            </w:r>
          </w:p>
        </w:tc>
        <w:tc>
          <w:tcPr>
            <w:tcW w:w="3310" w:type="dxa"/>
            <w:vAlign w:val="center"/>
          </w:tcPr>
          <w:p>
            <w:pPr>
              <w:jc w:val="center"/>
              <w:rPr>
                <w:color w:val="auto"/>
                <w:highlight w:val="none"/>
              </w:rPr>
            </w:pPr>
            <w:r>
              <w:rPr>
                <w:color w:val="auto"/>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1,2,3-三氯丙烷</w:t>
            </w:r>
          </w:p>
        </w:tc>
        <w:tc>
          <w:tcPr>
            <w:tcW w:w="3310" w:type="dxa"/>
            <w:vAlign w:val="center"/>
          </w:tcPr>
          <w:p>
            <w:pPr>
              <w:jc w:val="center"/>
              <w:rPr>
                <w:color w:val="auto"/>
                <w:highlight w:val="none"/>
              </w:rPr>
            </w:pPr>
            <w:r>
              <w:rPr>
                <w:color w:val="auto"/>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氯乙烯</w:t>
            </w:r>
          </w:p>
        </w:tc>
        <w:tc>
          <w:tcPr>
            <w:tcW w:w="3310" w:type="dxa"/>
            <w:vAlign w:val="center"/>
          </w:tcPr>
          <w:p>
            <w:pPr>
              <w:jc w:val="center"/>
              <w:rPr>
                <w:color w:val="auto"/>
                <w:highlight w:val="none"/>
              </w:rPr>
            </w:pPr>
            <w:r>
              <w:rPr>
                <w:color w:val="auto"/>
                <w:highlight w:val="none"/>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苯</w:t>
            </w:r>
          </w:p>
        </w:tc>
        <w:tc>
          <w:tcPr>
            <w:tcW w:w="3310" w:type="dxa"/>
            <w:vAlign w:val="center"/>
          </w:tcPr>
          <w:p>
            <w:pPr>
              <w:jc w:val="center"/>
              <w:rPr>
                <w:color w:val="auto"/>
                <w:highlight w:val="none"/>
              </w:rPr>
            </w:pPr>
            <w:r>
              <w:rPr>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氯苯</w:t>
            </w:r>
          </w:p>
        </w:tc>
        <w:tc>
          <w:tcPr>
            <w:tcW w:w="3310" w:type="dxa"/>
            <w:vAlign w:val="center"/>
          </w:tcPr>
          <w:p>
            <w:pPr>
              <w:jc w:val="center"/>
              <w:rPr>
                <w:color w:val="auto"/>
                <w:highlight w:val="none"/>
              </w:rPr>
            </w:pPr>
            <w:r>
              <w:rPr>
                <w:color w:val="auto"/>
                <w:highlight w:val="none"/>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1,2-二氯苯</w:t>
            </w:r>
          </w:p>
        </w:tc>
        <w:tc>
          <w:tcPr>
            <w:tcW w:w="3310" w:type="dxa"/>
            <w:vAlign w:val="center"/>
          </w:tcPr>
          <w:p>
            <w:pPr>
              <w:jc w:val="center"/>
              <w:rPr>
                <w:color w:val="auto"/>
                <w:highlight w:val="none"/>
              </w:rPr>
            </w:pPr>
            <w:r>
              <w:rPr>
                <w:color w:val="auto"/>
                <w:highlight w:val="none"/>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1,4-二氯苯</w:t>
            </w:r>
          </w:p>
        </w:tc>
        <w:tc>
          <w:tcPr>
            <w:tcW w:w="3310" w:type="dxa"/>
            <w:vAlign w:val="center"/>
          </w:tcPr>
          <w:p>
            <w:pPr>
              <w:jc w:val="center"/>
              <w:rPr>
                <w:color w:val="auto"/>
                <w:highlight w:val="none"/>
              </w:rPr>
            </w:pPr>
            <w:r>
              <w:rPr>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乙苯</w:t>
            </w:r>
          </w:p>
        </w:tc>
        <w:tc>
          <w:tcPr>
            <w:tcW w:w="3310" w:type="dxa"/>
            <w:vAlign w:val="center"/>
          </w:tcPr>
          <w:p>
            <w:pPr>
              <w:jc w:val="center"/>
              <w:rPr>
                <w:color w:val="auto"/>
                <w:highlight w:val="none"/>
              </w:rPr>
            </w:pPr>
            <w:r>
              <w:rPr>
                <w:color w:val="auto"/>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苯乙烯</w:t>
            </w:r>
          </w:p>
        </w:tc>
        <w:tc>
          <w:tcPr>
            <w:tcW w:w="3310" w:type="dxa"/>
            <w:vAlign w:val="center"/>
          </w:tcPr>
          <w:p>
            <w:pPr>
              <w:jc w:val="center"/>
              <w:rPr>
                <w:color w:val="auto"/>
                <w:highlight w:val="none"/>
              </w:rPr>
            </w:pPr>
            <w:r>
              <w:rPr>
                <w:color w:val="auto"/>
                <w:highlight w:val="none"/>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甲苯</w:t>
            </w:r>
          </w:p>
        </w:tc>
        <w:tc>
          <w:tcPr>
            <w:tcW w:w="3310" w:type="dxa"/>
            <w:vAlign w:val="center"/>
          </w:tcPr>
          <w:p>
            <w:pPr>
              <w:jc w:val="center"/>
              <w:rPr>
                <w:color w:val="auto"/>
                <w:highlight w:val="none"/>
              </w:rPr>
            </w:pPr>
            <w:r>
              <w:rPr>
                <w:color w:val="auto"/>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（间、对）二甲苯</w:t>
            </w:r>
          </w:p>
        </w:tc>
        <w:tc>
          <w:tcPr>
            <w:tcW w:w="3310" w:type="dxa"/>
            <w:vAlign w:val="center"/>
          </w:tcPr>
          <w:p>
            <w:pPr>
              <w:jc w:val="center"/>
              <w:rPr>
                <w:color w:val="auto"/>
                <w:highlight w:val="none"/>
              </w:rPr>
            </w:pPr>
            <w:r>
              <w:rPr>
                <w:color w:val="auto"/>
                <w:highlight w:val="none"/>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邻二甲苯</w:t>
            </w:r>
          </w:p>
        </w:tc>
        <w:tc>
          <w:tcPr>
            <w:tcW w:w="3310" w:type="dxa"/>
            <w:vAlign w:val="center"/>
          </w:tcPr>
          <w:p>
            <w:pPr>
              <w:jc w:val="center"/>
              <w:rPr>
                <w:color w:val="auto"/>
                <w:highlight w:val="none"/>
              </w:rPr>
            </w:pPr>
            <w:r>
              <w:rPr>
                <w:color w:val="auto"/>
                <w:highlight w:val="none"/>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22" w:type="dxa"/>
            <w:gridSpan w:val="2"/>
            <w:vAlign w:val="center"/>
          </w:tcPr>
          <w:p>
            <w:pPr>
              <w:jc w:val="center"/>
              <w:rPr>
                <w:color w:val="auto"/>
                <w:highlight w:val="none"/>
              </w:rPr>
            </w:pPr>
            <w:r>
              <w:rPr>
                <w:color w:val="auto"/>
                <w:highlight w:val="none"/>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硝基苯</w:t>
            </w:r>
          </w:p>
        </w:tc>
        <w:tc>
          <w:tcPr>
            <w:tcW w:w="3310" w:type="dxa"/>
            <w:vAlign w:val="center"/>
          </w:tcPr>
          <w:p>
            <w:pPr>
              <w:jc w:val="center"/>
              <w:rPr>
                <w:color w:val="auto"/>
                <w:highlight w:val="none"/>
              </w:rPr>
            </w:pPr>
            <w:r>
              <w:rPr>
                <w:color w:val="auto"/>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苯胺</w:t>
            </w:r>
          </w:p>
        </w:tc>
        <w:tc>
          <w:tcPr>
            <w:tcW w:w="3310" w:type="dxa"/>
            <w:vAlign w:val="center"/>
          </w:tcPr>
          <w:p>
            <w:pPr>
              <w:jc w:val="center"/>
              <w:rPr>
                <w:color w:val="auto"/>
                <w:highlight w:val="none"/>
              </w:rPr>
            </w:pPr>
            <w:r>
              <w:rPr>
                <w:color w:val="auto"/>
                <w:highlight w:val="none"/>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2-氯酚</w:t>
            </w:r>
          </w:p>
        </w:tc>
        <w:tc>
          <w:tcPr>
            <w:tcW w:w="3310" w:type="dxa"/>
            <w:vAlign w:val="center"/>
          </w:tcPr>
          <w:p>
            <w:pPr>
              <w:jc w:val="center"/>
              <w:rPr>
                <w:color w:val="auto"/>
                <w:highlight w:val="none"/>
              </w:rPr>
            </w:pPr>
            <w:r>
              <w:rPr>
                <w:color w:val="auto"/>
                <w:highlight w:val="none"/>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苯并[a]蒽</w:t>
            </w:r>
          </w:p>
        </w:tc>
        <w:tc>
          <w:tcPr>
            <w:tcW w:w="3310" w:type="dxa"/>
            <w:vAlign w:val="center"/>
          </w:tcPr>
          <w:p>
            <w:pPr>
              <w:jc w:val="cente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苯并[a]芘</w:t>
            </w:r>
          </w:p>
        </w:tc>
        <w:tc>
          <w:tcPr>
            <w:tcW w:w="3310" w:type="dxa"/>
            <w:vAlign w:val="center"/>
          </w:tcPr>
          <w:p>
            <w:pPr>
              <w:jc w:val="cente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苯并[b]荧蒽</w:t>
            </w:r>
          </w:p>
        </w:tc>
        <w:tc>
          <w:tcPr>
            <w:tcW w:w="3310" w:type="dxa"/>
            <w:vAlign w:val="center"/>
          </w:tcPr>
          <w:p>
            <w:pPr>
              <w:jc w:val="cente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苯并[k]荧蒽</w:t>
            </w:r>
          </w:p>
        </w:tc>
        <w:tc>
          <w:tcPr>
            <w:tcW w:w="3310" w:type="dxa"/>
            <w:vAlign w:val="center"/>
          </w:tcPr>
          <w:p>
            <w:pPr>
              <w:jc w:val="center"/>
              <w:rPr>
                <w:color w:val="auto"/>
                <w:highlight w:val="none"/>
              </w:rPr>
            </w:pPr>
            <w:r>
              <w:rPr>
                <w:color w:val="auto"/>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䓛</w:t>
            </w:r>
          </w:p>
        </w:tc>
        <w:tc>
          <w:tcPr>
            <w:tcW w:w="3310" w:type="dxa"/>
            <w:vAlign w:val="center"/>
          </w:tcPr>
          <w:p>
            <w:pPr>
              <w:jc w:val="center"/>
              <w:rPr>
                <w:color w:val="auto"/>
                <w:highlight w:val="none"/>
              </w:rPr>
            </w:pPr>
            <w:r>
              <w:rPr>
                <w:color w:val="auto"/>
                <w:highlight w:val="none"/>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二苯并[a,h]蒽</w:t>
            </w:r>
          </w:p>
        </w:tc>
        <w:tc>
          <w:tcPr>
            <w:tcW w:w="3310" w:type="dxa"/>
            <w:vAlign w:val="center"/>
          </w:tcPr>
          <w:p>
            <w:pPr>
              <w:jc w:val="cente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茚并[1,2,3-cd]芘</w:t>
            </w:r>
          </w:p>
        </w:tc>
        <w:tc>
          <w:tcPr>
            <w:tcW w:w="3310" w:type="dxa"/>
            <w:vAlign w:val="center"/>
          </w:tcPr>
          <w:p>
            <w:pPr>
              <w:jc w:val="cente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12" w:type="dxa"/>
            <w:vAlign w:val="center"/>
          </w:tcPr>
          <w:p>
            <w:pPr>
              <w:jc w:val="center"/>
              <w:rPr>
                <w:color w:val="auto"/>
                <w:highlight w:val="none"/>
              </w:rPr>
            </w:pPr>
            <w:r>
              <w:rPr>
                <w:color w:val="auto"/>
                <w:highlight w:val="none"/>
              </w:rPr>
              <w:t>萘</w:t>
            </w:r>
          </w:p>
        </w:tc>
        <w:tc>
          <w:tcPr>
            <w:tcW w:w="3310" w:type="dxa"/>
            <w:vAlign w:val="center"/>
          </w:tcPr>
          <w:p>
            <w:pPr>
              <w:jc w:val="center"/>
              <w:rPr>
                <w:color w:val="auto"/>
                <w:highlight w:val="none"/>
              </w:rPr>
            </w:pPr>
            <w:r>
              <w:rPr>
                <w:color w:val="auto"/>
                <w:highlight w:val="none"/>
              </w:rPr>
              <w:t>70</w:t>
            </w:r>
          </w:p>
        </w:tc>
      </w:tr>
    </w:tbl>
    <w:p>
      <w:pPr>
        <w:keepNext/>
        <w:keepLines/>
        <w:spacing w:line="360" w:lineRule="auto"/>
        <w:outlineLvl w:val="2"/>
        <w:rPr>
          <w:b/>
          <w:bCs/>
          <w:color w:val="auto"/>
          <w:sz w:val="24"/>
          <w:highlight w:val="none"/>
        </w:rPr>
      </w:pPr>
      <w:bookmarkStart w:id="241" w:name="_Toc13391"/>
      <w:bookmarkStart w:id="242" w:name="_Toc75908605"/>
      <w:r>
        <w:rPr>
          <w:b/>
          <w:bCs/>
          <w:color w:val="auto"/>
          <w:sz w:val="24"/>
          <w:highlight w:val="none"/>
        </w:rPr>
        <w:t>1.4.2</w:t>
      </w:r>
      <w:bookmarkEnd w:id="240"/>
      <w:r>
        <w:rPr>
          <w:b/>
          <w:bCs/>
          <w:color w:val="auto"/>
          <w:sz w:val="24"/>
          <w:highlight w:val="none"/>
        </w:rPr>
        <w:t>污染物排放标准</w:t>
      </w:r>
      <w:bookmarkEnd w:id="241"/>
      <w:bookmarkEnd w:id="242"/>
    </w:p>
    <w:p>
      <w:pPr>
        <w:spacing w:line="360" w:lineRule="auto"/>
        <w:ind w:firstLine="482" w:firstLineChars="200"/>
        <w:rPr>
          <w:b/>
          <w:color w:val="auto"/>
          <w:sz w:val="24"/>
          <w:highlight w:val="none"/>
        </w:rPr>
      </w:pPr>
      <w:r>
        <w:rPr>
          <w:b/>
          <w:color w:val="auto"/>
          <w:sz w:val="24"/>
          <w:highlight w:val="none"/>
        </w:rPr>
        <w:t>1、大气污染物排放标准</w:t>
      </w:r>
    </w:p>
    <w:p>
      <w:pPr>
        <w:spacing w:line="360" w:lineRule="auto"/>
        <w:ind w:firstLine="480" w:firstLineChars="200"/>
        <w:rPr>
          <w:color w:val="auto"/>
          <w:sz w:val="24"/>
          <w:highlight w:val="none"/>
        </w:rPr>
      </w:pPr>
      <w:r>
        <w:rPr>
          <w:color w:val="auto"/>
          <w:sz w:val="24"/>
          <w:highlight w:val="none"/>
        </w:rPr>
        <w:t>（1）施工期扬尘执行《大气污染物综合排放标准》（GB16297-1996）表2中的无组织排放监控浓度限值。</w:t>
      </w:r>
    </w:p>
    <w:p>
      <w:pPr>
        <w:spacing w:line="360" w:lineRule="auto"/>
        <w:jc w:val="center"/>
        <w:rPr>
          <w:b/>
          <w:color w:val="auto"/>
          <w:sz w:val="24"/>
          <w:highlight w:val="none"/>
        </w:rPr>
      </w:pPr>
      <w:r>
        <w:rPr>
          <w:b/>
          <w:color w:val="auto"/>
          <w:sz w:val="24"/>
          <w:highlight w:val="none"/>
        </w:rPr>
        <w:t>表1.4-</w:t>
      </w:r>
      <w:r>
        <w:rPr>
          <w:rFonts w:hint="eastAsia"/>
          <w:b/>
          <w:color w:val="auto"/>
          <w:sz w:val="24"/>
          <w:highlight w:val="none"/>
          <w:lang w:val="en-US" w:eastAsia="zh-CN"/>
        </w:rPr>
        <w:t>5</w:t>
      </w:r>
      <w:r>
        <w:rPr>
          <w:b/>
          <w:color w:val="auto"/>
          <w:sz w:val="24"/>
          <w:highlight w:val="none"/>
        </w:rPr>
        <w:t xml:space="preserve">  大气污染物综合排放标准</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5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3151" w:type="dxa"/>
            <w:vAlign w:val="center"/>
          </w:tcPr>
          <w:p>
            <w:pPr>
              <w:jc w:val="center"/>
              <w:rPr>
                <w:bCs/>
                <w:color w:val="auto"/>
                <w:highlight w:val="none"/>
              </w:rPr>
            </w:pPr>
            <w:r>
              <w:rPr>
                <w:bCs/>
                <w:color w:val="auto"/>
                <w:highlight w:val="none"/>
              </w:rPr>
              <w:t>污染物</w:t>
            </w:r>
          </w:p>
        </w:tc>
        <w:tc>
          <w:tcPr>
            <w:tcW w:w="5371" w:type="dxa"/>
            <w:vAlign w:val="center"/>
          </w:tcPr>
          <w:p>
            <w:pPr>
              <w:jc w:val="center"/>
              <w:rPr>
                <w:bCs/>
                <w:color w:val="auto"/>
                <w:highlight w:val="none"/>
              </w:rPr>
            </w:pPr>
            <w:r>
              <w:rPr>
                <w:bCs/>
                <w:color w:val="auto"/>
                <w:highlight w:val="none"/>
              </w:rPr>
              <w:t>无组织排放监控浓度限值周界外浓度最高点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51" w:type="dxa"/>
            <w:vAlign w:val="center"/>
          </w:tcPr>
          <w:p>
            <w:pPr>
              <w:jc w:val="center"/>
              <w:rPr>
                <w:color w:val="auto"/>
                <w:highlight w:val="none"/>
              </w:rPr>
            </w:pPr>
            <w:r>
              <w:rPr>
                <w:color w:val="auto"/>
                <w:highlight w:val="none"/>
              </w:rPr>
              <w:t>颗粒物</w:t>
            </w:r>
          </w:p>
        </w:tc>
        <w:tc>
          <w:tcPr>
            <w:tcW w:w="5371" w:type="dxa"/>
            <w:vAlign w:val="center"/>
          </w:tcPr>
          <w:p>
            <w:pPr>
              <w:jc w:val="center"/>
              <w:rPr>
                <w:color w:val="auto"/>
                <w:highlight w:val="none"/>
              </w:rPr>
            </w:pPr>
            <w:r>
              <w:rPr>
                <w:color w:val="auto"/>
                <w:highlight w:val="none"/>
              </w:rPr>
              <w:t>1.0</w:t>
            </w:r>
            <w:r>
              <w:rPr>
                <w:bCs/>
                <w:color w:val="auto"/>
                <w:highlight w:val="none"/>
              </w:rPr>
              <w:t>mg/m</w:t>
            </w:r>
            <w:r>
              <w:rPr>
                <w:bCs/>
                <w:color w:val="auto"/>
                <w:highlight w:val="none"/>
                <w:vertAlign w:val="superscript"/>
              </w:rPr>
              <w:t>3</w:t>
            </w:r>
          </w:p>
        </w:tc>
      </w:tr>
    </w:tbl>
    <w:p>
      <w:pPr>
        <w:spacing w:line="360" w:lineRule="auto"/>
        <w:ind w:firstLine="480" w:firstLineChars="200"/>
        <w:rPr>
          <w:rFonts w:ascii="Times New Roman" w:hAnsi="Times New Roman" w:eastAsia="宋体" w:cs="Times New Roman"/>
          <w:color w:val="auto"/>
          <w:sz w:val="24"/>
          <w:highlight w:val="none"/>
        </w:rPr>
      </w:pPr>
      <w:r>
        <w:rPr>
          <w:color w:val="auto"/>
          <w:sz w:val="24"/>
          <w:highlight w:val="none"/>
        </w:rPr>
        <w:t>（2）本项目属于塑料制品业，运营期废气执行《合成树脂工业污染物排放标准》（GB31572-2015）表4规定的大气污染物排放限值和表9规定的企业边界大气污染物浓度限</w:t>
      </w:r>
      <w:r>
        <w:rPr>
          <w:rFonts w:ascii="Times New Roman" w:hAnsi="Times New Roman" w:eastAsia="宋体" w:cs="Times New Roman"/>
          <w:color w:val="auto"/>
          <w:sz w:val="24"/>
          <w:highlight w:val="none"/>
        </w:rPr>
        <w:t>值</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恶臭排放执行《恶臭污染物排放标准》（GB14554-93）二级标准相关要求</w:t>
      </w:r>
      <w:r>
        <w:rPr>
          <w:rFonts w:ascii="Times New Roman" w:hAnsi="Times New Roman" w:eastAsia="宋体" w:cs="Times New Roman"/>
          <w:color w:val="auto"/>
          <w:sz w:val="24"/>
          <w:highlight w:val="none"/>
        </w:rPr>
        <w:t>。</w:t>
      </w:r>
    </w:p>
    <w:p>
      <w:pPr>
        <w:spacing w:line="360" w:lineRule="auto"/>
        <w:jc w:val="center"/>
        <w:rPr>
          <w:b/>
          <w:bCs/>
          <w:color w:val="auto"/>
          <w:sz w:val="24"/>
          <w:highlight w:val="none"/>
        </w:rPr>
      </w:pPr>
      <w:r>
        <w:rPr>
          <w:b/>
          <w:bCs/>
          <w:color w:val="auto"/>
          <w:sz w:val="24"/>
          <w:highlight w:val="none"/>
        </w:rPr>
        <w:t>表1.4-</w:t>
      </w:r>
      <w:r>
        <w:rPr>
          <w:rFonts w:hint="eastAsia"/>
          <w:b/>
          <w:bCs/>
          <w:color w:val="auto"/>
          <w:sz w:val="24"/>
          <w:highlight w:val="none"/>
          <w:lang w:val="en-US" w:eastAsia="zh-CN"/>
        </w:rPr>
        <w:t>6</w:t>
      </w:r>
      <w:r>
        <w:rPr>
          <w:b/>
          <w:bCs/>
          <w:color w:val="auto"/>
          <w:sz w:val="24"/>
          <w:highlight w:val="none"/>
        </w:rPr>
        <w:t xml:space="preserve">  大气污染物排放限值</w:t>
      </w:r>
    </w:p>
    <w:tbl>
      <w:tblPr>
        <w:tblStyle w:val="5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508"/>
        <w:gridCol w:w="1637"/>
        <w:gridCol w:w="1682"/>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867" w:type="dxa"/>
            <w:vAlign w:val="center"/>
          </w:tcPr>
          <w:p>
            <w:pPr>
              <w:jc w:val="center"/>
              <w:rPr>
                <w:b/>
                <w:color w:val="auto"/>
                <w:highlight w:val="none"/>
              </w:rPr>
            </w:pPr>
            <w:r>
              <w:rPr>
                <w:b/>
                <w:color w:val="auto"/>
                <w:highlight w:val="none"/>
              </w:rPr>
              <w:t>污染物</w:t>
            </w:r>
          </w:p>
        </w:tc>
        <w:tc>
          <w:tcPr>
            <w:tcW w:w="1508" w:type="dxa"/>
            <w:vAlign w:val="center"/>
          </w:tcPr>
          <w:p>
            <w:pPr>
              <w:jc w:val="center"/>
              <w:rPr>
                <w:b/>
                <w:color w:val="auto"/>
                <w:highlight w:val="none"/>
              </w:rPr>
            </w:pPr>
            <w:r>
              <w:rPr>
                <w:b/>
                <w:color w:val="auto"/>
                <w:highlight w:val="none"/>
              </w:rPr>
              <w:t>最高允许浓度（mg/m</w:t>
            </w:r>
            <w:r>
              <w:rPr>
                <w:b/>
                <w:color w:val="auto"/>
                <w:highlight w:val="none"/>
                <w:vertAlign w:val="superscript"/>
              </w:rPr>
              <w:t>3</w:t>
            </w:r>
            <w:r>
              <w:rPr>
                <w:b/>
                <w:color w:val="auto"/>
                <w:highlight w:val="none"/>
              </w:rPr>
              <w:t>）</w:t>
            </w:r>
          </w:p>
        </w:tc>
        <w:tc>
          <w:tcPr>
            <w:tcW w:w="1637" w:type="dxa"/>
            <w:vAlign w:val="center"/>
          </w:tcPr>
          <w:p>
            <w:pPr>
              <w:jc w:val="center"/>
              <w:rPr>
                <w:rFonts w:hint="eastAsia" w:eastAsia="宋体"/>
                <w:b/>
                <w:color w:val="auto"/>
                <w:highlight w:val="none"/>
                <w:lang w:val="en-US" w:eastAsia="zh-CN"/>
              </w:rPr>
            </w:pPr>
            <w:r>
              <w:rPr>
                <w:rFonts w:hint="eastAsia"/>
                <w:b/>
                <w:color w:val="auto"/>
                <w:highlight w:val="none"/>
                <w:lang w:val="en-US" w:eastAsia="zh-CN"/>
              </w:rPr>
              <w:t>排放量（kg/h）</w:t>
            </w:r>
          </w:p>
        </w:tc>
        <w:tc>
          <w:tcPr>
            <w:tcW w:w="1682" w:type="dxa"/>
            <w:vAlign w:val="center"/>
          </w:tcPr>
          <w:p>
            <w:pPr>
              <w:jc w:val="center"/>
              <w:rPr>
                <w:b/>
                <w:color w:val="auto"/>
                <w:highlight w:val="none"/>
              </w:rPr>
            </w:pPr>
            <w:r>
              <w:rPr>
                <w:b/>
                <w:color w:val="auto"/>
                <w:highlight w:val="none"/>
              </w:rPr>
              <w:t>排放监控位置</w:t>
            </w:r>
          </w:p>
        </w:tc>
        <w:tc>
          <w:tcPr>
            <w:tcW w:w="1825" w:type="dxa"/>
            <w:vAlign w:val="center"/>
          </w:tcPr>
          <w:p>
            <w:pPr>
              <w:jc w:val="center"/>
              <w:rPr>
                <w:rFonts w:hint="eastAsia" w:eastAsia="宋体"/>
                <w:b/>
                <w:color w:val="auto"/>
                <w:highlight w:val="none"/>
                <w:lang w:val="en-US" w:eastAsia="zh-CN"/>
              </w:rPr>
            </w:pPr>
            <w:r>
              <w:rPr>
                <w:rFonts w:hint="eastAsia"/>
                <w:b/>
                <w:color w:val="auto"/>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67" w:type="dxa"/>
            <w:vAlign w:val="center"/>
          </w:tcPr>
          <w:p>
            <w:pPr>
              <w:jc w:val="center"/>
              <w:rPr>
                <w:color w:val="auto"/>
                <w:highlight w:val="none"/>
              </w:rPr>
            </w:pPr>
            <w:r>
              <w:rPr>
                <w:color w:val="auto"/>
                <w:highlight w:val="none"/>
              </w:rPr>
              <w:t>非甲烷总烃</w:t>
            </w:r>
          </w:p>
        </w:tc>
        <w:tc>
          <w:tcPr>
            <w:tcW w:w="1508" w:type="dxa"/>
            <w:vAlign w:val="center"/>
          </w:tcPr>
          <w:p>
            <w:pPr>
              <w:jc w:val="center"/>
              <w:rPr>
                <w:color w:val="auto"/>
                <w:highlight w:val="none"/>
              </w:rPr>
            </w:pPr>
            <w:r>
              <w:rPr>
                <w:color w:val="auto"/>
                <w:highlight w:val="none"/>
              </w:rPr>
              <w:t>100</w:t>
            </w:r>
          </w:p>
        </w:tc>
        <w:tc>
          <w:tcPr>
            <w:tcW w:w="1637"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682" w:type="dxa"/>
            <w:vMerge w:val="restart"/>
            <w:vAlign w:val="center"/>
          </w:tcPr>
          <w:p>
            <w:pPr>
              <w:jc w:val="center"/>
              <w:rPr>
                <w:color w:val="auto"/>
                <w:highlight w:val="none"/>
              </w:rPr>
            </w:pPr>
            <w:r>
              <w:rPr>
                <w:color w:val="auto"/>
                <w:highlight w:val="none"/>
              </w:rPr>
              <w:t>车间或生产设施排气筒</w:t>
            </w:r>
          </w:p>
        </w:tc>
        <w:tc>
          <w:tcPr>
            <w:tcW w:w="1825" w:type="dxa"/>
            <w:vMerge w:val="restart"/>
            <w:vAlign w:val="center"/>
          </w:tcPr>
          <w:p>
            <w:pPr>
              <w:jc w:val="center"/>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合成树脂工业污染物排放标准</w:t>
            </w:r>
            <w:r>
              <w:rPr>
                <w:rFonts w:hint="eastAsia"/>
                <w:color w:val="auto"/>
                <w:highlight w:val="none"/>
                <w:lang w:eastAsia="zh-CN"/>
              </w:rPr>
              <w:t>》（</w:t>
            </w:r>
            <w:r>
              <w:rPr>
                <w:rFonts w:hint="eastAsia"/>
                <w:color w:val="auto"/>
                <w:highlight w:val="none"/>
                <w:lang w:val="en-US" w:eastAsia="zh-CN"/>
              </w:rPr>
              <w:t>GB31572-2015</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67" w:type="dxa"/>
            <w:vAlign w:val="center"/>
          </w:tcPr>
          <w:p>
            <w:pPr>
              <w:jc w:val="center"/>
              <w:rPr>
                <w:color w:val="auto"/>
                <w:highlight w:val="none"/>
              </w:rPr>
            </w:pPr>
            <w:r>
              <w:rPr>
                <w:color w:val="auto"/>
                <w:highlight w:val="none"/>
              </w:rPr>
              <w:t>单位产品非甲烷总烃排放量</w:t>
            </w:r>
          </w:p>
        </w:tc>
        <w:tc>
          <w:tcPr>
            <w:tcW w:w="1508" w:type="dxa"/>
            <w:vAlign w:val="center"/>
          </w:tcPr>
          <w:p>
            <w:pPr>
              <w:jc w:val="center"/>
              <w:rPr>
                <w:color w:val="auto"/>
                <w:highlight w:val="none"/>
              </w:rPr>
            </w:pPr>
            <w:r>
              <w:rPr>
                <w:color w:val="auto"/>
                <w:highlight w:val="none"/>
              </w:rPr>
              <w:t>0.5kg/t-产品</w:t>
            </w:r>
          </w:p>
        </w:tc>
        <w:tc>
          <w:tcPr>
            <w:tcW w:w="1637"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682" w:type="dxa"/>
            <w:vMerge w:val="continue"/>
            <w:vAlign w:val="center"/>
          </w:tcPr>
          <w:p>
            <w:pPr>
              <w:jc w:val="center"/>
              <w:rPr>
                <w:color w:val="auto"/>
                <w:highlight w:val="none"/>
              </w:rPr>
            </w:pPr>
          </w:p>
        </w:tc>
        <w:tc>
          <w:tcPr>
            <w:tcW w:w="1825"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颗粒物</w:t>
            </w:r>
          </w:p>
        </w:tc>
        <w:tc>
          <w:tcPr>
            <w:tcW w:w="1508" w:type="dxa"/>
            <w:vAlign w:val="center"/>
          </w:tcPr>
          <w:p>
            <w:pPr>
              <w:jc w:val="center"/>
              <w:rPr>
                <w:rFonts w:hint="default" w:eastAsia="宋体"/>
                <w:color w:val="auto"/>
                <w:highlight w:val="none"/>
                <w:lang w:val="en-US" w:eastAsia="zh-CN"/>
              </w:rPr>
            </w:pPr>
            <w:r>
              <w:rPr>
                <w:rFonts w:hint="eastAsia"/>
                <w:color w:val="auto"/>
                <w:highlight w:val="none"/>
                <w:lang w:val="en-US" w:eastAsia="zh-CN"/>
              </w:rPr>
              <w:t>30</w:t>
            </w:r>
          </w:p>
        </w:tc>
        <w:tc>
          <w:tcPr>
            <w:tcW w:w="1637" w:type="dxa"/>
            <w:vAlign w:val="center"/>
          </w:tcPr>
          <w:p>
            <w:pPr>
              <w:jc w:val="center"/>
              <w:rPr>
                <w:rFonts w:hint="default"/>
                <w:color w:val="auto"/>
                <w:highlight w:val="none"/>
                <w:lang w:val="en-US" w:eastAsia="zh-CN"/>
              </w:rPr>
            </w:pPr>
            <w:r>
              <w:rPr>
                <w:rFonts w:hint="eastAsia"/>
                <w:color w:val="auto"/>
                <w:highlight w:val="none"/>
                <w:lang w:val="en-US" w:eastAsia="zh-CN"/>
              </w:rPr>
              <w:t>/</w:t>
            </w:r>
          </w:p>
        </w:tc>
        <w:tc>
          <w:tcPr>
            <w:tcW w:w="1682" w:type="dxa"/>
            <w:vMerge w:val="continue"/>
            <w:vAlign w:val="center"/>
          </w:tcPr>
          <w:p>
            <w:pPr>
              <w:jc w:val="center"/>
              <w:rPr>
                <w:color w:val="auto"/>
                <w:highlight w:val="none"/>
              </w:rPr>
            </w:pPr>
          </w:p>
        </w:tc>
        <w:tc>
          <w:tcPr>
            <w:tcW w:w="1825"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67" w:type="dxa"/>
            <w:vAlign w:val="center"/>
          </w:tcPr>
          <w:p>
            <w:pPr>
              <w:jc w:val="center"/>
              <w:rPr>
                <w:rFonts w:hint="default" w:eastAsia="宋体"/>
                <w:color w:val="auto"/>
                <w:highlight w:val="none"/>
                <w:lang w:val="en-US" w:eastAsia="zh-CN"/>
              </w:rPr>
            </w:pPr>
            <w:r>
              <w:rPr>
                <w:rFonts w:hint="eastAsia"/>
                <w:color w:val="auto"/>
                <w:highlight w:val="none"/>
                <w:lang w:val="en-US" w:eastAsia="zh-CN"/>
              </w:rPr>
              <w:t>臭气浓度</w:t>
            </w:r>
          </w:p>
        </w:tc>
        <w:tc>
          <w:tcPr>
            <w:tcW w:w="1508"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637" w:type="dxa"/>
            <w:vAlign w:val="center"/>
          </w:tcPr>
          <w:p>
            <w:pPr>
              <w:jc w:val="center"/>
              <w:rPr>
                <w:rFonts w:hint="default" w:eastAsia="宋体"/>
                <w:color w:val="auto"/>
                <w:highlight w:val="none"/>
                <w:lang w:val="en-US" w:eastAsia="zh-CN"/>
              </w:rPr>
            </w:pPr>
            <w:r>
              <w:rPr>
                <w:rFonts w:hint="eastAsia"/>
                <w:color w:val="auto"/>
                <w:highlight w:val="none"/>
                <w:lang w:val="en-US" w:eastAsia="zh-CN"/>
              </w:rPr>
              <w:t>2000（无量纲）</w:t>
            </w:r>
          </w:p>
        </w:tc>
        <w:tc>
          <w:tcPr>
            <w:tcW w:w="1682"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825" w:type="dxa"/>
            <w:vAlign w:val="center"/>
          </w:tcPr>
          <w:p>
            <w:pPr>
              <w:jc w:val="center"/>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恶臭污染物排放标准</w:t>
            </w:r>
            <w:r>
              <w:rPr>
                <w:rFonts w:hint="eastAsia"/>
                <w:color w:val="auto"/>
                <w:highlight w:val="none"/>
                <w:lang w:eastAsia="zh-CN"/>
              </w:rPr>
              <w:t>》（</w:t>
            </w:r>
            <w:r>
              <w:rPr>
                <w:rFonts w:hint="eastAsia"/>
                <w:color w:val="auto"/>
                <w:highlight w:val="none"/>
                <w:lang w:val="en-US" w:eastAsia="zh-CN"/>
              </w:rPr>
              <w:t>GB14554-93</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9" w:type="dxa"/>
            <w:gridSpan w:val="5"/>
            <w:vAlign w:val="center"/>
          </w:tcPr>
          <w:p>
            <w:pPr>
              <w:rPr>
                <w:color w:val="auto"/>
                <w:highlight w:val="none"/>
              </w:rPr>
            </w:pPr>
            <w:r>
              <w:rPr>
                <w:b/>
                <w:bCs/>
                <w:color w:val="auto"/>
                <w:highlight w:val="none"/>
              </w:rPr>
              <w:t>注：排气筒高度不低于15m</w:t>
            </w:r>
          </w:p>
        </w:tc>
      </w:tr>
    </w:tbl>
    <w:p>
      <w:pPr>
        <w:spacing w:line="360" w:lineRule="auto"/>
        <w:jc w:val="center"/>
        <w:rPr>
          <w:b/>
          <w:bCs/>
          <w:color w:val="auto"/>
          <w:sz w:val="24"/>
          <w:highlight w:val="none"/>
        </w:rPr>
      </w:pPr>
      <w:r>
        <w:rPr>
          <w:b/>
          <w:bCs/>
          <w:color w:val="auto"/>
          <w:sz w:val="24"/>
          <w:highlight w:val="none"/>
        </w:rPr>
        <w:t>表1.4-</w:t>
      </w:r>
      <w:r>
        <w:rPr>
          <w:rFonts w:hint="eastAsia"/>
          <w:b/>
          <w:bCs/>
          <w:color w:val="auto"/>
          <w:sz w:val="24"/>
          <w:highlight w:val="none"/>
          <w:lang w:val="en-US" w:eastAsia="zh-CN"/>
        </w:rPr>
        <w:t>7</w:t>
      </w:r>
      <w:r>
        <w:rPr>
          <w:b/>
          <w:bCs/>
          <w:color w:val="auto"/>
          <w:sz w:val="24"/>
          <w:highlight w:val="none"/>
        </w:rPr>
        <w:t xml:space="preserve">  企业边界大气污染物浓度限值</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6"/>
        <w:gridCol w:w="2873"/>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776" w:type="dxa"/>
            <w:vAlign w:val="center"/>
          </w:tcPr>
          <w:p>
            <w:pPr>
              <w:jc w:val="center"/>
              <w:rPr>
                <w:b/>
                <w:color w:val="auto"/>
                <w:highlight w:val="none"/>
              </w:rPr>
            </w:pPr>
            <w:r>
              <w:rPr>
                <w:b/>
                <w:color w:val="auto"/>
                <w:highlight w:val="none"/>
              </w:rPr>
              <w:t>污染物</w:t>
            </w:r>
          </w:p>
        </w:tc>
        <w:tc>
          <w:tcPr>
            <w:tcW w:w="2873" w:type="dxa"/>
            <w:vAlign w:val="center"/>
          </w:tcPr>
          <w:p>
            <w:pPr>
              <w:jc w:val="center"/>
              <w:rPr>
                <w:b/>
                <w:color w:val="auto"/>
                <w:highlight w:val="none"/>
              </w:rPr>
            </w:pPr>
            <w:r>
              <w:rPr>
                <w:b/>
                <w:color w:val="auto"/>
                <w:highlight w:val="none"/>
              </w:rPr>
              <w:t>最高允许浓度（mg/m</w:t>
            </w:r>
            <w:r>
              <w:rPr>
                <w:b/>
                <w:color w:val="auto"/>
                <w:highlight w:val="none"/>
                <w:vertAlign w:val="superscript"/>
              </w:rPr>
              <w:t>3</w:t>
            </w:r>
            <w:r>
              <w:rPr>
                <w:b/>
                <w:color w:val="auto"/>
                <w:highlight w:val="none"/>
              </w:rPr>
              <w:t>）</w:t>
            </w:r>
          </w:p>
        </w:tc>
        <w:tc>
          <w:tcPr>
            <w:tcW w:w="2873" w:type="dxa"/>
            <w:vAlign w:val="center"/>
          </w:tcPr>
          <w:p>
            <w:pPr>
              <w:jc w:val="center"/>
              <w:rPr>
                <w:rFonts w:hint="eastAsia" w:eastAsia="宋体"/>
                <w:b/>
                <w:color w:val="auto"/>
                <w:highlight w:val="none"/>
                <w:lang w:val="en-US" w:eastAsia="zh-CN"/>
              </w:rPr>
            </w:pPr>
            <w:r>
              <w:rPr>
                <w:rFonts w:hint="eastAsia"/>
                <w:b/>
                <w:color w:val="auto"/>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776" w:type="dxa"/>
            <w:vAlign w:val="center"/>
          </w:tcPr>
          <w:p>
            <w:pPr>
              <w:jc w:val="center"/>
              <w:rPr>
                <w:color w:val="auto"/>
                <w:highlight w:val="none"/>
              </w:rPr>
            </w:pPr>
            <w:r>
              <w:rPr>
                <w:color w:val="auto"/>
                <w:highlight w:val="none"/>
              </w:rPr>
              <w:t>颗粒物</w:t>
            </w:r>
          </w:p>
        </w:tc>
        <w:tc>
          <w:tcPr>
            <w:tcW w:w="2873" w:type="dxa"/>
            <w:vAlign w:val="center"/>
          </w:tcPr>
          <w:p>
            <w:pPr>
              <w:jc w:val="center"/>
              <w:rPr>
                <w:color w:val="auto"/>
                <w:highlight w:val="none"/>
              </w:rPr>
            </w:pPr>
            <w:r>
              <w:rPr>
                <w:color w:val="auto"/>
                <w:highlight w:val="none"/>
              </w:rPr>
              <w:t>1.0</w:t>
            </w:r>
          </w:p>
        </w:tc>
        <w:tc>
          <w:tcPr>
            <w:tcW w:w="2873" w:type="dxa"/>
            <w:vMerge w:val="restart"/>
            <w:vAlign w:val="center"/>
          </w:tcPr>
          <w:p>
            <w:pPr>
              <w:jc w:val="center"/>
              <w:rPr>
                <w:color w:val="auto"/>
                <w:highlight w:val="none"/>
              </w:rPr>
            </w:pPr>
            <w:r>
              <w:rPr>
                <w:rFonts w:hint="eastAsia"/>
                <w:color w:val="auto"/>
                <w:highlight w:val="none"/>
                <w:lang w:eastAsia="zh-CN"/>
              </w:rPr>
              <w:t>《</w:t>
            </w:r>
            <w:r>
              <w:rPr>
                <w:rFonts w:hint="eastAsia"/>
                <w:color w:val="auto"/>
                <w:highlight w:val="none"/>
                <w:lang w:val="en-US" w:eastAsia="zh-CN"/>
              </w:rPr>
              <w:t>合成树脂工业污染物排放标准</w:t>
            </w:r>
            <w:r>
              <w:rPr>
                <w:rFonts w:hint="eastAsia"/>
                <w:color w:val="auto"/>
                <w:highlight w:val="none"/>
                <w:lang w:eastAsia="zh-CN"/>
              </w:rPr>
              <w:t>》（</w:t>
            </w:r>
            <w:r>
              <w:rPr>
                <w:rFonts w:hint="eastAsia"/>
                <w:color w:val="auto"/>
                <w:highlight w:val="none"/>
                <w:lang w:val="en-US" w:eastAsia="zh-CN"/>
              </w:rPr>
              <w:t>GB31572-2015</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776" w:type="dxa"/>
            <w:vAlign w:val="center"/>
          </w:tcPr>
          <w:p>
            <w:pPr>
              <w:jc w:val="center"/>
              <w:rPr>
                <w:color w:val="auto"/>
                <w:highlight w:val="none"/>
              </w:rPr>
            </w:pPr>
            <w:r>
              <w:rPr>
                <w:color w:val="auto"/>
                <w:highlight w:val="none"/>
              </w:rPr>
              <w:t>非甲烷总烃</w:t>
            </w:r>
          </w:p>
        </w:tc>
        <w:tc>
          <w:tcPr>
            <w:tcW w:w="2873" w:type="dxa"/>
            <w:vAlign w:val="center"/>
          </w:tcPr>
          <w:p>
            <w:pPr>
              <w:jc w:val="center"/>
              <w:rPr>
                <w:color w:val="auto"/>
                <w:highlight w:val="none"/>
              </w:rPr>
            </w:pPr>
            <w:r>
              <w:rPr>
                <w:color w:val="auto"/>
                <w:highlight w:val="none"/>
              </w:rPr>
              <w:t>4.0</w:t>
            </w:r>
          </w:p>
        </w:tc>
        <w:tc>
          <w:tcPr>
            <w:tcW w:w="2873"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776" w:type="dxa"/>
            <w:vAlign w:val="center"/>
          </w:tcPr>
          <w:p>
            <w:pPr>
              <w:jc w:val="center"/>
              <w:rPr>
                <w:rFonts w:hint="default" w:eastAsia="宋体"/>
                <w:color w:val="auto"/>
                <w:highlight w:val="none"/>
                <w:lang w:val="en-US" w:eastAsia="zh-CN"/>
              </w:rPr>
            </w:pPr>
            <w:r>
              <w:rPr>
                <w:rFonts w:hint="eastAsia"/>
                <w:color w:val="auto"/>
                <w:highlight w:val="none"/>
                <w:lang w:val="en-US" w:eastAsia="zh-CN"/>
              </w:rPr>
              <w:t>臭气浓度</w:t>
            </w:r>
          </w:p>
        </w:tc>
        <w:tc>
          <w:tcPr>
            <w:tcW w:w="2873" w:type="dxa"/>
            <w:vAlign w:val="center"/>
          </w:tcPr>
          <w:p>
            <w:pPr>
              <w:jc w:val="center"/>
              <w:rPr>
                <w:rFonts w:hint="default" w:eastAsia="宋体"/>
                <w:color w:val="auto"/>
                <w:highlight w:val="none"/>
                <w:lang w:val="en-US" w:eastAsia="zh-CN"/>
              </w:rPr>
            </w:pPr>
            <w:r>
              <w:rPr>
                <w:rFonts w:hint="eastAsia"/>
                <w:color w:val="auto"/>
                <w:highlight w:val="none"/>
                <w:lang w:val="en-US" w:eastAsia="zh-CN"/>
              </w:rPr>
              <w:t>20（无量纲）</w:t>
            </w:r>
          </w:p>
        </w:tc>
        <w:tc>
          <w:tcPr>
            <w:tcW w:w="2873" w:type="dxa"/>
            <w:vAlign w:val="center"/>
          </w:tcPr>
          <w:p>
            <w:pPr>
              <w:jc w:val="center"/>
              <w:rPr>
                <w:color w:val="auto"/>
                <w:highlight w:val="none"/>
              </w:rPr>
            </w:pPr>
            <w:r>
              <w:rPr>
                <w:rFonts w:hint="eastAsia"/>
                <w:color w:val="auto"/>
                <w:highlight w:val="none"/>
                <w:lang w:eastAsia="zh-CN"/>
              </w:rPr>
              <w:t>《</w:t>
            </w:r>
            <w:r>
              <w:rPr>
                <w:rFonts w:hint="eastAsia"/>
                <w:color w:val="auto"/>
                <w:highlight w:val="none"/>
                <w:lang w:val="en-US" w:eastAsia="zh-CN"/>
              </w:rPr>
              <w:t>恶臭污染物排放标准</w:t>
            </w:r>
            <w:r>
              <w:rPr>
                <w:rFonts w:hint="eastAsia"/>
                <w:color w:val="auto"/>
                <w:highlight w:val="none"/>
                <w:lang w:eastAsia="zh-CN"/>
              </w:rPr>
              <w:t>》（</w:t>
            </w:r>
            <w:r>
              <w:rPr>
                <w:rFonts w:hint="eastAsia"/>
                <w:color w:val="auto"/>
                <w:highlight w:val="none"/>
                <w:lang w:val="en-US" w:eastAsia="zh-CN"/>
              </w:rPr>
              <w:t>GB14554-93</w:t>
            </w:r>
            <w:r>
              <w:rPr>
                <w:rFonts w:hint="eastAsia"/>
                <w:color w:val="auto"/>
                <w:highlight w:val="none"/>
                <w:lang w:eastAsia="zh-CN"/>
              </w:rPr>
              <w:t>）</w:t>
            </w:r>
          </w:p>
        </w:tc>
      </w:tr>
    </w:tbl>
    <w:p>
      <w:pPr>
        <w:spacing w:line="360" w:lineRule="auto"/>
        <w:ind w:firstLine="480" w:firstLineChars="200"/>
        <w:rPr>
          <w:color w:val="auto"/>
          <w:sz w:val="24"/>
          <w:highlight w:val="none"/>
        </w:rPr>
      </w:pPr>
      <w:r>
        <w:rPr>
          <w:color w:val="auto"/>
          <w:sz w:val="24"/>
          <w:highlight w:val="none"/>
        </w:rPr>
        <w:t>厂区内有机废气无组织排放执行《挥发性有机物无组织排放控制标准》（GB37822-2019）。</w:t>
      </w:r>
    </w:p>
    <w:p>
      <w:pPr>
        <w:spacing w:line="360" w:lineRule="auto"/>
        <w:jc w:val="center"/>
        <w:rPr>
          <w:b/>
          <w:color w:val="auto"/>
          <w:sz w:val="24"/>
          <w:highlight w:val="none"/>
          <w:vertAlign w:val="superscript"/>
        </w:rPr>
      </w:pPr>
      <w:r>
        <w:rPr>
          <w:b/>
          <w:color w:val="auto"/>
          <w:sz w:val="24"/>
          <w:highlight w:val="none"/>
        </w:rPr>
        <w:t>表1.4-</w:t>
      </w:r>
      <w:r>
        <w:rPr>
          <w:rFonts w:hint="eastAsia"/>
          <w:b/>
          <w:color w:val="auto"/>
          <w:sz w:val="24"/>
          <w:highlight w:val="none"/>
          <w:lang w:val="en-US" w:eastAsia="zh-CN"/>
        </w:rPr>
        <w:t>8</w:t>
      </w:r>
      <w:r>
        <w:rPr>
          <w:b/>
          <w:color w:val="auto"/>
          <w:sz w:val="24"/>
          <w:highlight w:val="none"/>
        </w:rPr>
        <w:t xml:space="preserve">  厂区内VOCs无组织排放限值    单位mg/m</w:t>
      </w:r>
      <w:r>
        <w:rPr>
          <w:b/>
          <w:color w:val="auto"/>
          <w:sz w:val="24"/>
          <w:highlight w:val="none"/>
          <w:vertAlign w:val="superscript"/>
        </w:rPr>
        <w:t>3</w:t>
      </w:r>
    </w:p>
    <w:tbl>
      <w:tblPr>
        <w:tblStyle w:val="5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493"/>
        <w:gridCol w:w="3096"/>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jc w:val="center"/>
              <w:rPr>
                <w:color w:val="auto"/>
                <w:kern w:val="0"/>
                <w:position w:val="6"/>
                <w:szCs w:val="21"/>
                <w:highlight w:val="none"/>
              </w:rPr>
            </w:pPr>
            <w:r>
              <w:rPr>
                <w:color w:val="auto"/>
                <w:kern w:val="0"/>
                <w:position w:val="6"/>
                <w:szCs w:val="21"/>
                <w:highlight w:val="none"/>
              </w:rPr>
              <w:t>污染物项目</w:t>
            </w:r>
          </w:p>
        </w:tc>
        <w:tc>
          <w:tcPr>
            <w:tcW w:w="1493" w:type="dxa"/>
            <w:vAlign w:val="center"/>
          </w:tcPr>
          <w:p>
            <w:pPr>
              <w:jc w:val="center"/>
              <w:rPr>
                <w:color w:val="auto"/>
                <w:kern w:val="0"/>
                <w:position w:val="6"/>
                <w:szCs w:val="21"/>
                <w:highlight w:val="none"/>
              </w:rPr>
            </w:pPr>
            <w:r>
              <w:rPr>
                <w:color w:val="auto"/>
                <w:kern w:val="0"/>
                <w:position w:val="6"/>
                <w:szCs w:val="21"/>
                <w:highlight w:val="none"/>
              </w:rPr>
              <w:t>排放限值</w:t>
            </w:r>
          </w:p>
        </w:tc>
        <w:tc>
          <w:tcPr>
            <w:tcW w:w="3096" w:type="dxa"/>
            <w:vAlign w:val="center"/>
          </w:tcPr>
          <w:p>
            <w:pPr>
              <w:jc w:val="center"/>
              <w:rPr>
                <w:color w:val="auto"/>
                <w:kern w:val="0"/>
                <w:position w:val="6"/>
                <w:szCs w:val="21"/>
                <w:highlight w:val="none"/>
              </w:rPr>
            </w:pPr>
            <w:r>
              <w:rPr>
                <w:color w:val="auto"/>
                <w:kern w:val="0"/>
                <w:position w:val="6"/>
                <w:szCs w:val="21"/>
                <w:highlight w:val="none"/>
              </w:rPr>
              <w:t>限值含义</w:t>
            </w:r>
          </w:p>
        </w:tc>
        <w:tc>
          <w:tcPr>
            <w:tcW w:w="2416" w:type="dxa"/>
            <w:vAlign w:val="center"/>
          </w:tcPr>
          <w:p>
            <w:pPr>
              <w:jc w:val="center"/>
              <w:rPr>
                <w:color w:val="auto"/>
                <w:kern w:val="0"/>
                <w:position w:val="6"/>
                <w:szCs w:val="21"/>
                <w:highlight w:val="none"/>
              </w:rPr>
            </w:pPr>
            <w:r>
              <w:rPr>
                <w:color w:val="auto"/>
                <w:kern w:val="0"/>
                <w:position w:val="6"/>
                <w:szCs w:val="21"/>
                <w:highlight w:val="none"/>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Merge w:val="restart"/>
            <w:vAlign w:val="center"/>
          </w:tcPr>
          <w:p>
            <w:pPr>
              <w:jc w:val="center"/>
              <w:rPr>
                <w:color w:val="auto"/>
                <w:kern w:val="0"/>
                <w:position w:val="6"/>
                <w:szCs w:val="21"/>
                <w:highlight w:val="none"/>
              </w:rPr>
            </w:pPr>
            <w:r>
              <w:rPr>
                <w:color w:val="auto"/>
                <w:kern w:val="0"/>
                <w:position w:val="6"/>
                <w:szCs w:val="21"/>
                <w:highlight w:val="none"/>
              </w:rPr>
              <w:t>NMHC</w:t>
            </w:r>
          </w:p>
        </w:tc>
        <w:tc>
          <w:tcPr>
            <w:tcW w:w="1493" w:type="dxa"/>
            <w:vAlign w:val="center"/>
          </w:tcPr>
          <w:p>
            <w:pPr>
              <w:jc w:val="center"/>
              <w:rPr>
                <w:color w:val="auto"/>
                <w:kern w:val="0"/>
                <w:position w:val="6"/>
                <w:szCs w:val="21"/>
                <w:highlight w:val="none"/>
              </w:rPr>
            </w:pPr>
            <w:r>
              <w:rPr>
                <w:color w:val="auto"/>
                <w:kern w:val="0"/>
                <w:position w:val="6"/>
                <w:szCs w:val="21"/>
                <w:highlight w:val="none"/>
              </w:rPr>
              <w:t>10</w:t>
            </w:r>
          </w:p>
        </w:tc>
        <w:tc>
          <w:tcPr>
            <w:tcW w:w="3096" w:type="dxa"/>
            <w:vAlign w:val="center"/>
          </w:tcPr>
          <w:p>
            <w:pPr>
              <w:jc w:val="center"/>
              <w:rPr>
                <w:color w:val="auto"/>
                <w:kern w:val="0"/>
                <w:position w:val="6"/>
                <w:szCs w:val="21"/>
                <w:highlight w:val="none"/>
              </w:rPr>
            </w:pPr>
            <w:r>
              <w:rPr>
                <w:color w:val="auto"/>
                <w:kern w:val="0"/>
                <w:position w:val="6"/>
                <w:szCs w:val="21"/>
                <w:highlight w:val="none"/>
              </w:rPr>
              <w:t>监控点处1h平均浓度值</w:t>
            </w:r>
          </w:p>
        </w:tc>
        <w:tc>
          <w:tcPr>
            <w:tcW w:w="2416" w:type="dxa"/>
            <w:vMerge w:val="restart"/>
            <w:vAlign w:val="center"/>
          </w:tcPr>
          <w:p>
            <w:pPr>
              <w:jc w:val="center"/>
              <w:rPr>
                <w:color w:val="auto"/>
                <w:kern w:val="0"/>
                <w:position w:val="6"/>
                <w:szCs w:val="21"/>
                <w:highlight w:val="none"/>
              </w:rPr>
            </w:pPr>
            <w:r>
              <w:rPr>
                <w:color w:val="auto"/>
                <w:kern w:val="0"/>
                <w:position w:val="6"/>
                <w:szCs w:val="21"/>
                <w:highlight w:val="none"/>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Merge w:val="continue"/>
            <w:vAlign w:val="center"/>
          </w:tcPr>
          <w:p>
            <w:pPr>
              <w:jc w:val="center"/>
              <w:rPr>
                <w:color w:val="auto"/>
                <w:kern w:val="0"/>
                <w:position w:val="6"/>
                <w:szCs w:val="21"/>
                <w:highlight w:val="none"/>
              </w:rPr>
            </w:pPr>
          </w:p>
        </w:tc>
        <w:tc>
          <w:tcPr>
            <w:tcW w:w="1493" w:type="dxa"/>
            <w:vAlign w:val="center"/>
          </w:tcPr>
          <w:p>
            <w:pPr>
              <w:jc w:val="center"/>
              <w:rPr>
                <w:color w:val="auto"/>
                <w:kern w:val="0"/>
                <w:position w:val="6"/>
                <w:szCs w:val="21"/>
                <w:highlight w:val="none"/>
              </w:rPr>
            </w:pPr>
            <w:r>
              <w:rPr>
                <w:color w:val="auto"/>
                <w:kern w:val="0"/>
                <w:position w:val="6"/>
                <w:szCs w:val="21"/>
                <w:highlight w:val="none"/>
              </w:rPr>
              <w:t>30</w:t>
            </w:r>
          </w:p>
        </w:tc>
        <w:tc>
          <w:tcPr>
            <w:tcW w:w="3096" w:type="dxa"/>
            <w:vAlign w:val="center"/>
          </w:tcPr>
          <w:p>
            <w:pPr>
              <w:jc w:val="center"/>
              <w:rPr>
                <w:color w:val="auto"/>
                <w:kern w:val="0"/>
                <w:position w:val="6"/>
                <w:szCs w:val="21"/>
                <w:highlight w:val="none"/>
              </w:rPr>
            </w:pPr>
            <w:r>
              <w:rPr>
                <w:color w:val="auto"/>
                <w:kern w:val="0"/>
                <w:position w:val="6"/>
                <w:szCs w:val="21"/>
                <w:highlight w:val="none"/>
              </w:rPr>
              <w:t>监控点处任意一次浓度值</w:t>
            </w:r>
          </w:p>
        </w:tc>
        <w:tc>
          <w:tcPr>
            <w:tcW w:w="2416" w:type="dxa"/>
            <w:vMerge w:val="continue"/>
            <w:vAlign w:val="center"/>
          </w:tcPr>
          <w:p>
            <w:pPr>
              <w:jc w:val="center"/>
              <w:rPr>
                <w:color w:val="auto"/>
                <w:kern w:val="0"/>
                <w:position w:val="6"/>
                <w:szCs w:val="21"/>
                <w:highlight w:val="none"/>
              </w:rPr>
            </w:pPr>
          </w:p>
        </w:tc>
      </w:tr>
    </w:tbl>
    <w:p>
      <w:pPr>
        <w:spacing w:line="360" w:lineRule="auto"/>
        <w:ind w:firstLine="482" w:firstLineChars="200"/>
        <w:rPr>
          <w:b/>
          <w:color w:val="auto"/>
          <w:sz w:val="24"/>
          <w:highlight w:val="none"/>
        </w:rPr>
      </w:pPr>
      <w:r>
        <w:rPr>
          <w:b/>
          <w:color w:val="auto"/>
          <w:sz w:val="24"/>
          <w:highlight w:val="none"/>
        </w:rPr>
        <w:t>2、废水排放标准</w:t>
      </w:r>
    </w:p>
    <w:p>
      <w:pPr>
        <w:spacing w:line="360" w:lineRule="auto"/>
        <w:ind w:firstLine="480" w:firstLineChars="200"/>
        <w:rPr>
          <w:color w:val="auto"/>
          <w:sz w:val="24"/>
          <w:highlight w:val="none"/>
        </w:rPr>
      </w:pPr>
      <w:r>
        <w:rPr>
          <w:color w:val="auto"/>
          <w:sz w:val="24"/>
          <w:highlight w:val="none"/>
        </w:rPr>
        <w:t>项目</w:t>
      </w:r>
      <w:r>
        <w:rPr>
          <w:rFonts w:hint="eastAsia"/>
          <w:color w:val="auto"/>
          <w:sz w:val="24"/>
          <w:highlight w:val="none"/>
          <w:lang w:val="en-US" w:eastAsia="zh-CN"/>
        </w:rPr>
        <w:t>实行雨污分流排水体制，雨水排入周边沟渠；生产过程中冷却水循环使用，不外排；项目区不设食宿，员工洗手等产生的生活污水与车间地面清洗废水一同通过化粪池收集后，由建设单位定期清运至寻甸县水质净化厂处理，根据建设单位与寻甸滇池水务有限公司签订的生活废水委托处理合同内容，项目生活废水按协议约定的标准及《污水排入城镇下水道水质标准》（GB/T31962-2015）B等级标准从严执行。废水</w:t>
      </w:r>
      <w:r>
        <w:rPr>
          <w:rFonts w:hint="eastAsia" w:ascii="Times New Roman" w:hAnsi="Times New Roman" w:eastAsia="宋体" w:cs="Times New Roman"/>
          <w:color w:val="auto"/>
          <w:sz w:val="24"/>
          <w:highlight w:val="none"/>
          <w:lang w:val="en-US" w:eastAsia="zh-CN"/>
        </w:rPr>
        <w:t>不外排。</w:t>
      </w:r>
    </w:p>
    <w:p>
      <w:pPr>
        <w:adjustRightInd w:val="0"/>
        <w:snapToGrid w:val="0"/>
        <w:jc w:val="center"/>
        <w:rPr>
          <w:b/>
          <w:color w:val="auto"/>
          <w:sz w:val="24"/>
          <w:highlight w:val="none"/>
        </w:rPr>
      </w:pPr>
      <w:r>
        <w:rPr>
          <w:rFonts w:hint="eastAsia"/>
          <w:b/>
          <w:color w:val="auto"/>
          <w:sz w:val="24"/>
          <w:highlight w:val="none"/>
        </w:rPr>
        <w:t>表1.4-</w:t>
      </w:r>
      <w:r>
        <w:rPr>
          <w:rFonts w:hint="eastAsia"/>
          <w:b/>
          <w:color w:val="auto"/>
          <w:sz w:val="24"/>
          <w:highlight w:val="none"/>
          <w:lang w:val="en-US" w:eastAsia="zh-CN"/>
        </w:rPr>
        <w:t>9</w:t>
      </w:r>
      <w:r>
        <w:rPr>
          <w:rFonts w:hint="eastAsia"/>
          <w:b/>
          <w:color w:val="auto"/>
          <w:sz w:val="24"/>
          <w:highlight w:val="none"/>
        </w:rPr>
        <w:t xml:space="preserve">   </w:t>
      </w:r>
      <w:r>
        <w:rPr>
          <w:rFonts w:hint="eastAsia"/>
          <w:b/>
          <w:color w:val="auto"/>
          <w:sz w:val="24"/>
          <w:highlight w:val="none"/>
          <w:lang w:val="en-US" w:eastAsia="zh-CN"/>
        </w:rPr>
        <w:t>污水排入城镇下水道</w:t>
      </w:r>
      <w:r>
        <w:rPr>
          <w:rFonts w:hint="eastAsia"/>
          <w:b/>
          <w:color w:val="auto"/>
          <w:sz w:val="24"/>
          <w:highlight w:val="none"/>
        </w:rPr>
        <w:t>水质标准</w:t>
      </w:r>
    </w:p>
    <w:tbl>
      <w:tblPr>
        <w:tblStyle w:val="55"/>
        <w:tblW w:w="852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4"/>
        <w:gridCol w:w="2824"/>
        <w:gridCol w:w="1664"/>
        <w:gridCol w:w="1667"/>
        <w:gridCol w:w="14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904" w:type="dxa"/>
            <w:vAlign w:val="center"/>
          </w:tcPr>
          <w:p>
            <w:pPr>
              <w:adjustRightInd w:val="0"/>
              <w:snapToGrid w:val="0"/>
              <w:jc w:val="center"/>
              <w:rPr>
                <w:color w:val="auto"/>
                <w:highlight w:val="none"/>
              </w:rPr>
            </w:pPr>
            <w:r>
              <w:rPr>
                <w:color w:val="auto"/>
                <w:highlight w:val="none"/>
              </w:rPr>
              <w:t>序号</w:t>
            </w:r>
          </w:p>
        </w:tc>
        <w:tc>
          <w:tcPr>
            <w:tcW w:w="2824" w:type="dxa"/>
            <w:vAlign w:val="center"/>
          </w:tcPr>
          <w:p>
            <w:pPr>
              <w:adjustRightInd w:val="0"/>
              <w:snapToGrid w:val="0"/>
              <w:jc w:val="center"/>
              <w:rPr>
                <w:color w:val="auto"/>
                <w:highlight w:val="none"/>
              </w:rPr>
            </w:pPr>
            <w:r>
              <w:rPr>
                <w:color w:val="auto"/>
                <w:highlight w:val="none"/>
              </w:rPr>
              <w:t>项目指标</w:t>
            </w:r>
          </w:p>
        </w:tc>
        <w:tc>
          <w:tcPr>
            <w:tcW w:w="166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B级</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协议约定</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本项目执行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color w:val="auto"/>
                <w:highlight w:val="none"/>
              </w:rPr>
            </w:pPr>
            <w:r>
              <w:rPr>
                <w:color w:val="auto"/>
                <w:highlight w:val="none"/>
              </w:rPr>
              <w:t>1</w:t>
            </w:r>
          </w:p>
        </w:tc>
        <w:tc>
          <w:tcPr>
            <w:tcW w:w="2824" w:type="dxa"/>
            <w:vAlign w:val="center"/>
          </w:tcPr>
          <w:p>
            <w:pPr>
              <w:adjustRightInd w:val="0"/>
              <w:snapToGrid w:val="0"/>
              <w:jc w:val="center"/>
              <w:rPr>
                <w:color w:val="auto"/>
                <w:highlight w:val="none"/>
              </w:rPr>
            </w:pPr>
            <w:r>
              <w:rPr>
                <w:color w:val="auto"/>
                <w:highlight w:val="none"/>
              </w:rPr>
              <w:t>pH</w:t>
            </w:r>
          </w:p>
        </w:tc>
        <w:tc>
          <w:tcPr>
            <w:tcW w:w="166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6.5~9.5</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6~7</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2</w:t>
            </w:r>
          </w:p>
        </w:tc>
        <w:tc>
          <w:tcPr>
            <w:tcW w:w="2824" w:type="dxa"/>
            <w:vAlign w:val="center"/>
          </w:tcPr>
          <w:p>
            <w:pPr>
              <w:adjustRightInd w:val="0"/>
              <w:snapToGrid w:val="0"/>
              <w:jc w:val="center"/>
              <w:rPr>
                <w:rFonts w:hint="eastAsia" w:eastAsia="宋体"/>
                <w:color w:val="auto"/>
                <w:highlight w:val="none"/>
                <w:lang w:eastAsia="zh-CN"/>
              </w:rPr>
            </w:pPr>
            <w:r>
              <w:rPr>
                <w:rFonts w:hint="eastAsia"/>
                <w:color w:val="auto"/>
                <w:highlight w:val="none"/>
                <w:lang w:val="en-US" w:eastAsia="zh-CN"/>
              </w:rPr>
              <w:t>悬浮物（mg/L）</w:t>
            </w:r>
          </w:p>
        </w:tc>
        <w:tc>
          <w:tcPr>
            <w:tcW w:w="166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400</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04" w:type="dxa"/>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3</w:t>
            </w:r>
          </w:p>
        </w:tc>
        <w:tc>
          <w:tcPr>
            <w:tcW w:w="2824" w:type="dxa"/>
            <w:vAlign w:val="center"/>
          </w:tcPr>
          <w:p>
            <w:pPr>
              <w:adjustRightInd w:val="0"/>
              <w:snapToGrid w:val="0"/>
              <w:jc w:val="center"/>
              <w:rPr>
                <w:color w:val="auto"/>
                <w:highlight w:val="none"/>
              </w:rPr>
            </w:pPr>
            <w:r>
              <w:rPr>
                <w:color w:val="auto"/>
                <w:highlight w:val="none"/>
              </w:rPr>
              <w:t>溶解性总固体（mg/L）</w:t>
            </w:r>
          </w:p>
        </w:tc>
        <w:tc>
          <w:tcPr>
            <w:tcW w:w="166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2000</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2000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4</w:t>
            </w:r>
          </w:p>
        </w:tc>
        <w:tc>
          <w:tcPr>
            <w:tcW w:w="2824" w:type="dxa"/>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动植物油（mg/L）</w:t>
            </w:r>
          </w:p>
        </w:tc>
        <w:tc>
          <w:tcPr>
            <w:tcW w:w="166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100</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5</w:t>
            </w:r>
          </w:p>
        </w:tc>
        <w:tc>
          <w:tcPr>
            <w:tcW w:w="2824" w:type="dxa"/>
            <w:vAlign w:val="center"/>
          </w:tcPr>
          <w:p>
            <w:pPr>
              <w:adjustRightInd w:val="0"/>
              <w:snapToGrid w:val="0"/>
              <w:jc w:val="center"/>
              <w:rPr>
                <w:color w:val="auto"/>
                <w:highlight w:val="none"/>
              </w:rPr>
            </w:pPr>
            <w:r>
              <w:rPr>
                <w:color w:val="auto"/>
                <w:highlight w:val="none"/>
              </w:rPr>
              <w:t>BOD</w:t>
            </w:r>
            <w:r>
              <w:rPr>
                <w:color w:val="auto"/>
                <w:highlight w:val="none"/>
                <w:vertAlign w:val="subscript"/>
              </w:rPr>
              <w:t>5</w:t>
            </w:r>
            <w:r>
              <w:rPr>
                <w:color w:val="auto"/>
                <w:highlight w:val="none"/>
              </w:rPr>
              <w:t>（mg/L）</w:t>
            </w:r>
          </w:p>
        </w:tc>
        <w:tc>
          <w:tcPr>
            <w:tcW w:w="166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350</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217</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217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6</w:t>
            </w:r>
          </w:p>
        </w:tc>
        <w:tc>
          <w:tcPr>
            <w:tcW w:w="282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COD（mg/L）</w:t>
            </w:r>
          </w:p>
        </w:tc>
        <w:tc>
          <w:tcPr>
            <w:tcW w:w="1664"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500</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423</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423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7</w:t>
            </w:r>
          </w:p>
        </w:tc>
        <w:tc>
          <w:tcPr>
            <w:tcW w:w="2824" w:type="dxa"/>
            <w:vAlign w:val="center"/>
          </w:tcPr>
          <w:p>
            <w:pPr>
              <w:adjustRightInd w:val="0"/>
              <w:snapToGrid w:val="0"/>
              <w:jc w:val="center"/>
              <w:rPr>
                <w:color w:val="auto"/>
                <w:highlight w:val="none"/>
              </w:rPr>
            </w:pPr>
            <w:r>
              <w:rPr>
                <w:color w:val="auto"/>
                <w:highlight w:val="none"/>
              </w:rPr>
              <w:t>氨氮（mg/L）</w:t>
            </w:r>
          </w:p>
        </w:tc>
        <w:tc>
          <w:tcPr>
            <w:tcW w:w="166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45</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35</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8</w:t>
            </w:r>
          </w:p>
        </w:tc>
        <w:tc>
          <w:tcPr>
            <w:tcW w:w="2824" w:type="dxa"/>
            <w:vAlign w:val="center"/>
          </w:tcPr>
          <w:p>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总磷（mg/L）</w:t>
            </w:r>
          </w:p>
        </w:tc>
        <w:tc>
          <w:tcPr>
            <w:tcW w:w="1664" w:type="dxa"/>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8</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6.5</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9</w:t>
            </w:r>
          </w:p>
        </w:tc>
        <w:tc>
          <w:tcPr>
            <w:tcW w:w="2824" w:type="dxa"/>
            <w:vAlign w:val="center"/>
          </w:tcPr>
          <w:p>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阴离子表面活性剂（mg/L）</w:t>
            </w:r>
          </w:p>
        </w:tc>
        <w:tc>
          <w:tcPr>
            <w:tcW w:w="1664" w:type="dxa"/>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20</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04"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10</w:t>
            </w:r>
          </w:p>
        </w:tc>
        <w:tc>
          <w:tcPr>
            <w:tcW w:w="2824"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总氮（mg/L）</w:t>
            </w:r>
          </w:p>
        </w:tc>
        <w:tc>
          <w:tcPr>
            <w:tcW w:w="1664"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1667"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42</w:t>
            </w:r>
          </w:p>
        </w:tc>
        <w:tc>
          <w:tcPr>
            <w:tcW w:w="1463" w:type="dxa"/>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42</w:t>
            </w:r>
          </w:p>
        </w:tc>
      </w:tr>
    </w:tbl>
    <w:p>
      <w:pPr>
        <w:spacing w:line="360" w:lineRule="auto"/>
        <w:ind w:firstLine="482" w:firstLineChars="200"/>
        <w:rPr>
          <w:b/>
          <w:color w:val="auto"/>
          <w:sz w:val="24"/>
          <w:highlight w:val="none"/>
        </w:rPr>
      </w:pPr>
      <w:r>
        <w:rPr>
          <w:b/>
          <w:color w:val="auto"/>
          <w:sz w:val="24"/>
          <w:highlight w:val="none"/>
        </w:rPr>
        <w:t>3、噪声排放标准</w:t>
      </w:r>
    </w:p>
    <w:p>
      <w:pPr>
        <w:spacing w:line="360" w:lineRule="auto"/>
        <w:ind w:firstLine="480" w:firstLineChars="200"/>
        <w:rPr>
          <w:color w:val="auto"/>
          <w:sz w:val="24"/>
          <w:highlight w:val="none"/>
        </w:rPr>
      </w:pPr>
      <w:r>
        <w:rPr>
          <w:color w:val="auto"/>
          <w:sz w:val="24"/>
          <w:highlight w:val="none"/>
        </w:rPr>
        <w:t>（1）施工噪声执行《建筑施工场界环境噪声排放标准》（GB12523-2011）。</w:t>
      </w:r>
    </w:p>
    <w:p>
      <w:pPr>
        <w:pStyle w:val="9"/>
        <w:spacing w:line="360" w:lineRule="auto"/>
        <w:ind w:firstLine="482"/>
        <w:jc w:val="center"/>
        <w:rPr>
          <w:b/>
          <w:color w:val="auto"/>
          <w:sz w:val="24"/>
          <w:highlight w:val="none"/>
        </w:rPr>
      </w:pPr>
      <w:r>
        <w:rPr>
          <w:b/>
          <w:color w:val="auto"/>
          <w:sz w:val="24"/>
          <w:highlight w:val="none"/>
        </w:rPr>
        <w:t>表1.4-1</w:t>
      </w:r>
      <w:r>
        <w:rPr>
          <w:rFonts w:hint="eastAsia"/>
          <w:b/>
          <w:color w:val="auto"/>
          <w:sz w:val="24"/>
          <w:highlight w:val="none"/>
          <w:lang w:val="en-US" w:eastAsia="zh-CN"/>
        </w:rPr>
        <w:t>0</w:t>
      </w:r>
      <w:r>
        <w:rPr>
          <w:b/>
          <w:color w:val="auto"/>
          <w:sz w:val="24"/>
          <w:highlight w:val="none"/>
        </w:rPr>
        <w:t xml:space="preserve">  建筑施工场界环境噪声排放限值    单位：dB(A)</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9"/>
        <w:gridCol w:w="3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59" w:type="dxa"/>
            <w:vAlign w:val="center"/>
          </w:tcPr>
          <w:p>
            <w:pPr>
              <w:pStyle w:val="9"/>
              <w:jc w:val="center"/>
              <w:rPr>
                <w:bCs/>
                <w:color w:val="auto"/>
                <w:sz w:val="21"/>
                <w:highlight w:val="none"/>
              </w:rPr>
            </w:pPr>
            <w:r>
              <w:rPr>
                <w:bCs/>
                <w:color w:val="auto"/>
                <w:sz w:val="21"/>
                <w:highlight w:val="none"/>
              </w:rPr>
              <w:t>昼间</w:t>
            </w:r>
          </w:p>
        </w:tc>
        <w:tc>
          <w:tcPr>
            <w:tcW w:w="3463" w:type="dxa"/>
            <w:vAlign w:val="center"/>
          </w:tcPr>
          <w:p>
            <w:pPr>
              <w:pStyle w:val="9"/>
              <w:jc w:val="center"/>
              <w:rPr>
                <w:bCs/>
                <w:color w:val="auto"/>
                <w:sz w:val="21"/>
                <w:highlight w:val="none"/>
              </w:rPr>
            </w:pPr>
            <w:r>
              <w:rPr>
                <w:bCs/>
                <w:color w:val="auto"/>
                <w:sz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5059" w:type="dxa"/>
            <w:vAlign w:val="center"/>
          </w:tcPr>
          <w:p>
            <w:pPr>
              <w:pStyle w:val="9"/>
              <w:jc w:val="center"/>
              <w:rPr>
                <w:color w:val="auto"/>
                <w:sz w:val="21"/>
                <w:highlight w:val="none"/>
              </w:rPr>
            </w:pPr>
            <w:r>
              <w:rPr>
                <w:color w:val="auto"/>
                <w:sz w:val="21"/>
                <w:highlight w:val="none"/>
              </w:rPr>
              <w:t>70</w:t>
            </w:r>
          </w:p>
        </w:tc>
        <w:tc>
          <w:tcPr>
            <w:tcW w:w="3463" w:type="dxa"/>
            <w:vAlign w:val="center"/>
          </w:tcPr>
          <w:p>
            <w:pPr>
              <w:pStyle w:val="9"/>
              <w:jc w:val="center"/>
              <w:rPr>
                <w:color w:val="auto"/>
                <w:sz w:val="21"/>
                <w:highlight w:val="none"/>
              </w:rPr>
            </w:pPr>
            <w:r>
              <w:rPr>
                <w:color w:val="auto"/>
                <w:sz w:val="21"/>
                <w:highlight w:val="none"/>
              </w:rPr>
              <w:t>55</w:t>
            </w:r>
          </w:p>
        </w:tc>
      </w:tr>
    </w:tbl>
    <w:p>
      <w:pPr>
        <w:spacing w:line="360" w:lineRule="auto"/>
        <w:ind w:firstLine="480" w:firstLineChars="200"/>
        <w:rPr>
          <w:color w:val="auto"/>
          <w:sz w:val="24"/>
          <w:highlight w:val="none"/>
        </w:rPr>
      </w:pPr>
      <w:r>
        <w:rPr>
          <w:color w:val="auto"/>
          <w:sz w:val="24"/>
          <w:highlight w:val="none"/>
        </w:rPr>
        <w:t>（2）运营期厂界</w:t>
      </w:r>
      <w:r>
        <w:rPr>
          <w:rFonts w:hint="eastAsia"/>
          <w:color w:val="auto"/>
          <w:sz w:val="24"/>
          <w:highlight w:val="none"/>
          <w:lang w:val="en-US" w:eastAsia="zh-CN"/>
        </w:rPr>
        <w:t>北侧临近S102省道（柯沙线）</w:t>
      </w:r>
      <w:r>
        <w:rPr>
          <w:rFonts w:hint="eastAsia"/>
          <w:color w:val="auto"/>
          <w:kern w:val="0"/>
          <w:sz w:val="24"/>
          <w:highlight w:val="none"/>
        </w:rPr>
        <w:t>3</w:t>
      </w:r>
      <w:r>
        <w:rPr>
          <w:rFonts w:hint="eastAsia"/>
          <w:color w:val="auto"/>
          <w:kern w:val="0"/>
          <w:sz w:val="24"/>
          <w:highlight w:val="none"/>
          <w:lang w:val="en-US" w:eastAsia="zh-CN"/>
        </w:rPr>
        <w:t>5</w:t>
      </w:r>
      <w:r>
        <w:rPr>
          <w:rFonts w:hint="eastAsia"/>
          <w:color w:val="auto"/>
          <w:kern w:val="0"/>
          <w:sz w:val="24"/>
          <w:highlight w:val="none"/>
        </w:rPr>
        <w:t>m范围</w:t>
      </w:r>
      <w:r>
        <w:rPr>
          <w:rFonts w:hint="eastAsia"/>
          <w:color w:val="auto"/>
          <w:kern w:val="0"/>
          <w:sz w:val="24"/>
          <w:highlight w:val="none"/>
          <w:lang w:val="en-US" w:eastAsia="zh-CN"/>
        </w:rPr>
        <w:t>噪声执行《工业企业厂界环境噪声排放标准》（GB12348-2008）4类标准，其余区域</w:t>
      </w:r>
      <w:r>
        <w:rPr>
          <w:color w:val="auto"/>
          <w:sz w:val="24"/>
          <w:highlight w:val="none"/>
        </w:rPr>
        <w:t>噪声执行《工业企业厂界环境噪声排放标准》（GB12348-2008）</w:t>
      </w:r>
      <w:r>
        <w:rPr>
          <w:rFonts w:hint="eastAsia"/>
          <w:color w:val="auto"/>
          <w:sz w:val="24"/>
          <w:highlight w:val="none"/>
          <w:lang w:val="en-US" w:eastAsia="zh-CN"/>
        </w:rPr>
        <w:t>2</w:t>
      </w:r>
      <w:r>
        <w:rPr>
          <w:color w:val="auto"/>
          <w:sz w:val="24"/>
          <w:highlight w:val="none"/>
        </w:rPr>
        <w:t>类标准。</w:t>
      </w:r>
    </w:p>
    <w:p>
      <w:pPr>
        <w:spacing w:line="360" w:lineRule="auto"/>
        <w:jc w:val="center"/>
        <w:rPr>
          <w:b/>
          <w:color w:val="auto"/>
          <w:sz w:val="24"/>
          <w:highlight w:val="none"/>
        </w:rPr>
      </w:pPr>
      <w:r>
        <w:rPr>
          <w:b/>
          <w:color w:val="auto"/>
          <w:sz w:val="24"/>
          <w:highlight w:val="none"/>
        </w:rPr>
        <w:t>表1.4-1</w:t>
      </w:r>
      <w:r>
        <w:rPr>
          <w:rFonts w:hint="eastAsia"/>
          <w:b/>
          <w:color w:val="auto"/>
          <w:sz w:val="24"/>
          <w:highlight w:val="none"/>
          <w:lang w:val="en-US" w:eastAsia="zh-CN"/>
        </w:rPr>
        <w:t>1</w:t>
      </w:r>
      <w:r>
        <w:rPr>
          <w:b/>
          <w:color w:val="auto"/>
          <w:sz w:val="24"/>
          <w:highlight w:val="none"/>
        </w:rPr>
        <w:t xml:space="preserve"> 工业企业厂界环境噪声排放标准    单位：dB(A)</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1"/>
        <w:gridCol w:w="2753"/>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01" w:type="dxa"/>
            <w:vMerge w:val="restart"/>
            <w:vAlign w:val="center"/>
          </w:tcPr>
          <w:p>
            <w:pPr>
              <w:spacing w:line="240" w:lineRule="auto"/>
              <w:jc w:val="center"/>
              <w:rPr>
                <w:bCs/>
                <w:color w:val="auto"/>
                <w:highlight w:val="none"/>
              </w:rPr>
            </w:pPr>
            <w:r>
              <w:rPr>
                <w:bCs/>
                <w:color w:val="auto"/>
                <w:highlight w:val="none"/>
              </w:rPr>
              <w:t>噪声排放限值</w:t>
            </w:r>
          </w:p>
        </w:tc>
        <w:tc>
          <w:tcPr>
            <w:tcW w:w="5821" w:type="dxa"/>
            <w:gridSpan w:val="2"/>
            <w:vAlign w:val="center"/>
          </w:tcPr>
          <w:p>
            <w:pPr>
              <w:spacing w:line="240" w:lineRule="auto"/>
              <w:ind w:firstLine="482"/>
              <w:jc w:val="center"/>
              <w:rPr>
                <w:bCs/>
                <w:color w:val="auto"/>
                <w:highlight w:val="none"/>
              </w:rPr>
            </w:pPr>
            <w:r>
              <w:rPr>
                <w:bCs/>
                <w:color w:val="auto"/>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vMerge w:val="continue"/>
            <w:vAlign w:val="center"/>
          </w:tcPr>
          <w:p>
            <w:pPr>
              <w:spacing w:line="240" w:lineRule="auto"/>
              <w:jc w:val="center"/>
              <w:rPr>
                <w:bCs/>
                <w:color w:val="auto"/>
                <w:highlight w:val="none"/>
              </w:rPr>
            </w:pPr>
          </w:p>
        </w:tc>
        <w:tc>
          <w:tcPr>
            <w:tcW w:w="2753" w:type="dxa"/>
            <w:vAlign w:val="center"/>
          </w:tcPr>
          <w:p>
            <w:pPr>
              <w:spacing w:line="240" w:lineRule="auto"/>
              <w:jc w:val="center"/>
              <w:rPr>
                <w:bCs/>
                <w:color w:val="auto"/>
                <w:highlight w:val="none"/>
              </w:rPr>
            </w:pPr>
            <w:r>
              <w:rPr>
                <w:bCs/>
                <w:color w:val="auto"/>
                <w:highlight w:val="none"/>
              </w:rPr>
              <w:t>昼间</w:t>
            </w:r>
          </w:p>
        </w:tc>
        <w:tc>
          <w:tcPr>
            <w:tcW w:w="3068" w:type="dxa"/>
            <w:vAlign w:val="center"/>
          </w:tcPr>
          <w:p>
            <w:pPr>
              <w:spacing w:line="240" w:lineRule="auto"/>
              <w:jc w:val="center"/>
              <w:rPr>
                <w:bCs/>
                <w:color w:val="auto"/>
                <w:highlight w:val="none"/>
              </w:rPr>
            </w:pPr>
            <w:r>
              <w:rPr>
                <w:bCs/>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vAlign w:val="center"/>
          </w:tcPr>
          <w:p>
            <w:pPr>
              <w:spacing w:line="240" w:lineRule="auto"/>
              <w:jc w:val="center"/>
              <w:rPr>
                <w:color w:val="auto"/>
                <w:highlight w:val="none"/>
              </w:rPr>
            </w:pPr>
            <w:r>
              <w:rPr>
                <w:rFonts w:hint="eastAsia"/>
                <w:color w:val="auto"/>
                <w:highlight w:val="none"/>
                <w:lang w:val="en-US" w:eastAsia="zh-CN"/>
              </w:rPr>
              <w:t>2</w:t>
            </w:r>
            <w:r>
              <w:rPr>
                <w:color w:val="auto"/>
                <w:highlight w:val="none"/>
              </w:rPr>
              <w:t>类</w:t>
            </w:r>
          </w:p>
        </w:tc>
        <w:tc>
          <w:tcPr>
            <w:tcW w:w="2753" w:type="dxa"/>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60</w:t>
            </w:r>
          </w:p>
        </w:tc>
        <w:tc>
          <w:tcPr>
            <w:tcW w:w="3068" w:type="dxa"/>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4类</w:t>
            </w:r>
          </w:p>
        </w:tc>
        <w:tc>
          <w:tcPr>
            <w:tcW w:w="2753" w:type="dxa"/>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70</w:t>
            </w:r>
          </w:p>
        </w:tc>
        <w:tc>
          <w:tcPr>
            <w:tcW w:w="3068" w:type="dxa"/>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55</w:t>
            </w:r>
          </w:p>
        </w:tc>
      </w:tr>
    </w:tbl>
    <w:p>
      <w:pPr>
        <w:spacing w:line="360" w:lineRule="auto"/>
        <w:ind w:firstLine="482" w:firstLineChars="200"/>
        <w:rPr>
          <w:b/>
          <w:color w:val="auto"/>
          <w:sz w:val="24"/>
          <w:highlight w:val="none"/>
        </w:rPr>
      </w:pPr>
      <w:r>
        <w:rPr>
          <w:b/>
          <w:color w:val="auto"/>
          <w:sz w:val="24"/>
          <w:highlight w:val="none"/>
        </w:rPr>
        <w:t>4、固体废物污染控制标准</w:t>
      </w:r>
    </w:p>
    <w:p>
      <w:pPr>
        <w:spacing w:line="360" w:lineRule="auto"/>
        <w:ind w:firstLine="480" w:firstLineChars="200"/>
        <w:rPr>
          <w:color w:val="auto"/>
          <w:sz w:val="24"/>
          <w:highlight w:val="none"/>
        </w:rPr>
      </w:pPr>
      <w:r>
        <w:rPr>
          <w:color w:val="auto"/>
          <w:sz w:val="24"/>
          <w:highlight w:val="none"/>
        </w:rPr>
        <w:t>（1）一般工业固废执行《一般工业固体废物贮存和填埋污染控制标准》（GB 18599-2020），2021年7月1日起施行；</w:t>
      </w:r>
    </w:p>
    <w:p>
      <w:pPr>
        <w:spacing w:line="360" w:lineRule="auto"/>
        <w:ind w:firstLine="480" w:firstLineChars="200"/>
        <w:rPr>
          <w:color w:val="auto"/>
          <w:kern w:val="28"/>
          <w:sz w:val="24"/>
          <w:highlight w:val="none"/>
        </w:rPr>
      </w:pPr>
      <w:r>
        <w:rPr>
          <w:color w:val="auto"/>
          <w:sz w:val="24"/>
          <w:highlight w:val="none"/>
        </w:rPr>
        <w:t>（2）危险废物执行《危险废物贮存污染控制标准》（GB18597-20</w:t>
      </w:r>
      <w:r>
        <w:rPr>
          <w:rFonts w:hint="eastAsia"/>
          <w:color w:val="auto"/>
          <w:sz w:val="24"/>
          <w:highlight w:val="none"/>
          <w:lang w:val="en-US" w:eastAsia="zh-CN"/>
        </w:rPr>
        <w:t>23</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自2023年7月1日起实施</w:t>
      </w:r>
      <w:r>
        <w:rPr>
          <w:rFonts w:hint="eastAsia"/>
          <w:color w:val="auto"/>
          <w:sz w:val="24"/>
          <w:highlight w:val="none"/>
          <w:lang w:eastAsia="zh-CN"/>
        </w:rPr>
        <w:t>）</w:t>
      </w:r>
      <w:r>
        <w:rPr>
          <w:color w:val="auto"/>
          <w:sz w:val="24"/>
          <w:highlight w:val="none"/>
        </w:rPr>
        <w:t>。</w:t>
      </w:r>
    </w:p>
    <w:p>
      <w:pPr>
        <w:pStyle w:val="3"/>
        <w:spacing w:before="0" w:after="0" w:line="360" w:lineRule="auto"/>
        <w:ind w:left="0"/>
        <w:textAlignment w:val="baseline"/>
        <w:rPr>
          <w:rFonts w:ascii="Times New Roman" w:hAnsi="Times New Roman" w:eastAsia="宋体"/>
          <w:color w:val="auto"/>
          <w:sz w:val="28"/>
          <w:szCs w:val="20"/>
          <w:highlight w:val="none"/>
        </w:rPr>
      </w:pPr>
      <w:bookmarkStart w:id="243" w:name="_Toc367282001"/>
      <w:bookmarkStart w:id="244" w:name="_Toc367281418"/>
      <w:bookmarkStart w:id="245" w:name="_Toc341369383"/>
      <w:bookmarkStart w:id="246" w:name="_Toc75908606"/>
      <w:bookmarkStart w:id="247" w:name="_Toc10298"/>
      <w:r>
        <w:rPr>
          <w:rFonts w:ascii="Times New Roman" w:hAnsi="Times New Roman" w:eastAsia="宋体"/>
          <w:color w:val="auto"/>
          <w:sz w:val="28"/>
          <w:szCs w:val="20"/>
          <w:highlight w:val="none"/>
        </w:rPr>
        <w:t>1.5评价工作等级</w:t>
      </w:r>
      <w:bookmarkEnd w:id="243"/>
      <w:bookmarkEnd w:id="244"/>
      <w:bookmarkEnd w:id="245"/>
      <w:r>
        <w:rPr>
          <w:rFonts w:ascii="Times New Roman" w:hAnsi="Times New Roman" w:eastAsia="宋体"/>
          <w:color w:val="auto"/>
          <w:sz w:val="28"/>
          <w:szCs w:val="20"/>
          <w:highlight w:val="none"/>
        </w:rPr>
        <w:t>和评价范围</w:t>
      </w:r>
      <w:bookmarkEnd w:id="246"/>
      <w:bookmarkEnd w:id="247"/>
    </w:p>
    <w:p>
      <w:pPr>
        <w:keepNext/>
        <w:keepLines/>
        <w:spacing w:line="360" w:lineRule="auto"/>
        <w:outlineLvl w:val="2"/>
        <w:rPr>
          <w:b/>
          <w:bCs/>
          <w:color w:val="auto"/>
          <w:sz w:val="24"/>
          <w:highlight w:val="none"/>
        </w:rPr>
      </w:pPr>
      <w:bookmarkStart w:id="248" w:name="_Toc75908607"/>
      <w:bookmarkStart w:id="249" w:name="_Toc18949"/>
      <w:bookmarkStart w:id="250" w:name="_Toc272301419"/>
      <w:bookmarkStart w:id="251" w:name="_Toc283831068"/>
      <w:r>
        <w:rPr>
          <w:b/>
          <w:bCs/>
          <w:color w:val="auto"/>
          <w:sz w:val="24"/>
          <w:highlight w:val="none"/>
        </w:rPr>
        <w:t>1.5.1环境空气</w:t>
      </w:r>
      <w:bookmarkEnd w:id="248"/>
      <w:bookmarkEnd w:id="249"/>
    </w:p>
    <w:p>
      <w:pPr>
        <w:spacing w:line="360" w:lineRule="auto"/>
        <w:ind w:firstLine="480" w:firstLineChars="200"/>
        <w:rPr>
          <w:color w:val="auto"/>
          <w:sz w:val="24"/>
          <w:highlight w:val="none"/>
        </w:rPr>
      </w:pPr>
      <w:r>
        <w:rPr>
          <w:color w:val="auto"/>
          <w:sz w:val="24"/>
          <w:highlight w:val="none"/>
        </w:rPr>
        <w:t>（1）大气环境影响评价等级划分依据</w:t>
      </w:r>
    </w:p>
    <w:p>
      <w:pPr>
        <w:spacing w:line="360" w:lineRule="auto"/>
        <w:ind w:firstLine="480" w:firstLineChars="200"/>
        <w:rPr>
          <w:color w:val="auto"/>
          <w:sz w:val="24"/>
          <w:highlight w:val="none"/>
        </w:rPr>
      </w:pPr>
      <w:r>
        <w:rPr>
          <w:color w:val="auto"/>
          <w:sz w:val="24"/>
          <w:highlight w:val="none"/>
        </w:rPr>
        <w:t>建设项目大气环境影响评价等级按照《环境影响评价技术导则 大气环境》（HJ 2.2-2018）中表2的评价等级</w:t>
      </w:r>
      <w:r>
        <w:rPr>
          <w:rFonts w:hint="eastAsia"/>
          <w:color w:val="auto"/>
          <w:sz w:val="24"/>
          <w:highlight w:val="none"/>
          <w:lang w:eastAsia="zh-CN"/>
        </w:rPr>
        <w:t>依据</w:t>
      </w:r>
      <w:r>
        <w:rPr>
          <w:color w:val="auto"/>
          <w:sz w:val="24"/>
          <w:highlight w:val="none"/>
        </w:rPr>
        <w:t>进行划分。</w:t>
      </w:r>
    </w:p>
    <w:p>
      <w:pPr>
        <w:spacing w:line="360" w:lineRule="auto"/>
        <w:jc w:val="center"/>
        <w:rPr>
          <w:b/>
          <w:color w:val="auto"/>
          <w:sz w:val="24"/>
          <w:highlight w:val="none"/>
        </w:rPr>
      </w:pPr>
      <w:r>
        <w:rPr>
          <w:b/>
          <w:color w:val="auto"/>
          <w:sz w:val="24"/>
          <w:highlight w:val="none"/>
        </w:rPr>
        <w:t>表1.5-1  评价工作等级判据表</w:t>
      </w:r>
    </w:p>
    <w:tbl>
      <w:tblPr>
        <w:tblStyle w:val="55"/>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5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4" w:type="dxa"/>
            <w:tcMar>
              <w:left w:w="0" w:type="dxa"/>
              <w:right w:w="0" w:type="dxa"/>
            </w:tcMar>
            <w:vAlign w:val="center"/>
          </w:tcPr>
          <w:p>
            <w:pPr>
              <w:jc w:val="center"/>
              <w:rPr>
                <w:b/>
                <w:color w:val="auto"/>
                <w:szCs w:val="21"/>
                <w:highlight w:val="none"/>
              </w:rPr>
            </w:pPr>
            <w:r>
              <w:rPr>
                <w:b/>
                <w:color w:val="auto"/>
                <w:szCs w:val="21"/>
                <w:highlight w:val="none"/>
              </w:rPr>
              <w:t>评价工作等级</w:t>
            </w:r>
          </w:p>
        </w:tc>
        <w:tc>
          <w:tcPr>
            <w:tcW w:w="5492" w:type="dxa"/>
            <w:tcMar>
              <w:left w:w="0" w:type="dxa"/>
              <w:right w:w="0" w:type="dxa"/>
            </w:tcMar>
            <w:vAlign w:val="center"/>
          </w:tcPr>
          <w:p>
            <w:pPr>
              <w:jc w:val="center"/>
              <w:rPr>
                <w:b/>
                <w:color w:val="auto"/>
                <w:szCs w:val="21"/>
                <w:highlight w:val="none"/>
              </w:rPr>
            </w:pPr>
            <w:r>
              <w:rPr>
                <w:b/>
                <w:color w:val="auto"/>
                <w:szCs w:val="21"/>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4" w:type="dxa"/>
            <w:tcMar>
              <w:left w:w="0" w:type="dxa"/>
              <w:right w:w="0" w:type="dxa"/>
            </w:tcMar>
            <w:vAlign w:val="center"/>
          </w:tcPr>
          <w:p>
            <w:pPr>
              <w:jc w:val="center"/>
              <w:rPr>
                <w:color w:val="auto"/>
                <w:szCs w:val="21"/>
                <w:highlight w:val="none"/>
              </w:rPr>
            </w:pPr>
            <w:r>
              <w:rPr>
                <w:color w:val="auto"/>
                <w:szCs w:val="21"/>
                <w:highlight w:val="none"/>
              </w:rPr>
              <w:t>一级</w:t>
            </w:r>
          </w:p>
        </w:tc>
        <w:tc>
          <w:tcPr>
            <w:tcW w:w="5492" w:type="dxa"/>
            <w:tcMar>
              <w:left w:w="0" w:type="dxa"/>
              <w:right w:w="0" w:type="dxa"/>
            </w:tcMar>
            <w:vAlign w:val="center"/>
          </w:tcPr>
          <w:p>
            <w:pPr>
              <w:jc w:val="center"/>
              <w:rPr>
                <w:color w:val="auto"/>
                <w:szCs w:val="21"/>
                <w:highlight w:val="none"/>
              </w:rPr>
            </w:pPr>
            <w:r>
              <w:rPr>
                <w:color w:val="auto"/>
                <w:szCs w:val="21"/>
                <w:highlight w:val="none"/>
              </w:rPr>
              <w:t>P</w:t>
            </w:r>
            <w:r>
              <w:rPr>
                <w:color w:val="auto"/>
                <w:szCs w:val="21"/>
                <w:highlight w:val="none"/>
                <w:vertAlign w:val="subscript"/>
              </w:rPr>
              <w:t>max</w:t>
            </w:r>
            <w:r>
              <w:rPr>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4" w:type="dxa"/>
            <w:tcMar>
              <w:left w:w="0" w:type="dxa"/>
              <w:right w:w="0" w:type="dxa"/>
            </w:tcMar>
            <w:vAlign w:val="center"/>
          </w:tcPr>
          <w:p>
            <w:pPr>
              <w:jc w:val="center"/>
              <w:rPr>
                <w:color w:val="auto"/>
                <w:szCs w:val="21"/>
                <w:highlight w:val="none"/>
              </w:rPr>
            </w:pPr>
            <w:r>
              <w:rPr>
                <w:color w:val="auto"/>
                <w:szCs w:val="21"/>
                <w:highlight w:val="none"/>
              </w:rPr>
              <w:t>二级</w:t>
            </w:r>
          </w:p>
        </w:tc>
        <w:tc>
          <w:tcPr>
            <w:tcW w:w="5492" w:type="dxa"/>
            <w:tcMar>
              <w:left w:w="0" w:type="dxa"/>
              <w:right w:w="0" w:type="dxa"/>
            </w:tcMar>
            <w:vAlign w:val="center"/>
          </w:tcPr>
          <w:p>
            <w:pPr>
              <w:jc w:val="center"/>
              <w:rPr>
                <w:color w:val="auto"/>
                <w:szCs w:val="21"/>
                <w:highlight w:val="none"/>
              </w:rPr>
            </w:pPr>
            <w:r>
              <w:rPr>
                <w:color w:val="auto"/>
                <w:szCs w:val="21"/>
                <w:highlight w:val="none"/>
              </w:rPr>
              <w:t>1%≤P</w:t>
            </w:r>
            <w:r>
              <w:rPr>
                <w:color w:val="auto"/>
                <w:szCs w:val="21"/>
                <w:highlight w:val="none"/>
                <w:vertAlign w:val="subscript"/>
              </w:rPr>
              <w:t>max</w:t>
            </w:r>
            <w:r>
              <w:rPr>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4" w:type="dxa"/>
            <w:tcMar>
              <w:left w:w="0" w:type="dxa"/>
              <w:right w:w="0" w:type="dxa"/>
            </w:tcMar>
            <w:vAlign w:val="center"/>
          </w:tcPr>
          <w:p>
            <w:pPr>
              <w:jc w:val="center"/>
              <w:rPr>
                <w:color w:val="auto"/>
                <w:szCs w:val="21"/>
                <w:highlight w:val="none"/>
              </w:rPr>
            </w:pPr>
            <w:r>
              <w:rPr>
                <w:color w:val="auto"/>
                <w:szCs w:val="21"/>
                <w:highlight w:val="none"/>
              </w:rPr>
              <w:t>三级</w:t>
            </w:r>
          </w:p>
        </w:tc>
        <w:tc>
          <w:tcPr>
            <w:tcW w:w="5492" w:type="dxa"/>
            <w:tcMar>
              <w:left w:w="0" w:type="dxa"/>
              <w:right w:w="0" w:type="dxa"/>
            </w:tcMar>
            <w:vAlign w:val="center"/>
          </w:tcPr>
          <w:p>
            <w:pPr>
              <w:jc w:val="center"/>
              <w:rPr>
                <w:color w:val="auto"/>
                <w:szCs w:val="21"/>
                <w:highlight w:val="none"/>
              </w:rPr>
            </w:pPr>
            <w:r>
              <w:rPr>
                <w:color w:val="auto"/>
                <w:szCs w:val="21"/>
                <w:highlight w:val="none"/>
              </w:rPr>
              <w:t>P</w:t>
            </w:r>
            <w:r>
              <w:rPr>
                <w:color w:val="auto"/>
                <w:szCs w:val="21"/>
                <w:highlight w:val="none"/>
                <w:vertAlign w:val="subscript"/>
              </w:rPr>
              <w:t>max</w:t>
            </w:r>
            <w:r>
              <w:rPr>
                <w:color w:val="auto"/>
                <w:szCs w:val="21"/>
                <w:highlight w:val="none"/>
              </w:rPr>
              <w:t>＜1%</w:t>
            </w:r>
          </w:p>
        </w:tc>
      </w:tr>
    </w:tbl>
    <w:p>
      <w:pPr>
        <w:spacing w:line="360" w:lineRule="auto"/>
        <w:ind w:firstLine="480" w:firstLineChars="200"/>
        <w:rPr>
          <w:color w:val="auto"/>
          <w:sz w:val="24"/>
          <w:highlight w:val="none"/>
        </w:rPr>
      </w:pPr>
      <w:r>
        <w:rPr>
          <w:color w:val="auto"/>
          <w:sz w:val="24"/>
          <w:highlight w:val="none"/>
        </w:rPr>
        <w:t>根据导则规定，选取推荐模式中的估算模式（AERSCREEN模型）对项目的大气环境评价工作进行分级。</w:t>
      </w:r>
    </w:p>
    <w:p>
      <w:pPr>
        <w:spacing w:line="360" w:lineRule="auto"/>
        <w:ind w:firstLine="480" w:firstLineChars="200"/>
        <w:rPr>
          <w:color w:val="auto"/>
          <w:szCs w:val="21"/>
          <w:highlight w:val="none"/>
        </w:rPr>
      </w:pPr>
      <w:r>
        <w:rPr>
          <w:color w:val="auto"/>
          <w:sz w:val="24"/>
          <w:highlight w:val="none"/>
        </w:rPr>
        <w:t>按照污染源情况，分别计算各主要污染物最大地面空气质量浓度占标率P</w:t>
      </w:r>
      <w:r>
        <w:rPr>
          <w:color w:val="auto"/>
          <w:sz w:val="24"/>
          <w:highlight w:val="none"/>
          <w:vertAlign w:val="subscript"/>
        </w:rPr>
        <w:t>i</w:t>
      </w:r>
      <w:r>
        <w:rPr>
          <w:color w:val="auto"/>
          <w:sz w:val="24"/>
          <w:highlight w:val="none"/>
        </w:rPr>
        <w:t>及其地面浓度达标准限值10%时所对应的最远距离D</w:t>
      </w:r>
      <w:r>
        <w:rPr>
          <w:color w:val="auto"/>
          <w:sz w:val="24"/>
          <w:highlight w:val="none"/>
          <w:vertAlign w:val="subscript"/>
        </w:rPr>
        <w:t>10%</w:t>
      </w:r>
      <w:r>
        <w:rPr>
          <w:color w:val="auto"/>
          <w:sz w:val="24"/>
          <w:highlight w:val="none"/>
        </w:rPr>
        <w:t>。其中P</w:t>
      </w:r>
      <w:r>
        <w:rPr>
          <w:color w:val="auto"/>
          <w:sz w:val="24"/>
          <w:highlight w:val="none"/>
          <w:vertAlign w:val="subscript"/>
        </w:rPr>
        <w:t>i</w:t>
      </w:r>
      <w:r>
        <w:rPr>
          <w:color w:val="auto"/>
          <w:sz w:val="24"/>
          <w:highlight w:val="none"/>
        </w:rPr>
        <w:t>定义为：</w:t>
      </w:r>
    </w:p>
    <w:p>
      <w:pPr>
        <w:spacing w:line="360" w:lineRule="auto"/>
        <w:jc w:val="center"/>
        <w:rPr>
          <w:color w:val="auto"/>
          <w:sz w:val="24"/>
          <w:highlight w:val="none"/>
        </w:rPr>
      </w:pPr>
      <w:bookmarkStart w:id="252" w:name="_Toc309719471"/>
      <w:r>
        <w:rPr>
          <w:color w:val="auto"/>
          <w:sz w:val="24"/>
          <w:highlight w:val="none"/>
        </w:rPr>
        <w:t>P</w:t>
      </w:r>
      <w:r>
        <w:rPr>
          <w:color w:val="auto"/>
          <w:sz w:val="24"/>
          <w:highlight w:val="none"/>
          <w:vertAlign w:val="subscript"/>
        </w:rPr>
        <w:t>i</w:t>
      </w:r>
      <w:r>
        <w:rPr>
          <w:color w:val="auto"/>
          <w:sz w:val="24"/>
          <w:highlight w:val="none"/>
        </w:rPr>
        <w:t>=C</w:t>
      </w:r>
      <w:r>
        <w:rPr>
          <w:color w:val="auto"/>
          <w:sz w:val="24"/>
          <w:highlight w:val="none"/>
          <w:vertAlign w:val="subscript"/>
        </w:rPr>
        <w:t>i</w:t>
      </w:r>
      <w:r>
        <w:rPr>
          <w:color w:val="auto"/>
          <w:sz w:val="24"/>
          <w:highlight w:val="none"/>
        </w:rPr>
        <w:t>/C</w:t>
      </w:r>
      <w:r>
        <w:rPr>
          <w:color w:val="auto"/>
          <w:sz w:val="24"/>
          <w:highlight w:val="none"/>
          <w:vertAlign w:val="subscript"/>
        </w:rPr>
        <w:t>0i</w:t>
      </w:r>
      <w:r>
        <w:rPr>
          <w:color w:val="auto"/>
          <w:sz w:val="24"/>
          <w:highlight w:val="none"/>
        </w:rPr>
        <w:t>×100%</w:t>
      </w:r>
      <w:bookmarkEnd w:id="252"/>
    </w:p>
    <w:p>
      <w:pPr>
        <w:spacing w:line="360" w:lineRule="auto"/>
        <w:ind w:firstLine="480" w:firstLineChars="200"/>
        <w:rPr>
          <w:color w:val="auto"/>
          <w:sz w:val="24"/>
          <w:highlight w:val="none"/>
        </w:rPr>
      </w:pPr>
      <w:r>
        <w:rPr>
          <w:color w:val="auto"/>
          <w:sz w:val="24"/>
          <w:highlight w:val="none"/>
        </w:rPr>
        <w:t>式中：P</w:t>
      </w:r>
      <w:r>
        <w:rPr>
          <w:color w:val="auto"/>
          <w:sz w:val="24"/>
          <w:highlight w:val="none"/>
          <w:vertAlign w:val="subscript"/>
        </w:rPr>
        <w:t>i</w:t>
      </w:r>
      <w:r>
        <w:rPr>
          <w:color w:val="auto"/>
          <w:sz w:val="24"/>
          <w:highlight w:val="none"/>
        </w:rPr>
        <w:t>—第i个污染物的最大地面空气质量浓度占标率，%；</w:t>
      </w:r>
    </w:p>
    <w:p>
      <w:pPr>
        <w:spacing w:line="360" w:lineRule="auto"/>
        <w:ind w:firstLine="1200" w:firstLineChars="500"/>
        <w:rPr>
          <w:color w:val="auto"/>
          <w:sz w:val="24"/>
          <w:highlight w:val="none"/>
        </w:rPr>
      </w:pPr>
      <w:bookmarkStart w:id="253" w:name="_Toc309719472"/>
      <w:r>
        <w:rPr>
          <w:color w:val="auto"/>
          <w:sz w:val="24"/>
          <w:highlight w:val="none"/>
        </w:rPr>
        <w:t>C</w:t>
      </w:r>
      <w:r>
        <w:rPr>
          <w:color w:val="auto"/>
          <w:sz w:val="24"/>
          <w:highlight w:val="none"/>
          <w:vertAlign w:val="subscript"/>
        </w:rPr>
        <w:t>i</w:t>
      </w:r>
      <w:r>
        <w:rPr>
          <w:color w:val="auto"/>
          <w:sz w:val="24"/>
          <w:highlight w:val="none"/>
        </w:rPr>
        <w:t>—采用估算模式计算出的第i个污染物的最大1h地面空气质量浓度，μg/m</w:t>
      </w:r>
      <w:r>
        <w:rPr>
          <w:color w:val="auto"/>
          <w:sz w:val="24"/>
          <w:highlight w:val="none"/>
          <w:vertAlign w:val="superscript"/>
        </w:rPr>
        <w:t>3</w:t>
      </w:r>
      <w:r>
        <w:rPr>
          <w:color w:val="auto"/>
          <w:sz w:val="24"/>
          <w:highlight w:val="none"/>
        </w:rPr>
        <w:t>；</w:t>
      </w:r>
      <w:bookmarkEnd w:id="253"/>
    </w:p>
    <w:p>
      <w:pPr>
        <w:spacing w:line="360" w:lineRule="auto"/>
        <w:ind w:firstLine="1200" w:firstLineChars="500"/>
        <w:rPr>
          <w:color w:val="auto"/>
          <w:sz w:val="24"/>
          <w:highlight w:val="none"/>
        </w:rPr>
      </w:pPr>
      <w:r>
        <w:rPr>
          <w:color w:val="auto"/>
          <w:sz w:val="24"/>
          <w:highlight w:val="none"/>
        </w:rPr>
        <w:t>C</w:t>
      </w:r>
      <w:r>
        <w:rPr>
          <w:color w:val="auto"/>
          <w:sz w:val="24"/>
          <w:highlight w:val="none"/>
          <w:vertAlign w:val="subscript"/>
        </w:rPr>
        <w:t>0i</w:t>
      </w:r>
      <w:r>
        <w:rPr>
          <w:color w:val="auto"/>
          <w:sz w:val="24"/>
          <w:highlight w:val="none"/>
        </w:rPr>
        <w:t>—第i个污染物的环境空气质量浓度标准，μg/m</w:t>
      </w:r>
      <w:r>
        <w:rPr>
          <w:color w:val="auto"/>
          <w:sz w:val="24"/>
          <w:highlight w:val="none"/>
          <w:vertAlign w:val="superscript"/>
        </w:rPr>
        <w:t>3</w:t>
      </w:r>
      <w:r>
        <w:rPr>
          <w:color w:val="auto"/>
          <w:sz w:val="24"/>
          <w:highlight w:val="none"/>
        </w:rPr>
        <w:t>。</w:t>
      </w:r>
    </w:p>
    <w:p>
      <w:pPr>
        <w:spacing w:line="360" w:lineRule="auto"/>
        <w:ind w:firstLine="480" w:firstLineChars="200"/>
        <w:rPr>
          <w:color w:val="auto"/>
          <w:kern w:val="0"/>
          <w:sz w:val="24"/>
          <w:highlight w:val="none"/>
        </w:rPr>
      </w:pPr>
      <w:r>
        <w:rPr>
          <w:color w:val="auto"/>
          <w:kern w:val="0"/>
          <w:sz w:val="24"/>
          <w:highlight w:val="none"/>
        </w:rPr>
        <w:t>（2）确定评价等级</w:t>
      </w:r>
    </w:p>
    <w:p>
      <w:pPr>
        <w:spacing w:line="360" w:lineRule="auto"/>
        <w:ind w:firstLine="480" w:firstLineChars="200"/>
        <w:rPr>
          <w:color w:val="auto"/>
          <w:sz w:val="24"/>
          <w:highlight w:val="none"/>
        </w:rPr>
      </w:pPr>
      <w:r>
        <w:rPr>
          <w:color w:val="auto"/>
          <w:kern w:val="0"/>
          <w:sz w:val="24"/>
          <w:highlight w:val="none"/>
        </w:rPr>
        <w:t>本项目生产废气主要来自塑料</w:t>
      </w:r>
      <w:r>
        <w:rPr>
          <w:rFonts w:hint="eastAsia"/>
          <w:color w:val="auto"/>
          <w:kern w:val="0"/>
          <w:sz w:val="24"/>
          <w:highlight w:val="none"/>
          <w:lang w:val="en-US" w:eastAsia="zh-CN"/>
        </w:rPr>
        <w:t>颗粒注塑</w:t>
      </w:r>
      <w:r>
        <w:rPr>
          <w:color w:val="auto"/>
          <w:kern w:val="0"/>
          <w:sz w:val="24"/>
          <w:highlight w:val="none"/>
        </w:rPr>
        <w:t>工序产生的有机废气（以非甲烷总烃计）、臭气和原料在</w:t>
      </w:r>
      <w:r>
        <w:rPr>
          <w:rFonts w:hint="eastAsia"/>
          <w:color w:val="auto"/>
          <w:kern w:val="0"/>
          <w:sz w:val="24"/>
          <w:highlight w:val="none"/>
          <w:lang w:val="en-US" w:eastAsia="zh-CN"/>
        </w:rPr>
        <w:t>拌料、破碎</w:t>
      </w:r>
      <w:r>
        <w:rPr>
          <w:color w:val="auto"/>
          <w:kern w:val="0"/>
          <w:sz w:val="24"/>
          <w:highlight w:val="none"/>
        </w:rPr>
        <w:t>等作业过程中产生的粉尘，通过</w:t>
      </w:r>
      <w:r>
        <w:rPr>
          <w:color w:val="auto"/>
          <w:sz w:val="24"/>
          <w:highlight w:val="none"/>
        </w:rPr>
        <w:t>AERSCREEN估算模式对大气污染物P</w:t>
      </w:r>
      <w:r>
        <w:rPr>
          <w:color w:val="auto"/>
          <w:sz w:val="24"/>
          <w:highlight w:val="none"/>
          <w:vertAlign w:val="subscript"/>
        </w:rPr>
        <w:t>max</w:t>
      </w:r>
      <w:r>
        <w:rPr>
          <w:color w:val="auto"/>
          <w:sz w:val="24"/>
          <w:highlight w:val="none"/>
        </w:rPr>
        <w:t>和D10%进行计算。</w:t>
      </w:r>
    </w:p>
    <w:p>
      <w:pPr>
        <w:spacing w:line="360" w:lineRule="auto"/>
        <w:jc w:val="center"/>
        <w:rPr>
          <w:b/>
          <w:color w:val="auto"/>
          <w:sz w:val="24"/>
          <w:highlight w:val="none"/>
        </w:rPr>
      </w:pPr>
      <w:r>
        <w:rPr>
          <w:b/>
          <w:color w:val="auto"/>
          <w:sz w:val="24"/>
          <w:highlight w:val="none"/>
        </w:rPr>
        <w:t>表1.5-2  估算模式计算结果统计表</w:t>
      </w:r>
    </w:p>
    <w:tbl>
      <w:tblPr>
        <w:tblStyle w:val="5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184"/>
        <w:gridCol w:w="1384"/>
        <w:gridCol w:w="1195"/>
        <w:gridCol w:w="872"/>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Align w:val="center"/>
          </w:tcPr>
          <w:p>
            <w:pPr>
              <w:jc w:val="center"/>
              <w:rPr>
                <w:b/>
                <w:color w:val="auto"/>
                <w:highlight w:val="none"/>
              </w:rPr>
            </w:pPr>
            <w:r>
              <w:rPr>
                <w:b/>
                <w:color w:val="auto"/>
                <w:highlight w:val="none"/>
              </w:rPr>
              <w:t>污染源</w:t>
            </w:r>
          </w:p>
        </w:tc>
        <w:tc>
          <w:tcPr>
            <w:tcW w:w="2184" w:type="dxa"/>
            <w:vAlign w:val="center"/>
          </w:tcPr>
          <w:p>
            <w:pPr>
              <w:jc w:val="center"/>
              <w:rPr>
                <w:b/>
                <w:color w:val="auto"/>
                <w:highlight w:val="none"/>
              </w:rPr>
            </w:pPr>
            <w:r>
              <w:rPr>
                <w:b/>
                <w:color w:val="auto"/>
                <w:highlight w:val="none"/>
              </w:rPr>
              <w:t>主要污染物</w:t>
            </w:r>
          </w:p>
        </w:tc>
        <w:tc>
          <w:tcPr>
            <w:tcW w:w="1384" w:type="dxa"/>
            <w:vAlign w:val="center"/>
          </w:tcPr>
          <w:p>
            <w:pPr>
              <w:jc w:val="center"/>
              <w:rPr>
                <w:b/>
                <w:color w:val="auto"/>
                <w:highlight w:val="none"/>
              </w:rPr>
            </w:pPr>
            <w:r>
              <w:rPr>
                <w:b/>
                <w:color w:val="auto"/>
                <w:highlight w:val="none"/>
              </w:rPr>
              <w:t>评价标准</w:t>
            </w:r>
          </w:p>
          <w:p>
            <w:pPr>
              <w:jc w:val="center"/>
              <w:rPr>
                <w:b/>
                <w:color w:val="auto"/>
                <w:highlight w:val="none"/>
              </w:rPr>
            </w:pPr>
            <w:r>
              <w:rPr>
                <w:b/>
                <w:color w:val="auto"/>
                <w:highlight w:val="none"/>
              </w:rPr>
              <w:t>（μg/m</w:t>
            </w:r>
            <w:r>
              <w:rPr>
                <w:b/>
                <w:color w:val="auto"/>
                <w:highlight w:val="none"/>
                <w:vertAlign w:val="superscript"/>
              </w:rPr>
              <w:t>3</w:t>
            </w:r>
            <w:r>
              <w:rPr>
                <w:b/>
                <w:color w:val="auto"/>
                <w:highlight w:val="none"/>
              </w:rPr>
              <w:t>）</w:t>
            </w:r>
          </w:p>
        </w:tc>
        <w:tc>
          <w:tcPr>
            <w:tcW w:w="1195" w:type="dxa"/>
            <w:vAlign w:val="center"/>
          </w:tcPr>
          <w:p>
            <w:pPr>
              <w:jc w:val="center"/>
              <w:rPr>
                <w:b/>
                <w:color w:val="auto"/>
                <w:highlight w:val="none"/>
              </w:rPr>
            </w:pPr>
            <w:r>
              <w:rPr>
                <w:b/>
                <w:color w:val="auto"/>
                <w:highlight w:val="none"/>
              </w:rPr>
              <w:t>C</w:t>
            </w:r>
            <w:r>
              <w:rPr>
                <w:b/>
                <w:color w:val="auto"/>
                <w:highlight w:val="none"/>
                <w:vertAlign w:val="subscript"/>
              </w:rPr>
              <w:t>max</w:t>
            </w:r>
          </w:p>
          <w:p>
            <w:pPr>
              <w:jc w:val="center"/>
              <w:rPr>
                <w:b/>
                <w:color w:val="auto"/>
                <w:highlight w:val="none"/>
              </w:rPr>
            </w:pPr>
            <w:r>
              <w:rPr>
                <w:b/>
                <w:color w:val="auto"/>
                <w:highlight w:val="none"/>
              </w:rPr>
              <w:t>（μg/m</w:t>
            </w:r>
            <w:r>
              <w:rPr>
                <w:b/>
                <w:color w:val="auto"/>
                <w:highlight w:val="none"/>
                <w:vertAlign w:val="superscript"/>
              </w:rPr>
              <w:t>3</w:t>
            </w:r>
            <w:r>
              <w:rPr>
                <w:b/>
                <w:color w:val="auto"/>
                <w:highlight w:val="none"/>
              </w:rPr>
              <w:t>）</w:t>
            </w:r>
          </w:p>
        </w:tc>
        <w:tc>
          <w:tcPr>
            <w:tcW w:w="872" w:type="dxa"/>
            <w:vAlign w:val="center"/>
          </w:tcPr>
          <w:p>
            <w:pPr>
              <w:jc w:val="center"/>
              <w:rPr>
                <w:b/>
                <w:color w:val="auto"/>
                <w:highlight w:val="none"/>
              </w:rPr>
            </w:pPr>
            <w:r>
              <w:rPr>
                <w:b/>
                <w:color w:val="auto"/>
                <w:highlight w:val="none"/>
              </w:rPr>
              <w:t>P</w:t>
            </w:r>
            <w:r>
              <w:rPr>
                <w:b/>
                <w:color w:val="auto"/>
                <w:highlight w:val="none"/>
                <w:vertAlign w:val="subscript"/>
              </w:rPr>
              <w:t>max</w:t>
            </w:r>
          </w:p>
          <w:p>
            <w:pPr>
              <w:jc w:val="center"/>
              <w:rPr>
                <w:b/>
                <w:color w:val="auto"/>
                <w:highlight w:val="none"/>
              </w:rPr>
            </w:pPr>
            <w:r>
              <w:rPr>
                <w:b/>
                <w:color w:val="auto"/>
                <w:highlight w:val="none"/>
              </w:rPr>
              <w:t>（%）</w:t>
            </w:r>
          </w:p>
        </w:tc>
        <w:tc>
          <w:tcPr>
            <w:tcW w:w="1595" w:type="dxa"/>
            <w:vAlign w:val="center"/>
          </w:tcPr>
          <w:p>
            <w:pPr>
              <w:jc w:val="center"/>
              <w:rPr>
                <w:b/>
                <w:color w:val="auto"/>
                <w:highlight w:val="none"/>
              </w:rPr>
            </w:pPr>
            <w:r>
              <w:rPr>
                <w:b/>
                <w:color w:val="auto"/>
                <w:highlight w:val="none"/>
              </w:rPr>
              <w:t>建议</w:t>
            </w:r>
          </w:p>
          <w:p>
            <w:pPr>
              <w:jc w:val="center"/>
              <w:rPr>
                <w:b/>
                <w:color w:val="auto"/>
                <w:highlight w:val="none"/>
              </w:rPr>
            </w:pPr>
            <w:r>
              <w:rPr>
                <w:b/>
                <w:color w:val="auto"/>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92" w:type="dxa"/>
            <w:vAlign w:val="center"/>
          </w:tcPr>
          <w:p>
            <w:pPr>
              <w:jc w:val="center"/>
              <w:rPr>
                <w:color w:val="auto"/>
                <w:highlight w:val="none"/>
              </w:rPr>
            </w:pPr>
            <w:r>
              <w:rPr>
                <w:color w:val="auto"/>
                <w:highlight w:val="none"/>
              </w:rPr>
              <w:t>1#排气筒</w:t>
            </w:r>
          </w:p>
        </w:tc>
        <w:tc>
          <w:tcPr>
            <w:tcW w:w="2184" w:type="dxa"/>
            <w:vAlign w:val="center"/>
          </w:tcPr>
          <w:p>
            <w:pPr>
              <w:jc w:val="center"/>
              <w:rPr>
                <w:color w:val="auto"/>
                <w:highlight w:val="none"/>
              </w:rPr>
            </w:pPr>
            <w:r>
              <w:rPr>
                <w:color w:val="auto"/>
                <w:highlight w:val="none"/>
              </w:rPr>
              <w:t>非甲烷总烃</w:t>
            </w:r>
          </w:p>
        </w:tc>
        <w:tc>
          <w:tcPr>
            <w:tcW w:w="1384" w:type="dxa"/>
            <w:vAlign w:val="center"/>
          </w:tcPr>
          <w:p>
            <w:pPr>
              <w:jc w:val="center"/>
              <w:rPr>
                <w:color w:val="auto"/>
                <w:highlight w:val="none"/>
              </w:rPr>
            </w:pPr>
            <w:r>
              <w:rPr>
                <w:color w:val="auto"/>
                <w:highlight w:val="none"/>
              </w:rPr>
              <w:t>2000</w:t>
            </w:r>
          </w:p>
        </w:tc>
        <w:tc>
          <w:tcPr>
            <w:tcW w:w="1195" w:type="dxa"/>
            <w:vAlign w:val="center"/>
          </w:tcPr>
          <w:p>
            <w:pPr>
              <w:jc w:val="center"/>
              <w:rPr>
                <w:rFonts w:hint="default" w:eastAsia="宋体"/>
                <w:color w:val="auto"/>
                <w:highlight w:val="none"/>
                <w:lang w:val="en-US" w:eastAsia="zh-CN"/>
              </w:rPr>
            </w:pPr>
            <w:r>
              <w:rPr>
                <w:rFonts w:hint="eastAsia"/>
                <w:color w:val="auto"/>
                <w:highlight w:val="none"/>
                <w:lang w:val="en-US" w:eastAsia="zh-CN"/>
              </w:rPr>
              <w:t>7.7068</w:t>
            </w:r>
          </w:p>
        </w:tc>
        <w:tc>
          <w:tcPr>
            <w:tcW w:w="872" w:type="dxa"/>
            <w:vAlign w:val="center"/>
          </w:tcPr>
          <w:p>
            <w:pPr>
              <w:jc w:val="center"/>
              <w:rPr>
                <w:rFonts w:hint="default" w:eastAsia="宋体"/>
                <w:color w:val="auto"/>
                <w:highlight w:val="none"/>
                <w:lang w:val="en-US" w:eastAsia="zh-CN"/>
              </w:rPr>
            </w:pPr>
            <w:r>
              <w:rPr>
                <w:rFonts w:hint="eastAsia"/>
                <w:color w:val="auto"/>
                <w:highlight w:val="none"/>
                <w:lang w:val="en-US" w:eastAsia="zh-CN"/>
              </w:rPr>
              <w:t>0.39</w:t>
            </w:r>
          </w:p>
        </w:tc>
        <w:tc>
          <w:tcPr>
            <w:tcW w:w="1595" w:type="dxa"/>
            <w:vAlign w:val="center"/>
          </w:tcPr>
          <w:p>
            <w:pPr>
              <w:jc w:val="center"/>
              <w:rPr>
                <w:color w:val="auto"/>
                <w:highlight w:val="none"/>
              </w:rPr>
            </w:pPr>
            <w:r>
              <w:rPr>
                <w:rFonts w:hint="eastAsia"/>
                <w:color w:val="auto"/>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92" w:type="dxa"/>
            <w:vMerge w:val="restart"/>
            <w:vAlign w:val="center"/>
          </w:tcPr>
          <w:p>
            <w:pPr>
              <w:jc w:val="center"/>
              <w:rPr>
                <w:color w:val="auto"/>
                <w:highlight w:val="none"/>
              </w:rPr>
            </w:pPr>
            <w:r>
              <w:rPr>
                <w:color w:val="auto"/>
                <w:highlight w:val="none"/>
              </w:rPr>
              <w:t>生产车间无组织</w:t>
            </w:r>
          </w:p>
        </w:tc>
        <w:tc>
          <w:tcPr>
            <w:tcW w:w="2184" w:type="dxa"/>
            <w:vAlign w:val="center"/>
          </w:tcPr>
          <w:p>
            <w:pPr>
              <w:jc w:val="center"/>
              <w:rPr>
                <w:bCs/>
                <w:color w:val="auto"/>
                <w:highlight w:val="none"/>
              </w:rPr>
            </w:pPr>
            <w:r>
              <w:rPr>
                <w:bCs/>
                <w:color w:val="auto"/>
                <w:highlight w:val="none"/>
              </w:rPr>
              <w:t>非甲烷总烃</w:t>
            </w:r>
          </w:p>
        </w:tc>
        <w:tc>
          <w:tcPr>
            <w:tcW w:w="1384" w:type="dxa"/>
            <w:vAlign w:val="center"/>
          </w:tcPr>
          <w:p>
            <w:pPr>
              <w:jc w:val="center"/>
              <w:rPr>
                <w:bCs/>
                <w:color w:val="auto"/>
                <w:highlight w:val="none"/>
              </w:rPr>
            </w:pPr>
            <w:r>
              <w:rPr>
                <w:bCs/>
                <w:color w:val="auto"/>
                <w:highlight w:val="none"/>
              </w:rPr>
              <w:t>2000</w:t>
            </w:r>
          </w:p>
        </w:tc>
        <w:tc>
          <w:tcPr>
            <w:tcW w:w="119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110.6956</w:t>
            </w:r>
          </w:p>
        </w:tc>
        <w:tc>
          <w:tcPr>
            <w:tcW w:w="87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5.53</w:t>
            </w:r>
          </w:p>
        </w:tc>
        <w:tc>
          <w:tcPr>
            <w:tcW w:w="1595" w:type="dxa"/>
            <w:vAlign w:val="center"/>
          </w:tcPr>
          <w:p>
            <w:pPr>
              <w:jc w:val="center"/>
              <w:rPr>
                <w:bCs/>
                <w:color w:val="auto"/>
                <w:highlight w:val="none"/>
              </w:rPr>
            </w:pPr>
            <w:r>
              <w:rPr>
                <w:bCs/>
                <w:color w:val="auto"/>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Merge w:val="continue"/>
            <w:vAlign w:val="center"/>
          </w:tcPr>
          <w:p>
            <w:pPr>
              <w:jc w:val="center"/>
              <w:rPr>
                <w:color w:val="auto"/>
                <w:highlight w:val="none"/>
              </w:rPr>
            </w:pPr>
          </w:p>
        </w:tc>
        <w:tc>
          <w:tcPr>
            <w:tcW w:w="2184" w:type="dxa"/>
            <w:vAlign w:val="center"/>
          </w:tcPr>
          <w:p>
            <w:pPr>
              <w:jc w:val="center"/>
              <w:rPr>
                <w:color w:val="auto"/>
                <w:highlight w:val="none"/>
              </w:rPr>
            </w:pPr>
            <w:r>
              <w:rPr>
                <w:color w:val="auto"/>
                <w:highlight w:val="none"/>
              </w:rPr>
              <w:t>TSP</w:t>
            </w:r>
          </w:p>
        </w:tc>
        <w:tc>
          <w:tcPr>
            <w:tcW w:w="1384" w:type="dxa"/>
            <w:vAlign w:val="center"/>
          </w:tcPr>
          <w:p>
            <w:pPr>
              <w:jc w:val="center"/>
              <w:rPr>
                <w:color w:val="auto"/>
                <w:highlight w:val="none"/>
              </w:rPr>
            </w:pPr>
            <w:r>
              <w:rPr>
                <w:color w:val="auto"/>
                <w:highlight w:val="none"/>
              </w:rPr>
              <w:t>900</w:t>
            </w:r>
          </w:p>
        </w:tc>
        <w:tc>
          <w:tcPr>
            <w:tcW w:w="1195" w:type="dxa"/>
            <w:vAlign w:val="center"/>
          </w:tcPr>
          <w:p>
            <w:pPr>
              <w:jc w:val="center"/>
              <w:rPr>
                <w:rFonts w:hint="default" w:eastAsia="宋体"/>
                <w:color w:val="auto"/>
                <w:highlight w:val="none"/>
                <w:lang w:val="en-US" w:eastAsia="zh-CN"/>
              </w:rPr>
            </w:pPr>
            <w:r>
              <w:rPr>
                <w:rFonts w:hint="eastAsia"/>
                <w:color w:val="auto"/>
                <w:highlight w:val="none"/>
                <w:lang w:val="en-US" w:eastAsia="zh-CN"/>
              </w:rPr>
              <w:t>21.6510</w:t>
            </w:r>
          </w:p>
        </w:tc>
        <w:tc>
          <w:tcPr>
            <w:tcW w:w="872" w:type="dxa"/>
            <w:vAlign w:val="center"/>
          </w:tcPr>
          <w:p>
            <w:pPr>
              <w:jc w:val="center"/>
              <w:rPr>
                <w:rFonts w:hint="default" w:eastAsia="宋体"/>
                <w:color w:val="auto"/>
                <w:highlight w:val="none"/>
                <w:lang w:val="en-US" w:eastAsia="zh-CN"/>
              </w:rPr>
            </w:pPr>
            <w:r>
              <w:rPr>
                <w:rFonts w:hint="eastAsia"/>
                <w:color w:val="auto"/>
                <w:highlight w:val="none"/>
                <w:lang w:val="en-US" w:eastAsia="zh-CN"/>
              </w:rPr>
              <w:t>2.41</w:t>
            </w:r>
          </w:p>
        </w:tc>
        <w:tc>
          <w:tcPr>
            <w:tcW w:w="1595" w:type="dxa"/>
            <w:vAlign w:val="center"/>
          </w:tcPr>
          <w:p>
            <w:pPr>
              <w:jc w:val="center"/>
              <w:rPr>
                <w:color w:val="auto"/>
                <w:highlight w:val="none"/>
              </w:rPr>
            </w:pPr>
            <w:r>
              <w:rPr>
                <w:color w:val="auto"/>
                <w:highlight w:val="none"/>
              </w:rPr>
              <w:t>二级</w:t>
            </w:r>
          </w:p>
        </w:tc>
      </w:tr>
    </w:tbl>
    <w:p>
      <w:pPr>
        <w:spacing w:line="360" w:lineRule="auto"/>
        <w:ind w:firstLine="480" w:firstLineChars="200"/>
        <w:rPr>
          <w:snapToGrid w:val="0"/>
          <w:color w:val="auto"/>
          <w:sz w:val="24"/>
          <w:highlight w:val="none"/>
        </w:rPr>
      </w:pPr>
      <w:r>
        <w:rPr>
          <w:snapToGrid w:val="0"/>
          <w:color w:val="auto"/>
          <w:sz w:val="24"/>
          <w:highlight w:val="none"/>
        </w:rPr>
        <w:t>根据上表</w:t>
      </w:r>
      <w:r>
        <w:rPr>
          <w:rFonts w:hint="eastAsia"/>
          <w:snapToGrid w:val="0"/>
          <w:color w:val="auto"/>
          <w:sz w:val="24"/>
          <w:highlight w:val="none"/>
          <w:lang w:val="en-US" w:eastAsia="zh-CN"/>
        </w:rPr>
        <w:t>1</w:t>
      </w:r>
      <w:r>
        <w:rPr>
          <w:snapToGrid w:val="0"/>
          <w:color w:val="auto"/>
          <w:sz w:val="24"/>
          <w:highlight w:val="none"/>
        </w:rPr>
        <w:t>.5-2可知，项目主要污染源排放的污染物下风向最大</w:t>
      </w:r>
      <w:r>
        <w:rPr>
          <w:rFonts w:hint="eastAsia"/>
          <w:snapToGrid w:val="0"/>
          <w:color w:val="auto"/>
          <w:sz w:val="24"/>
          <w:highlight w:val="none"/>
        </w:rPr>
        <w:t>地面</w:t>
      </w:r>
      <w:r>
        <w:rPr>
          <w:snapToGrid w:val="0"/>
          <w:color w:val="auto"/>
          <w:sz w:val="24"/>
          <w:highlight w:val="none"/>
        </w:rPr>
        <w:t>浓度占标率为P</w:t>
      </w:r>
      <w:r>
        <w:rPr>
          <w:snapToGrid w:val="0"/>
          <w:color w:val="auto"/>
          <w:sz w:val="24"/>
          <w:highlight w:val="none"/>
          <w:vertAlign w:val="subscript"/>
        </w:rPr>
        <w:t>max</w:t>
      </w:r>
      <w:r>
        <w:rPr>
          <w:snapToGrid w:val="0"/>
          <w:color w:val="auto"/>
          <w:sz w:val="24"/>
          <w:highlight w:val="none"/>
        </w:rPr>
        <w:t>=</w:t>
      </w:r>
      <w:r>
        <w:rPr>
          <w:rFonts w:hint="eastAsia"/>
          <w:snapToGrid w:val="0"/>
          <w:color w:val="auto"/>
          <w:sz w:val="24"/>
          <w:highlight w:val="none"/>
          <w:lang w:val="en-US" w:eastAsia="zh-CN"/>
        </w:rPr>
        <w:t>5.53</w:t>
      </w:r>
      <w:r>
        <w:rPr>
          <w:snapToGrid w:val="0"/>
          <w:color w:val="auto"/>
          <w:sz w:val="24"/>
          <w:highlight w:val="none"/>
        </w:rPr>
        <w:t>%，小于10%，根据导则要求，确定大气环境影响评价工作等级为二级。</w:t>
      </w:r>
    </w:p>
    <w:p>
      <w:pPr>
        <w:spacing w:line="360" w:lineRule="auto"/>
        <w:ind w:firstLine="570"/>
        <w:rPr>
          <w:color w:val="auto"/>
          <w:sz w:val="24"/>
          <w:highlight w:val="none"/>
        </w:rPr>
      </w:pPr>
      <w:r>
        <w:rPr>
          <w:color w:val="auto"/>
          <w:sz w:val="24"/>
          <w:highlight w:val="none"/>
        </w:rPr>
        <w:t>（3）大气环境影响评价范围</w:t>
      </w:r>
    </w:p>
    <w:p>
      <w:pPr>
        <w:spacing w:line="360" w:lineRule="auto"/>
        <w:ind w:firstLine="480" w:firstLineChars="200"/>
        <w:rPr>
          <w:color w:val="auto"/>
          <w:sz w:val="24"/>
          <w:highlight w:val="none"/>
        </w:rPr>
      </w:pPr>
      <w:r>
        <w:rPr>
          <w:color w:val="auto"/>
          <w:sz w:val="24"/>
          <w:highlight w:val="none"/>
        </w:rPr>
        <w:t>按照《环境影响评价技术导则 大气环境》（HJ2.2-2018）中相关规定，二级评价大气环境影响评价范围</w:t>
      </w:r>
      <w:r>
        <w:rPr>
          <w:rFonts w:hint="eastAsia"/>
          <w:color w:val="auto"/>
          <w:sz w:val="24"/>
          <w:highlight w:val="none"/>
          <w:lang w:val="en-US" w:eastAsia="zh-CN"/>
        </w:rPr>
        <w:t>边长取5km，因此本次评价范围确定为项目四周厂界各外延2.5km的矩形区域。</w:t>
      </w:r>
    </w:p>
    <w:bookmarkEnd w:id="250"/>
    <w:bookmarkEnd w:id="251"/>
    <w:p>
      <w:pPr>
        <w:keepNext/>
        <w:keepLines/>
        <w:spacing w:line="360" w:lineRule="auto"/>
        <w:outlineLvl w:val="2"/>
        <w:rPr>
          <w:b/>
          <w:bCs/>
          <w:color w:val="auto"/>
          <w:sz w:val="24"/>
          <w:highlight w:val="none"/>
        </w:rPr>
      </w:pPr>
      <w:bookmarkStart w:id="254" w:name="_Toc2480"/>
      <w:bookmarkStart w:id="255" w:name="_Toc75908608"/>
      <w:r>
        <w:rPr>
          <w:b/>
          <w:bCs/>
          <w:color w:val="auto"/>
          <w:sz w:val="24"/>
          <w:highlight w:val="none"/>
        </w:rPr>
        <w:t>1.5.2地表水</w:t>
      </w:r>
      <w:bookmarkEnd w:id="254"/>
      <w:bookmarkEnd w:id="255"/>
    </w:p>
    <w:p>
      <w:pPr>
        <w:spacing w:line="360" w:lineRule="auto"/>
        <w:ind w:firstLine="480" w:firstLineChars="200"/>
        <w:rPr>
          <w:color w:val="auto"/>
          <w:sz w:val="24"/>
          <w:highlight w:val="none"/>
        </w:rPr>
      </w:pPr>
      <w:r>
        <w:rPr>
          <w:color w:val="auto"/>
          <w:sz w:val="24"/>
          <w:highlight w:val="none"/>
        </w:rPr>
        <w:t>（1）地表水环境影响评价等级</w:t>
      </w:r>
    </w:p>
    <w:p>
      <w:pPr>
        <w:autoSpaceDE w:val="0"/>
        <w:autoSpaceDN w:val="0"/>
        <w:spacing w:line="360" w:lineRule="auto"/>
        <w:ind w:firstLine="480" w:firstLineChars="200"/>
        <w:rPr>
          <w:color w:val="auto"/>
          <w:kern w:val="0"/>
          <w:sz w:val="24"/>
          <w:highlight w:val="none"/>
        </w:rPr>
      </w:pPr>
      <w:r>
        <w:rPr>
          <w:color w:val="auto"/>
          <w:kern w:val="0"/>
          <w:sz w:val="24"/>
          <w:highlight w:val="none"/>
        </w:rPr>
        <w:t>依据《环境影响评价技术导则 地表水环境》（HJ2.3-2018），地表水环境影响评价划分为水污染影响型、水文要素影响型，本项目地表水影响为污染影响型。</w:t>
      </w:r>
    </w:p>
    <w:p>
      <w:pPr>
        <w:spacing w:line="360" w:lineRule="auto"/>
        <w:jc w:val="center"/>
        <w:rPr>
          <w:b/>
          <w:color w:val="auto"/>
          <w:sz w:val="24"/>
          <w:highlight w:val="none"/>
        </w:rPr>
      </w:pPr>
      <w:r>
        <w:rPr>
          <w:b/>
          <w:color w:val="auto"/>
          <w:sz w:val="24"/>
          <w:highlight w:val="none"/>
        </w:rPr>
        <w:t>表1.5-3  水污染影响型建设项目评价等级判定</w:t>
      </w:r>
    </w:p>
    <w:tbl>
      <w:tblPr>
        <w:tblStyle w:val="55"/>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2536"/>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Merge w:val="restart"/>
            <w:vAlign w:val="center"/>
          </w:tcPr>
          <w:p>
            <w:pPr>
              <w:jc w:val="center"/>
              <w:rPr>
                <w:color w:val="auto"/>
                <w:szCs w:val="21"/>
                <w:highlight w:val="none"/>
              </w:rPr>
            </w:pPr>
            <w:r>
              <w:rPr>
                <w:color w:val="auto"/>
                <w:kern w:val="0"/>
                <w:szCs w:val="21"/>
                <w:highlight w:val="none"/>
              </w:rPr>
              <w:t>评价等级</w:t>
            </w:r>
          </w:p>
        </w:tc>
        <w:tc>
          <w:tcPr>
            <w:tcW w:w="5579" w:type="dxa"/>
            <w:gridSpan w:val="2"/>
            <w:vAlign w:val="center"/>
          </w:tcPr>
          <w:p>
            <w:pPr>
              <w:jc w:val="center"/>
              <w:rPr>
                <w:color w:val="auto"/>
                <w:szCs w:val="21"/>
                <w:highlight w:val="none"/>
              </w:rPr>
            </w:pPr>
            <w:r>
              <w:rPr>
                <w:color w:val="auto"/>
                <w:kern w:val="0"/>
                <w:position w:val="-1"/>
                <w:szCs w:val="21"/>
                <w:highlight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Merge w:val="continue"/>
            <w:vAlign w:val="center"/>
          </w:tcPr>
          <w:p>
            <w:pPr>
              <w:jc w:val="center"/>
              <w:rPr>
                <w:color w:val="auto"/>
                <w:szCs w:val="21"/>
                <w:highlight w:val="none"/>
              </w:rPr>
            </w:pPr>
          </w:p>
        </w:tc>
        <w:tc>
          <w:tcPr>
            <w:tcW w:w="2536" w:type="dxa"/>
            <w:vAlign w:val="center"/>
          </w:tcPr>
          <w:p>
            <w:pPr>
              <w:jc w:val="center"/>
              <w:rPr>
                <w:color w:val="auto"/>
                <w:szCs w:val="21"/>
                <w:highlight w:val="none"/>
              </w:rPr>
            </w:pPr>
            <w:r>
              <w:rPr>
                <w:color w:val="auto"/>
                <w:kern w:val="0"/>
                <w:position w:val="-3"/>
                <w:szCs w:val="21"/>
                <w:highlight w:val="none"/>
              </w:rPr>
              <w:t>排放方式</w:t>
            </w:r>
          </w:p>
        </w:tc>
        <w:tc>
          <w:tcPr>
            <w:tcW w:w="3043" w:type="dxa"/>
            <w:vAlign w:val="center"/>
          </w:tcPr>
          <w:p>
            <w:pPr>
              <w:jc w:val="center"/>
              <w:rPr>
                <w:color w:val="auto"/>
                <w:kern w:val="0"/>
                <w:szCs w:val="21"/>
                <w:highlight w:val="none"/>
              </w:rPr>
            </w:pPr>
            <w:r>
              <w:rPr>
                <w:color w:val="auto"/>
                <w:kern w:val="0"/>
                <w:szCs w:val="21"/>
                <w:highlight w:val="none"/>
              </w:rPr>
              <w:t>废水排放量</w:t>
            </w:r>
            <w:r>
              <w:rPr>
                <w:i/>
                <w:iCs/>
                <w:color w:val="auto"/>
                <w:kern w:val="0"/>
                <w:szCs w:val="21"/>
                <w:highlight w:val="none"/>
              </w:rPr>
              <w:t>Q</w:t>
            </w:r>
            <w:r>
              <w:rPr>
                <w:color w:val="auto"/>
                <w:kern w:val="0"/>
                <w:szCs w:val="21"/>
                <w:highlight w:val="none"/>
              </w:rPr>
              <w:t>/（</w:t>
            </w:r>
            <w:r>
              <w:rPr>
                <w:color w:val="auto"/>
                <w:spacing w:val="-3"/>
                <w:kern w:val="0"/>
                <w:szCs w:val="21"/>
                <w:highlight w:val="none"/>
              </w:rPr>
              <w:t>m</w:t>
            </w:r>
            <w:r>
              <w:rPr>
                <w:color w:val="auto"/>
                <w:spacing w:val="-3"/>
                <w:kern w:val="0"/>
                <w:szCs w:val="21"/>
                <w:highlight w:val="none"/>
                <w:vertAlign w:val="superscript"/>
              </w:rPr>
              <w:t>3</w:t>
            </w:r>
            <w:r>
              <w:rPr>
                <w:color w:val="auto"/>
                <w:kern w:val="0"/>
                <w:szCs w:val="21"/>
                <w:highlight w:val="none"/>
              </w:rPr>
              <w:t>/</w:t>
            </w:r>
            <w:r>
              <w:rPr>
                <w:color w:val="auto"/>
                <w:spacing w:val="1"/>
                <w:kern w:val="0"/>
                <w:szCs w:val="21"/>
                <w:highlight w:val="none"/>
              </w:rPr>
              <w:t>d</w:t>
            </w:r>
            <w:r>
              <w:rPr>
                <w:color w:val="auto"/>
                <w:kern w:val="0"/>
                <w:szCs w:val="21"/>
                <w:highlight w:val="none"/>
              </w:rPr>
              <w:t>）；</w:t>
            </w:r>
          </w:p>
          <w:p>
            <w:pPr>
              <w:jc w:val="center"/>
              <w:rPr>
                <w:color w:val="auto"/>
                <w:szCs w:val="21"/>
                <w:highlight w:val="none"/>
              </w:rPr>
            </w:pPr>
            <w:r>
              <w:rPr>
                <w:color w:val="auto"/>
                <w:kern w:val="0"/>
                <w:szCs w:val="21"/>
                <w:highlight w:val="none"/>
              </w:rPr>
              <w:t>水污染物当量数</w:t>
            </w:r>
            <w:r>
              <w:rPr>
                <w:i/>
                <w:iCs/>
                <w:color w:val="auto"/>
                <w:kern w:val="0"/>
                <w:szCs w:val="21"/>
                <w:highlight w:val="none"/>
              </w:rPr>
              <w:t>W</w:t>
            </w:r>
            <w:r>
              <w:rPr>
                <w:color w:val="auto"/>
                <w:kern w:val="0"/>
                <w:szCs w:val="21"/>
                <w:highlight w:val="none"/>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Align w:val="center"/>
          </w:tcPr>
          <w:p>
            <w:pPr>
              <w:jc w:val="center"/>
              <w:rPr>
                <w:color w:val="auto"/>
                <w:szCs w:val="21"/>
                <w:highlight w:val="none"/>
              </w:rPr>
            </w:pPr>
            <w:r>
              <w:rPr>
                <w:color w:val="auto"/>
                <w:kern w:val="0"/>
                <w:position w:val="-1"/>
                <w:szCs w:val="21"/>
                <w:highlight w:val="none"/>
              </w:rPr>
              <w:t>一级</w:t>
            </w:r>
          </w:p>
        </w:tc>
        <w:tc>
          <w:tcPr>
            <w:tcW w:w="2536" w:type="dxa"/>
            <w:vAlign w:val="center"/>
          </w:tcPr>
          <w:p>
            <w:pPr>
              <w:jc w:val="center"/>
              <w:rPr>
                <w:color w:val="auto"/>
                <w:szCs w:val="21"/>
                <w:highlight w:val="none"/>
              </w:rPr>
            </w:pPr>
            <w:r>
              <w:rPr>
                <w:color w:val="auto"/>
                <w:kern w:val="0"/>
                <w:position w:val="-1"/>
                <w:szCs w:val="21"/>
                <w:highlight w:val="none"/>
              </w:rPr>
              <w:t>直接排放</w:t>
            </w:r>
          </w:p>
        </w:tc>
        <w:tc>
          <w:tcPr>
            <w:tcW w:w="3043" w:type="dxa"/>
            <w:vAlign w:val="center"/>
          </w:tcPr>
          <w:p>
            <w:pPr>
              <w:jc w:val="center"/>
              <w:rPr>
                <w:color w:val="auto"/>
                <w:szCs w:val="21"/>
                <w:highlight w:val="none"/>
              </w:rPr>
            </w:pPr>
            <w:r>
              <w:rPr>
                <w:i/>
                <w:iCs/>
                <w:color w:val="auto"/>
                <w:kern w:val="0"/>
                <w:position w:val="-1"/>
                <w:szCs w:val="21"/>
                <w:highlight w:val="none"/>
              </w:rPr>
              <w:t>Q</w:t>
            </w:r>
            <w:r>
              <w:rPr>
                <w:color w:val="auto"/>
                <w:w w:val="134"/>
                <w:kern w:val="0"/>
                <w:position w:val="-1"/>
                <w:szCs w:val="21"/>
                <w:highlight w:val="none"/>
              </w:rPr>
              <w:t>≥</w:t>
            </w:r>
            <w:r>
              <w:rPr>
                <w:color w:val="auto"/>
                <w:spacing w:val="1"/>
                <w:kern w:val="0"/>
                <w:position w:val="-1"/>
                <w:szCs w:val="21"/>
                <w:highlight w:val="none"/>
              </w:rPr>
              <w:t>20</w:t>
            </w:r>
            <w:r>
              <w:rPr>
                <w:color w:val="auto"/>
                <w:spacing w:val="-1"/>
                <w:kern w:val="0"/>
                <w:position w:val="-1"/>
                <w:szCs w:val="21"/>
                <w:highlight w:val="none"/>
              </w:rPr>
              <w:t>0</w:t>
            </w:r>
            <w:r>
              <w:rPr>
                <w:color w:val="auto"/>
                <w:spacing w:val="1"/>
                <w:kern w:val="0"/>
                <w:position w:val="-1"/>
                <w:szCs w:val="21"/>
                <w:highlight w:val="none"/>
              </w:rPr>
              <w:t>0</w:t>
            </w:r>
            <w:r>
              <w:rPr>
                <w:color w:val="auto"/>
                <w:kern w:val="0"/>
                <w:position w:val="-1"/>
                <w:szCs w:val="21"/>
                <w:highlight w:val="none"/>
              </w:rPr>
              <w:t>0 或</w:t>
            </w:r>
            <w:r>
              <w:rPr>
                <w:i/>
                <w:iCs/>
                <w:color w:val="auto"/>
                <w:spacing w:val="-1"/>
                <w:kern w:val="0"/>
                <w:position w:val="-1"/>
                <w:szCs w:val="21"/>
                <w:highlight w:val="none"/>
              </w:rPr>
              <w:t>W</w:t>
            </w:r>
            <w:r>
              <w:rPr>
                <w:color w:val="auto"/>
                <w:w w:val="134"/>
                <w:kern w:val="0"/>
                <w:position w:val="-1"/>
                <w:szCs w:val="21"/>
                <w:highlight w:val="none"/>
              </w:rPr>
              <w:t>≥</w:t>
            </w:r>
            <w:r>
              <w:rPr>
                <w:color w:val="auto"/>
                <w:spacing w:val="-1"/>
                <w:kern w:val="0"/>
                <w:position w:val="-1"/>
                <w:szCs w:val="21"/>
                <w:highlight w:val="none"/>
              </w:rPr>
              <w:t>6</w:t>
            </w:r>
            <w:r>
              <w:rPr>
                <w:color w:val="auto"/>
                <w:spacing w:val="1"/>
                <w:kern w:val="0"/>
                <w:position w:val="-1"/>
                <w:szCs w:val="21"/>
                <w:highlight w:val="none"/>
              </w:rPr>
              <w:t>0</w:t>
            </w:r>
            <w:r>
              <w:rPr>
                <w:color w:val="auto"/>
                <w:spacing w:val="-1"/>
                <w:kern w:val="0"/>
                <w:position w:val="-1"/>
                <w:szCs w:val="21"/>
                <w:highlight w:val="none"/>
              </w:rPr>
              <w:t>0</w:t>
            </w:r>
            <w:r>
              <w:rPr>
                <w:color w:val="auto"/>
                <w:spacing w:val="1"/>
                <w:kern w:val="0"/>
                <w:position w:val="-1"/>
                <w:szCs w:val="21"/>
                <w:highlight w:val="none"/>
              </w:rPr>
              <w:t>0</w:t>
            </w:r>
            <w:r>
              <w:rPr>
                <w:color w:val="auto"/>
                <w:spacing w:val="-1"/>
                <w:kern w:val="0"/>
                <w:position w:val="-1"/>
                <w:szCs w:val="21"/>
                <w:highlight w:val="none"/>
              </w:rPr>
              <w:t>0</w:t>
            </w:r>
            <w:r>
              <w:rPr>
                <w:color w:val="auto"/>
                <w:kern w:val="0"/>
                <w:position w:val="-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Align w:val="center"/>
          </w:tcPr>
          <w:p>
            <w:pPr>
              <w:jc w:val="center"/>
              <w:rPr>
                <w:color w:val="auto"/>
                <w:szCs w:val="21"/>
                <w:highlight w:val="none"/>
              </w:rPr>
            </w:pPr>
            <w:r>
              <w:rPr>
                <w:color w:val="auto"/>
                <w:kern w:val="0"/>
                <w:position w:val="-3"/>
                <w:szCs w:val="21"/>
                <w:highlight w:val="none"/>
              </w:rPr>
              <w:t>二级</w:t>
            </w:r>
          </w:p>
        </w:tc>
        <w:tc>
          <w:tcPr>
            <w:tcW w:w="2536" w:type="dxa"/>
            <w:vAlign w:val="center"/>
          </w:tcPr>
          <w:p>
            <w:pPr>
              <w:jc w:val="center"/>
              <w:rPr>
                <w:color w:val="auto"/>
                <w:szCs w:val="21"/>
                <w:highlight w:val="none"/>
              </w:rPr>
            </w:pPr>
            <w:r>
              <w:rPr>
                <w:color w:val="auto"/>
                <w:kern w:val="0"/>
                <w:position w:val="-1"/>
                <w:szCs w:val="21"/>
                <w:highlight w:val="none"/>
              </w:rPr>
              <w:t>直接排放</w:t>
            </w:r>
          </w:p>
        </w:tc>
        <w:tc>
          <w:tcPr>
            <w:tcW w:w="3043" w:type="dxa"/>
            <w:vAlign w:val="center"/>
          </w:tcPr>
          <w:p>
            <w:pPr>
              <w:jc w:val="center"/>
              <w:rPr>
                <w:color w:val="auto"/>
                <w:szCs w:val="21"/>
                <w:highlight w:val="none"/>
              </w:rPr>
            </w:pPr>
            <w:r>
              <w:rPr>
                <w:color w:val="auto"/>
                <w:kern w:val="0"/>
                <w:position w:val="-3"/>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Align w:val="center"/>
          </w:tcPr>
          <w:p>
            <w:pPr>
              <w:jc w:val="center"/>
              <w:rPr>
                <w:color w:val="auto"/>
                <w:szCs w:val="21"/>
                <w:highlight w:val="none"/>
              </w:rPr>
            </w:pPr>
            <w:r>
              <w:rPr>
                <w:color w:val="auto"/>
                <w:kern w:val="0"/>
                <w:position w:val="-2"/>
                <w:szCs w:val="21"/>
                <w:highlight w:val="none"/>
              </w:rPr>
              <w:t>三级</w:t>
            </w:r>
            <w:r>
              <w:rPr>
                <w:color w:val="auto"/>
                <w:w w:val="74"/>
                <w:kern w:val="0"/>
                <w:position w:val="-2"/>
                <w:szCs w:val="21"/>
                <w:highlight w:val="none"/>
              </w:rPr>
              <w:t>A</w:t>
            </w:r>
          </w:p>
        </w:tc>
        <w:tc>
          <w:tcPr>
            <w:tcW w:w="2536" w:type="dxa"/>
            <w:vAlign w:val="center"/>
          </w:tcPr>
          <w:p>
            <w:pPr>
              <w:jc w:val="center"/>
              <w:rPr>
                <w:color w:val="auto"/>
                <w:szCs w:val="21"/>
                <w:highlight w:val="none"/>
              </w:rPr>
            </w:pPr>
            <w:r>
              <w:rPr>
                <w:color w:val="auto"/>
                <w:kern w:val="0"/>
                <w:position w:val="-1"/>
                <w:szCs w:val="21"/>
                <w:highlight w:val="none"/>
              </w:rPr>
              <w:t>直接排放</w:t>
            </w:r>
          </w:p>
        </w:tc>
        <w:tc>
          <w:tcPr>
            <w:tcW w:w="3043" w:type="dxa"/>
            <w:vAlign w:val="center"/>
          </w:tcPr>
          <w:p>
            <w:pPr>
              <w:jc w:val="center"/>
              <w:rPr>
                <w:color w:val="auto"/>
                <w:szCs w:val="21"/>
                <w:highlight w:val="none"/>
              </w:rPr>
            </w:pPr>
            <w:r>
              <w:rPr>
                <w:i/>
                <w:iCs/>
                <w:color w:val="auto"/>
                <w:kern w:val="0"/>
                <w:position w:val="-2"/>
                <w:szCs w:val="21"/>
                <w:highlight w:val="none"/>
              </w:rPr>
              <w:t>Q</w:t>
            </w:r>
            <w:r>
              <w:rPr>
                <w:color w:val="auto"/>
                <w:kern w:val="0"/>
                <w:position w:val="-2"/>
                <w:szCs w:val="21"/>
                <w:highlight w:val="none"/>
              </w:rPr>
              <w:t>＜</w:t>
            </w:r>
            <w:r>
              <w:rPr>
                <w:color w:val="auto"/>
                <w:spacing w:val="1"/>
                <w:kern w:val="0"/>
                <w:position w:val="-2"/>
                <w:szCs w:val="21"/>
                <w:highlight w:val="none"/>
              </w:rPr>
              <w:t>20</w:t>
            </w:r>
            <w:r>
              <w:rPr>
                <w:color w:val="auto"/>
                <w:kern w:val="0"/>
                <w:position w:val="-2"/>
                <w:szCs w:val="21"/>
                <w:highlight w:val="none"/>
              </w:rPr>
              <w:t>0 且</w:t>
            </w:r>
            <w:r>
              <w:rPr>
                <w:i/>
                <w:iCs/>
                <w:color w:val="auto"/>
                <w:spacing w:val="-1"/>
                <w:kern w:val="0"/>
                <w:position w:val="-2"/>
                <w:szCs w:val="21"/>
                <w:highlight w:val="none"/>
              </w:rPr>
              <w:t>W</w:t>
            </w:r>
            <w:r>
              <w:rPr>
                <w:color w:val="auto"/>
                <w:kern w:val="0"/>
                <w:position w:val="-2"/>
                <w:szCs w:val="21"/>
                <w:highlight w:val="none"/>
              </w:rPr>
              <w:t>＜</w:t>
            </w:r>
            <w:r>
              <w:rPr>
                <w:color w:val="auto"/>
                <w:spacing w:val="-1"/>
                <w:kern w:val="0"/>
                <w:position w:val="-2"/>
                <w:szCs w:val="21"/>
                <w:highlight w:val="none"/>
              </w:rPr>
              <w:t>6</w:t>
            </w:r>
            <w:r>
              <w:rPr>
                <w:color w:val="auto"/>
                <w:spacing w:val="1"/>
                <w:kern w:val="0"/>
                <w:position w:val="-2"/>
                <w:szCs w:val="21"/>
                <w:highlight w:val="none"/>
              </w:rPr>
              <w:t>0</w:t>
            </w:r>
            <w:r>
              <w:rPr>
                <w:color w:val="auto"/>
                <w:spacing w:val="-1"/>
                <w:kern w:val="0"/>
                <w:position w:val="-2"/>
                <w:szCs w:val="21"/>
                <w:highlight w:val="none"/>
              </w:rPr>
              <w:t>0</w:t>
            </w:r>
            <w:r>
              <w:rPr>
                <w:color w:val="auto"/>
                <w:kern w:val="0"/>
                <w:position w:val="-2"/>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Align w:val="center"/>
          </w:tcPr>
          <w:p>
            <w:pPr>
              <w:jc w:val="center"/>
              <w:rPr>
                <w:color w:val="auto"/>
                <w:szCs w:val="21"/>
                <w:highlight w:val="none"/>
              </w:rPr>
            </w:pPr>
            <w:r>
              <w:rPr>
                <w:color w:val="auto"/>
                <w:kern w:val="0"/>
                <w:position w:val="-3"/>
                <w:szCs w:val="21"/>
                <w:highlight w:val="none"/>
              </w:rPr>
              <w:t>三级</w:t>
            </w:r>
            <w:r>
              <w:rPr>
                <w:color w:val="auto"/>
                <w:w w:val="74"/>
                <w:kern w:val="0"/>
                <w:position w:val="-3"/>
                <w:szCs w:val="21"/>
                <w:highlight w:val="none"/>
              </w:rPr>
              <w:t>B</w:t>
            </w:r>
          </w:p>
        </w:tc>
        <w:tc>
          <w:tcPr>
            <w:tcW w:w="2536" w:type="dxa"/>
            <w:vAlign w:val="center"/>
          </w:tcPr>
          <w:p>
            <w:pPr>
              <w:jc w:val="center"/>
              <w:rPr>
                <w:color w:val="auto"/>
                <w:szCs w:val="21"/>
                <w:highlight w:val="none"/>
              </w:rPr>
            </w:pPr>
            <w:r>
              <w:rPr>
                <w:color w:val="auto"/>
                <w:kern w:val="0"/>
                <w:position w:val="-3"/>
                <w:szCs w:val="21"/>
                <w:highlight w:val="none"/>
              </w:rPr>
              <w:t>间接排放</w:t>
            </w:r>
          </w:p>
        </w:tc>
        <w:tc>
          <w:tcPr>
            <w:tcW w:w="3043" w:type="dxa"/>
            <w:vAlign w:val="center"/>
          </w:tcPr>
          <w:p>
            <w:pPr>
              <w:jc w:val="center"/>
              <w:rPr>
                <w:color w:val="auto"/>
                <w:szCs w:val="21"/>
                <w:highlight w:val="none"/>
              </w:rPr>
            </w:pPr>
            <w:r>
              <w:rPr>
                <w:color w:val="auto"/>
                <w:kern w:val="0"/>
                <w:position w:val="-3"/>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2" w:type="dxa"/>
            <w:gridSpan w:val="3"/>
            <w:vAlign w:val="center"/>
          </w:tcPr>
          <w:p>
            <w:pPr>
              <w:autoSpaceDE w:val="0"/>
              <w:autoSpaceDN w:val="0"/>
              <w:rPr>
                <w:color w:val="auto"/>
                <w:kern w:val="0"/>
                <w:szCs w:val="21"/>
                <w:highlight w:val="none"/>
              </w:rPr>
            </w:pPr>
            <w:r>
              <w:rPr>
                <w:color w:val="auto"/>
                <w:kern w:val="0"/>
                <w:position w:val="-1"/>
                <w:szCs w:val="21"/>
                <w:highlight w:val="none"/>
              </w:rPr>
              <w:t>注</w:t>
            </w:r>
            <w:r>
              <w:rPr>
                <w:color w:val="auto"/>
                <w:spacing w:val="1"/>
                <w:kern w:val="0"/>
                <w:position w:val="-1"/>
                <w:szCs w:val="21"/>
                <w:highlight w:val="none"/>
              </w:rPr>
              <w:t>1</w:t>
            </w:r>
            <w:r>
              <w:rPr>
                <w:color w:val="auto"/>
                <w:kern w:val="0"/>
                <w:position w:val="-1"/>
                <w:szCs w:val="21"/>
                <w:highlight w:val="none"/>
              </w:rPr>
              <w:t>：水污染物当量数等于</w:t>
            </w:r>
            <w:r>
              <w:rPr>
                <w:color w:val="auto"/>
                <w:spacing w:val="-2"/>
                <w:kern w:val="0"/>
                <w:position w:val="-1"/>
                <w:szCs w:val="21"/>
                <w:highlight w:val="none"/>
              </w:rPr>
              <w:t>该</w:t>
            </w:r>
            <w:r>
              <w:rPr>
                <w:color w:val="auto"/>
                <w:kern w:val="0"/>
                <w:position w:val="-1"/>
                <w:szCs w:val="21"/>
                <w:highlight w:val="none"/>
              </w:rPr>
              <w:t>污染物的年排放量除以该污染物的污染当量值（见附录</w:t>
            </w:r>
            <w:r>
              <w:rPr>
                <w:color w:val="auto"/>
                <w:spacing w:val="-3"/>
                <w:kern w:val="0"/>
                <w:position w:val="-1"/>
                <w:szCs w:val="21"/>
                <w:highlight w:val="none"/>
              </w:rPr>
              <w:t>A</w:t>
            </w:r>
            <w:r>
              <w:rPr>
                <w:color w:val="auto"/>
                <w:spacing w:val="2"/>
                <w:kern w:val="0"/>
                <w:position w:val="-1"/>
                <w:szCs w:val="21"/>
                <w:highlight w:val="none"/>
              </w:rPr>
              <w:t>）</w:t>
            </w:r>
            <w:r>
              <w:rPr>
                <w:color w:val="auto"/>
                <w:kern w:val="0"/>
                <w:position w:val="-1"/>
                <w:szCs w:val="21"/>
                <w:highlight w:val="none"/>
              </w:rPr>
              <w:t>，计算排放污染物的污</w:t>
            </w:r>
            <w:r>
              <w:rPr>
                <w:color w:val="auto"/>
                <w:spacing w:val="1"/>
                <w:kern w:val="0"/>
                <w:position w:val="-1"/>
                <w:szCs w:val="21"/>
                <w:highlight w:val="none"/>
              </w:rPr>
              <w:t>染</w:t>
            </w:r>
            <w:r>
              <w:rPr>
                <w:color w:val="auto"/>
                <w:kern w:val="0"/>
                <w:position w:val="-1"/>
                <w:szCs w:val="21"/>
                <w:highlight w:val="none"/>
              </w:rPr>
              <w:t>物当</w:t>
            </w:r>
            <w:r>
              <w:rPr>
                <w:color w:val="auto"/>
                <w:kern w:val="0"/>
                <w:szCs w:val="21"/>
                <w:highlight w:val="none"/>
              </w:rPr>
              <w:t>量数</w:t>
            </w:r>
            <w:r>
              <w:rPr>
                <w:color w:val="auto"/>
                <w:spacing w:val="-2"/>
                <w:kern w:val="0"/>
                <w:szCs w:val="21"/>
                <w:highlight w:val="none"/>
              </w:rPr>
              <w:t>，</w:t>
            </w:r>
            <w:r>
              <w:rPr>
                <w:color w:val="auto"/>
                <w:kern w:val="0"/>
                <w:szCs w:val="21"/>
                <w:highlight w:val="none"/>
              </w:rPr>
              <w:t>应区分第一类水污染物和其他类</w:t>
            </w:r>
            <w:r>
              <w:rPr>
                <w:color w:val="auto"/>
                <w:spacing w:val="1"/>
                <w:kern w:val="0"/>
                <w:szCs w:val="21"/>
                <w:highlight w:val="none"/>
              </w:rPr>
              <w:t>水</w:t>
            </w:r>
            <w:r>
              <w:rPr>
                <w:color w:val="auto"/>
                <w:kern w:val="0"/>
                <w:szCs w:val="21"/>
                <w:highlight w:val="none"/>
              </w:rPr>
              <w:t>污染物</w:t>
            </w:r>
            <w:r>
              <w:rPr>
                <w:color w:val="auto"/>
                <w:spacing w:val="-2"/>
                <w:kern w:val="0"/>
                <w:szCs w:val="21"/>
                <w:highlight w:val="none"/>
              </w:rPr>
              <w:t>，</w:t>
            </w:r>
            <w:r>
              <w:rPr>
                <w:color w:val="auto"/>
                <w:kern w:val="0"/>
                <w:szCs w:val="21"/>
                <w:highlight w:val="none"/>
              </w:rPr>
              <w:t>统计第一类污染物当量数总和</w:t>
            </w:r>
            <w:r>
              <w:rPr>
                <w:color w:val="auto"/>
                <w:spacing w:val="-2"/>
                <w:kern w:val="0"/>
                <w:szCs w:val="21"/>
                <w:highlight w:val="none"/>
              </w:rPr>
              <w:t>，</w:t>
            </w:r>
            <w:r>
              <w:rPr>
                <w:color w:val="auto"/>
                <w:kern w:val="0"/>
                <w:szCs w:val="21"/>
                <w:highlight w:val="none"/>
              </w:rPr>
              <w:t>然后与其他</w:t>
            </w:r>
            <w:r>
              <w:rPr>
                <w:color w:val="auto"/>
                <w:spacing w:val="1"/>
                <w:kern w:val="0"/>
                <w:szCs w:val="21"/>
                <w:highlight w:val="none"/>
              </w:rPr>
              <w:t>类</w:t>
            </w:r>
            <w:r>
              <w:rPr>
                <w:color w:val="auto"/>
                <w:kern w:val="0"/>
                <w:szCs w:val="21"/>
                <w:highlight w:val="none"/>
              </w:rPr>
              <w:t>污染物按照污染物当量数从大到小排序，取最大当量数作为建设项目评价等级确定的依</w:t>
            </w:r>
            <w:r>
              <w:rPr>
                <w:color w:val="auto"/>
                <w:spacing w:val="1"/>
                <w:kern w:val="0"/>
                <w:szCs w:val="21"/>
                <w:highlight w:val="none"/>
              </w:rPr>
              <w:t>据</w:t>
            </w:r>
            <w:r>
              <w:rPr>
                <w:color w:val="auto"/>
                <w:kern w:val="0"/>
                <w:szCs w:val="21"/>
                <w:highlight w:val="none"/>
              </w:rPr>
              <w:t>。</w:t>
            </w:r>
          </w:p>
          <w:p>
            <w:pPr>
              <w:autoSpaceDE w:val="0"/>
              <w:autoSpaceDN w:val="0"/>
              <w:rPr>
                <w:color w:val="auto"/>
                <w:kern w:val="0"/>
                <w:szCs w:val="21"/>
                <w:highlight w:val="none"/>
              </w:rPr>
            </w:pPr>
            <w:r>
              <w:rPr>
                <w:color w:val="auto"/>
                <w:kern w:val="0"/>
                <w:szCs w:val="21"/>
                <w:highlight w:val="none"/>
              </w:rPr>
              <w:t>注</w:t>
            </w:r>
            <w:r>
              <w:rPr>
                <w:color w:val="auto"/>
                <w:spacing w:val="1"/>
                <w:kern w:val="0"/>
                <w:szCs w:val="21"/>
                <w:highlight w:val="none"/>
              </w:rPr>
              <w:t>2</w:t>
            </w:r>
            <w:r>
              <w:rPr>
                <w:color w:val="auto"/>
                <w:kern w:val="0"/>
                <w:szCs w:val="21"/>
                <w:highlight w:val="none"/>
              </w:rPr>
              <w:t>：废水排放量按行业排</w:t>
            </w:r>
            <w:r>
              <w:rPr>
                <w:color w:val="auto"/>
                <w:spacing w:val="-2"/>
                <w:kern w:val="0"/>
                <w:szCs w:val="21"/>
                <w:highlight w:val="none"/>
              </w:rPr>
              <w:t>放</w:t>
            </w:r>
            <w:r>
              <w:rPr>
                <w:color w:val="auto"/>
                <w:kern w:val="0"/>
                <w:szCs w:val="21"/>
                <w:highlight w:val="none"/>
              </w:rPr>
              <w:t>标准中规定的废水种类统计，没</w:t>
            </w:r>
            <w:r>
              <w:rPr>
                <w:color w:val="auto"/>
                <w:spacing w:val="1"/>
                <w:kern w:val="0"/>
                <w:szCs w:val="21"/>
                <w:highlight w:val="none"/>
              </w:rPr>
              <w:t>有</w:t>
            </w:r>
            <w:r>
              <w:rPr>
                <w:color w:val="auto"/>
                <w:kern w:val="0"/>
                <w:szCs w:val="21"/>
                <w:highlight w:val="none"/>
              </w:rPr>
              <w:t>相关行业排放标准要求的通过工程分析合理确定</w:t>
            </w:r>
            <w:r>
              <w:rPr>
                <w:color w:val="auto"/>
                <w:spacing w:val="1"/>
                <w:kern w:val="0"/>
                <w:szCs w:val="21"/>
                <w:highlight w:val="none"/>
              </w:rPr>
              <w:t>，</w:t>
            </w:r>
            <w:r>
              <w:rPr>
                <w:color w:val="auto"/>
                <w:kern w:val="0"/>
                <w:szCs w:val="21"/>
                <w:highlight w:val="none"/>
              </w:rPr>
              <w:t>应统计含热量大的冷却水的排放量，可不统</w:t>
            </w:r>
            <w:r>
              <w:rPr>
                <w:color w:val="auto"/>
                <w:spacing w:val="1"/>
                <w:kern w:val="0"/>
                <w:szCs w:val="21"/>
                <w:highlight w:val="none"/>
              </w:rPr>
              <w:t>计</w:t>
            </w:r>
            <w:r>
              <w:rPr>
                <w:color w:val="auto"/>
                <w:kern w:val="0"/>
                <w:szCs w:val="21"/>
                <w:highlight w:val="none"/>
              </w:rPr>
              <w:t>间接冷却水、循环水以及其他含污染物极少的清净下水的排放</w:t>
            </w:r>
            <w:r>
              <w:rPr>
                <w:color w:val="auto"/>
                <w:spacing w:val="1"/>
                <w:kern w:val="0"/>
                <w:szCs w:val="21"/>
                <w:highlight w:val="none"/>
              </w:rPr>
              <w:t>量</w:t>
            </w:r>
            <w:r>
              <w:rPr>
                <w:color w:val="auto"/>
                <w:kern w:val="0"/>
                <w:szCs w:val="21"/>
                <w:highlight w:val="none"/>
              </w:rPr>
              <w:t>。</w:t>
            </w:r>
          </w:p>
          <w:p>
            <w:pPr>
              <w:rPr>
                <w:color w:val="auto"/>
                <w:kern w:val="0"/>
                <w:szCs w:val="21"/>
                <w:highlight w:val="none"/>
              </w:rPr>
            </w:pPr>
            <w:r>
              <w:rPr>
                <w:color w:val="auto"/>
                <w:kern w:val="0"/>
                <w:szCs w:val="21"/>
                <w:highlight w:val="none"/>
              </w:rPr>
              <w:t>注</w:t>
            </w:r>
            <w:r>
              <w:rPr>
                <w:color w:val="auto"/>
                <w:spacing w:val="1"/>
                <w:kern w:val="0"/>
                <w:szCs w:val="21"/>
                <w:highlight w:val="none"/>
              </w:rPr>
              <w:t>3</w:t>
            </w:r>
            <w:r>
              <w:rPr>
                <w:color w:val="auto"/>
                <w:kern w:val="0"/>
                <w:szCs w:val="21"/>
                <w:highlight w:val="none"/>
              </w:rPr>
              <w:t>：厂区存在堆积物（露</w:t>
            </w:r>
            <w:r>
              <w:rPr>
                <w:color w:val="auto"/>
                <w:spacing w:val="-2"/>
                <w:kern w:val="0"/>
                <w:szCs w:val="21"/>
                <w:highlight w:val="none"/>
              </w:rPr>
              <w:t>天</w:t>
            </w:r>
            <w:r>
              <w:rPr>
                <w:color w:val="auto"/>
                <w:kern w:val="0"/>
                <w:szCs w:val="21"/>
                <w:highlight w:val="none"/>
              </w:rPr>
              <w:t>堆放的原料、燃料、废渣等以及垃圾堆放场）、降尘污染的，应将初期雨污水纳入废水排</w:t>
            </w:r>
            <w:r>
              <w:rPr>
                <w:color w:val="auto"/>
                <w:kern w:val="0"/>
                <w:position w:val="-1"/>
                <w:szCs w:val="21"/>
                <w:highlight w:val="none"/>
              </w:rPr>
              <w:t>放量，相应的主要污染物纳入水污染当量计</w:t>
            </w:r>
            <w:r>
              <w:rPr>
                <w:color w:val="auto"/>
                <w:spacing w:val="1"/>
                <w:kern w:val="0"/>
                <w:position w:val="-1"/>
                <w:szCs w:val="21"/>
                <w:highlight w:val="none"/>
              </w:rPr>
              <w:t>算</w:t>
            </w:r>
            <w:r>
              <w:rPr>
                <w:color w:val="auto"/>
                <w:kern w:val="0"/>
                <w:position w:val="-1"/>
                <w:szCs w:val="21"/>
                <w:highlight w:val="none"/>
              </w:rPr>
              <w:t>。</w:t>
            </w:r>
          </w:p>
          <w:p>
            <w:pPr>
              <w:autoSpaceDE w:val="0"/>
              <w:autoSpaceDN w:val="0"/>
              <w:rPr>
                <w:color w:val="auto"/>
                <w:kern w:val="0"/>
                <w:szCs w:val="21"/>
                <w:highlight w:val="none"/>
              </w:rPr>
            </w:pPr>
            <w:r>
              <w:rPr>
                <w:color w:val="auto"/>
                <w:kern w:val="0"/>
                <w:szCs w:val="21"/>
                <w:highlight w:val="none"/>
              </w:rPr>
              <w:t>注</w:t>
            </w:r>
            <w:r>
              <w:rPr>
                <w:color w:val="auto"/>
                <w:spacing w:val="1"/>
                <w:kern w:val="0"/>
                <w:szCs w:val="21"/>
                <w:highlight w:val="none"/>
              </w:rPr>
              <w:t>4</w:t>
            </w:r>
            <w:r>
              <w:rPr>
                <w:color w:val="auto"/>
                <w:kern w:val="0"/>
                <w:szCs w:val="21"/>
                <w:highlight w:val="none"/>
              </w:rPr>
              <w:t>：建设项目直接排放第</w:t>
            </w:r>
            <w:r>
              <w:rPr>
                <w:color w:val="auto"/>
                <w:spacing w:val="-2"/>
                <w:kern w:val="0"/>
                <w:szCs w:val="21"/>
                <w:highlight w:val="none"/>
              </w:rPr>
              <w:t>一</w:t>
            </w:r>
            <w:r>
              <w:rPr>
                <w:color w:val="auto"/>
                <w:kern w:val="0"/>
                <w:szCs w:val="21"/>
                <w:highlight w:val="none"/>
              </w:rPr>
              <w:t>类污染物的，其评价等级为一级；建设项目直接排放的污染物为受纳水体超标因子的，评价等级不低于二级。</w:t>
            </w:r>
          </w:p>
          <w:p>
            <w:pPr>
              <w:autoSpaceDE w:val="0"/>
              <w:autoSpaceDN w:val="0"/>
              <w:rPr>
                <w:color w:val="auto"/>
                <w:kern w:val="0"/>
                <w:szCs w:val="21"/>
                <w:highlight w:val="none"/>
              </w:rPr>
            </w:pPr>
            <w:r>
              <w:rPr>
                <w:color w:val="auto"/>
                <w:kern w:val="0"/>
                <w:szCs w:val="21"/>
                <w:highlight w:val="none"/>
              </w:rPr>
              <w:t>注</w:t>
            </w:r>
            <w:r>
              <w:rPr>
                <w:color w:val="auto"/>
                <w:spacing w:val="1"/>
                <w:kern w:val="0"/>
                <w:szCs w:val="21"/>
                <w:highlight w:val="none"/>
              </w:rPr>
              <w:t>5</w:t>
            </w:r>
            <w:r>
              <w:rPr>
                <w:color w:val="auto"/>
                <w:kern w:val="0"/>
                <w:szCs w:val="21"/>
                <w:highlight w:val="none"/>
              </w:rPr>
              <w:t>：直接排放受纳水体影</w:t>
            </w:r>
            <w:r>
              <w:rPr>
                <w:color w:val="auto"/>
                <w:spacing w:val="-2"/>
                <w:kern w:val="0"/>
                <w:szCs w:val="21"/>
                <w:highlight w:val="none"/>
              </w:rPr>
              <w:t>响</w:t>
            </w:r>
            <w:r>
              <w:rPr>
                <w:color w:val="auto"/>
                <w:kern w:val="0"/>
                <w:szCs w:val="21"/>
                <w:highlight w:val="none"/>
              </w:rPr>
              <w:t>范围涉及饮用水水源保护区、饮用水取水口、重点保护与珍稀水生生物的栖息地、重要水生生物的自然产卵场等保护目标时，评价等级不低于二级。</w:t>
            </w:r>
          </w:p>
          <w:p>
            <w:pPr>
              <w:autoSpaceDE w:val="0"/>
              <w:autoSpaceDN w:val="0"/>
              <w:rPr>
                <w:color w:val="auto"/>
                <w:kern w:val="0"/>
                <w:szCs w:val="21"/>
                <w:highlight w:val="none"/>
              </w:rPr>
            </w:pPr>
            <w:r>
              <w:rPr>
                <w:color w:val="auto"/>
                <w:kern w:val="0"/>
                <w:szCs w:val="21"/>
                <w:highlight w:val="none"/>
              </w:rPr>
              <w:t>注</w:t>
            </w:r>
            <w:r>
              <w:rPr>
                <w:color w:val="auto"/>
                <w:spacing w:val="1"/>
                <w:kern w:val="0"/>
                <w:szCs w:val="21"/>
                <w:highlight w:val="none"/>
              </w:rPr>
              <w:t>6</w:t>
            </w:r>
            <w:r>
              <w:rPr>
                <w:color w:val="auto"/>
                <w:kern w:val="0"/>
                <w:szCs w:val="21"/>
                <w:highlight w:val="none"/>
              </w:rPr>
              <w:t>：建设项目向河流、湖</w:t>
            </w:r>
            <w:r>
              <w:rPr>
                <w:color w:val="auto"/>
                <w:spacing w:val="-2"/>
                <w:kern w:val="0"/>
                <w:szCs w:val="21"/>
                <w:highlight w:val="none"/>
              </w:rPr>
              <w:t>库</w:t>
            </w:r>
            <w:r>
              <w:rPr>
                <w:color w:val="auto"/>
                <w:kern w:val="0"/>
                <w:szCs w:val="21"/>
                <w:highlight w:val="none"/>
              </w:rPr>
              <w:t>排放温排水引起受纳水体水温变化超过水环境质量标准要求，且评价范围有水温敏感目标时，评价等级为一级。</w:t>
            </w:r>
          </w:p>
          <w:p>
            <w:pPr>
              <w:autoSpaceDE w:val="0"/>
              <w:autoSpaceDN w:val="0"/>
              <w:rPr>
                <w:color w:val="auto"/>
                <w:kern w:val="0"/>
                <w:szCs w:val="21"/>
                <w:highlight w:val="none"/>
              </w:rPr>
            </w:pPr>
            <w:r>
              <w:rPr>
                <w:color w:val="auto"/>
                <w:kern w:val="0"/>
                <w:szCs w:val="21"/>
                <w:highlight w:val="none"/>
              </w:rPr>
              <w:t>注</w:t>
            </w:r>
            <w:r>
              <w:rPr>
                <w:color w:val="auto"/>
                <w:spacing w:val="1"/>
                <w:kern w:val="0"/>
                <w:szCs w:val="21"/>
                <w:highlight w:val="none"/>
              </w:rPr>
              <w:t>7</w:t>
            </w:r>
            <w:r>
              <w:rPr>
                <w:color w:val="auto"/>
                <w:kern w:val="0"/>
                <w:szCs w:val="21"/>
                <w:highlight w:val="none"/>
              </w:rPr>
              <w:t>：建设项目利用海水作</w:t>
            </w:r>
            <w:r>
              <w:rPr>
                <w:color w:val="auto"/>
                <w:spacing w:val="-2"/>
                <w:kern w:val="0"/>
                <w:szCs w:val="21"/>
                <w:highlight w:val="none"/>
              </w:rPr>
              <w:t>为</w:t>
            </w:r>
            <w:r>
              <w:rPr>
                <w:color w:val="auto"/>
                <w:kern w:val="0"/>
                <w:szCs w:val="21"/>
                <w:highlight w:val="none"/>
              </w:rPr>
              <w:t>调节温度介质，排水量</w:t>
            </w:r>
            <w:r>
              <w:rPr>
                <w:color w:val="auto"/>
                <w:w w:val="134"/>
                <w:kern w:val="0"/>
                <w:szCs w:val="21"/>
                <w:highlight w:val="none"/>
              </w:rPr>
              <w:t>≥</w:t>
            </w:r>
            <w:r>
              <w:rPr>
                <w:color w:val="auto"/>
                <w:spacing w:val="1"/>
                <w:kern w:val="0"/>
                <w:szCs w:val="21"/>
                <w:highlight w:val="none"/>
              </w:rPr>
              <w:t>5</w:t>
            </w:r>
            <w:r>
              <w:rPr>
                <w:color w:val="auto"/>
                <w:spacing w:val="-1"/>
                <w:kern w:val="0"/>
                <w:szCs w:val="21"/>
                <w:highlight w:val="none"/>
              </w:rPr>
              <w:t>0</w:t>
            </w:r>
            <w:r>
              <w:rPr>
                <w:color w:val="auto"/>
                <w:kern w:val="0"/>
                <w:szCs w:val="21"/>
                <w:highlight w:val="none"/>
              </w:rPr>
              <w:t>0万</w:t>
            </w:r>
            <w:r>
              <w:rPr>
                <w:color w:val="auto"/>
                <w:spacing w:val="-3"/>
                <w:kern w:val="0"/>
                <w:szCs w:val="21"/>
                <w:highlight w:val="none"/>
              </w:rPr>
              <w:t>m</w:t>
            </w:r>
            <w:r>
              <w:rPr>
                <w:color w:val="auto"/>
                <w:spacing w:val="-3"/>
                <w:kern w:val="0"/>
                <w:szCs w:val="21"/>
                <w:highlight w:val="none"/>
                <w:vertAlign w:val="superscript"/>
              </w:rPr>
              <w:t>3</w:t>
            </w:r>
            <w:r>
              <w:rPr>
                <w:color w:val="auto"/>
                <w:kern w:val="0"/>
                <w:szCs w:val="21"/>
                <w:highlight w:val="none"/>
              </w:rPr>
              <w:t>/</w:t>
            </w:r>
            <w:r>
              <w:rPr>
                <w:color w:val="auto"/>
                <w:spacing w:val="1"/>
                <w:kern w:val="0"/>
                <w:szCs w:val="21"/>
                <w:highlight w:val="none"/>
              </w:rPr>
              <w:t>d</w:t>
            </w:r>
            <w:r>
              <w:rPr>
                <w:color w:val="auto"/>
                <w:kern w:val="0"/>
                <w:szCs w:val="21"/>
                <w:highlight w:val="none"/>
              </w:rPr>
              <w:t>，评价等级为一级；</w:t>
            </w:r>
            <w:r>
              <w:rPr>
                <w:color w:val="auto"/>
                <w:spacing w:val="2"/>
                <w:kern w:val="0"/>
                <w:szCs w:val="21"/>
                <w:highlight w:val="none"/>
              </w:rPr>
              <w:t>排</w:t>
            </w:r>
            <w:r>
              <w:rPr>
                <w:color w:val="auto"/>
                <w:kern w:val="0"/>
                <w:szCs w:val="21"/>
                <w:highlight w:val="none"/>
              </w:rPr>
              <w:t>水量＜</w:t>
            </w:r>
            <w:r>
              <w:rPr>
                <w:color w:val="auto"/>
                <w:spacing w:val="1"/>
                <w:kern w:val="0"/>
                <w:szCs w:val="21"/>
                <w:highlight w:val="none"/>
              </w:rPr>
              <w:t>5</w:t>
            </w:r>
            <w:r>
              <w:rPr>
                <w:color w:val="auto"/>
                <w:spacing w:val="-1"/>
                <w:kern w:val="0"/>
                <w:szCs w:val="21"/>
                <w:highlight w:val="none"/>
              </w:rPr>
              <w:t>0</w:t>
            </w:r>
            <w:r>
              <w:rPr>
                <w:color w:val="auto"/>
                <w:kern w:val="0"/>
                <w:szCs w:val="21"/>
                <w:highlight w:val="none"/>
              </w:rPr>
              <w:t>0万</w:t>
            </w:r>
            <w:r>
              <w:rPr>
                <w:color w:val="auto"/>
                <w:spacing w:val="-3"/>
                <w:kern w:val="0"/>
                <w:szCs w:val="21"/>
                <w:highlight w:val="none"/>
              </w:rPr>
              <w:t>m</w:t>
            </w:r>
            <w:r>
              <w:rPr>
                <w:color w:val="auto"/>
                <w:spacing w:val="-3"/>
                <w:kern w:val="0"/>
                <w:szCs w:val="21"/>
                <w:highlight w:val="none"/>
                <w:vertAlign w:val="superscript"/>
              </w:rPr>
              <w:t>3</w:t>
            </w:r>
            <w:r>
              <w:rPr>
                <w:color w:val="auto"/>
                <w:kern w:val="0"/>
                <w:szCs w:val="21"/>
                <w:highlight w:val="none"/>
              </w:rPr>
              <w:t>/</w:t>
            </w:r>
            <w:r>
              <w:rPr>
                <w:color w:val="auto"/>
                <w:spacing w:val="1"/>
                <w:kern w:val="0"/>
                <w:szCs w:val="21"/>
                <w:highlight w:val="none"/>
              </w:rPr>
              <w:t>d</w:t>
            </w:r>
            <w:r>
              <w:rPr>
                <w:color w:val="auto"/>
                <w:kern w:val="0"/>
                <w:szCs w:val="21"/>
                <w:highlight w:val="none"/>
              </w:rPr>
              <w:t>，评价等级为二级。</w:t>
            </w:r>
          </w:p>
          <w:p>
            <w:pPr>
              <w:autoSpaceDE w:val="0"/>
              <w:autoSpaceDN w:val="0"/>
              <w:rPr>
                <w:color w:val="auto"/>
                <w:kern w:val="0"/>
                <w:szCs w:val="21"/>
                <w:highlight w:val="none"/>
              </w:rPr>
            </w:pPr>
            <w:r>
              <w:rPr>
                <w:color w:val="auto"/>
                <w:kern w:val="0"/>
                <w:szCs w:val="21"/>
                <w:highlight w:val="none"/>
              </w:rPr>
              <w:t>注</w:t>
            </w:r>
            <w:r>
              <w:rPr>
                <w:color w:val="auto"/>
                <w:spacing w:val="1"/>
                <w:kern w:val="0"/>
                <w:szCs w:val="21"/>
                <w:highlight w:val="none"/>
              </w:rPr>
              <w:t>8</w:t>
            </w:r>
            <w:r>
              <w:rPr>
                <w:color w:val="auto"/>
                <w:kern w:val="0"/>
                <w:szCs w:val="21"/>
                <w:highlight w:val="none"/>
              </w:rPr>
              <w:t>：仅涉及清净下水排放</w:t>
            </w:r>
            <w:r>
              <w:rPr>
                <w:color w:val="auto"/>
                <w:spacing w:val="-2"/>
                <w:kern w:val="0"/>
                <w:szCs w:val="21"/>
                <w:highlight w:val="none"/>
              </w:rPr>
              <w:t>的</w:t>
            </w:r>
            <w:r>
              <w:rPr>
                <w:color w:val="auto"/>
                <w:kern w:val="0"/>
                <w:szCs w:val="21"/>
                <w:highlight w:val="none"/>
              </w:rPr>
              <w:t>，如其排放水质满足受纳水体水环境质量标准要求的，评价等级为三级</w:t>
            </w:r>
            <w:r>
              <w:rPr>
                <w:color w:val="auto"/>
                <w:spacing w:val="-3"/>
                <w:kern w:val="0"/>
                <w:szCs w:val="21"/>
                <w:highlight w:val="none"/>
              </w:rPr>
              <w:t>A</w:t>
            </w:r>
            <w:r>
              <w:rPr>
                <w:color w:val="auto"/>
                <w:kern w:val="0"/>
                <w:szCs w:val="21"/>
                <w:highlight w:val="none"/>
              </w:rPr>
              <w:t>。</w:t>
            </w:r>
          </w:p>
          <w:p>
            <w:pPr>
              <w:rPr>
                <w:color w:val="auto"/>
                <w:kern w:val="0"/>
                <w:szCs w:val="21"/>
                <w:highlight w:val="none"/>
              </w:rPr>
            </w:pPr>
            <w:r>
              <w:rPr>
                <w:color w:val="auto"/>
                <w:kern w:val="0"/>
                <w:szCs w:val="21"/>
                <w:highlight w:val="none"/>
              </w:rPr>
              <w:t>注</w:t>
            </w:r>
            <w:r>
              <w:rPr>
                <w:color w:val="auto"/>
                <w:spacing w:val="1"/>
                <w:kern w:val="0"/>
                <w:szCs w:val="21"/>
                <w:highlight w:val="none"/>
              </w:rPr>
              <w:t>9</w:t>
            </w:r>
            <w:r>
              <w:rPr>
                <w:color w:val="auto"/>
                <w:kern w:val="0"/>
                <w:szCs w:val="21"/>
                <w:highlight w:val="none"/>
              </w:rPr>
              <w:t>：依托现有排放口，且</w:t>
            </w:r>
            <w:r>
              <w:rPr>
                <w:color w:val="auto"/>
                <w:spacing w:val="-2"/>
                <w:kern w:val="0"/>
                <w:szCs w:val="21"/>
                <w:highlight w:val="none"/>
              </w:rPr>
              <w:t>对</w:t>
            </w:r>
            <w:r>
              <w:rPr>
                <w:color w:val="auto"/>
                <w:kern w:val="0"/>
                <w:szCs w:val="21"/>
                <w:highlight w:val="none"/>
              </w:rPr>
              <w:t>外环</w:t>
            </w:r>
            <w:r>
              <w:rPr>
                <w:color w:val="auto"/>
                <w:spacing w:val="1"/>
                <w:kern w:val="0"/>
                <w:szCs w:val="21"/>
                <w:highlight w:val="none"/>
              </w:rPr>
              <w:t>境</w:t>
            </w:r>
            <w:r>
              <w:rPr>
                <w:color w:val="auto"/>
                <w:kern w:val="0"/>
                <w:szCs w:val="21"/>
                <w:highlight w:val="none"/>
              </w:rPr>
              <w:t>未新增排放污染物的直接排放建设项目，评价等级参照间接排放，</w:t>
            </w:r>
            <w:r>
              <w:rPr>
                <w:color w:val="auto"/>
                <w:spacing w:val="1"/>
                <w:kern w:val="0"/>
                <w:szCs w:val="21"/>
                <w:highlight w:val="none"/>
              </w:rPr>
              <w:t>定</w:t>
            </w:r>
            <w:r>
              <w:rPr>
                <w:color w:val="auto"/>
                <w:kern w:val="0"/>
                <w:szCs w:val="21"/>
                <w:highlight w:val="none"/>
              </w:rPr>
              <w:t>为三级B。</w:t>
            </w:r>
          </w:p>
          <w:p>
            <w:pPr>
              <w:rPr>
                <w:color w:val="auto"/>
                <w:kern w:val="0"/>
                <w:szCs w:val="21"/>
                <w:highlight w:val="none"/>
              </w:rPr>
            </w:pPr>
            <w:r>
              <w:rPr>
                <w:color w:val="auto"/>
                <w:kern w:val="0"/>
                <w:szCs w:val="21"/>
                <w:highlight w:val="none"/>
              </w:rPr>
              <w:t>注</w:t>
            </w:r>
            <w:r>
              <w:rPr>
                <w:color w:val="auto"/>
                <w:spacing w:val="1"/>
                <w:kern w:val="0"/>
                <w:szCs w:val="21"/>
                <w:highlight w:val="none"/>
              </w:rPr>
              <w:t>10</w:t>
            </w:r>
            <w:r>
              <w:rPr>
                <w:color w:val="auto"/>
                <w:kern w:val="0"/>
                <w:szCs w:val="21"/>
                <w:highlight w:val="none"/>
              </w:rPr>
              <w:t>：建设项目生产工艺中</w:t>
            </w:r>
            <w:r>
              <w:rPr>
                <w:color w:val="auto"/>
                <w:spacing w:val="-2"/>
                <w:kern w:val="0"/>
                <w:szCs w:val="21"/>
                <w:highlight w:val="none"/>
              </w:rPr>
              <w:t>有</w:t>
            </w:r>
            <w:r>
              <w:rPr>
                <w:color w:val="auto"/>
                <w:kern w:val="0"/>
                <w:szCs w:val="21"/>
                <w:highlight w:val="none"/>
              </w:rPr>
              <w:t>废水产生，</w:t>
            </w:r>
            <w:r>
              <w:rPr>
                <w:color w:val="auto"/>
                <w:spacing w:val="1"/>
                <w:kern w:val="0"/>
                <w:szCs w:val="21"/>
                <w:highlight w:val="none"/>
              </w:rPr>
              <w:t>但</w:t>
            </w:r>
            <w:r>
              <w:rPr>
                <w:color w:val="auto"/>
                <w:kern w:val="0"/>
                <w:szCs w:val="21"/>
                <w:highlight w:val="none"/>
              </w:rPr>
              <w:t>作为回水利用，不排放到外环境的，按三级B评价。</w:t>
            </w:r>
          </w:p>
        </w:tc>
      </w:tr>
    </w:tbl>
    <w:p>
      <w:pPr>
        <w:spacing w:line="360" w:lineRule="auto"/>
        <w:ind w:firstLine="480" w:firstLineChars="200"/>
        <w:rPr>
          <w:color w:val="auto"/>
          <w:sz w:val="24"/>
          <w:highlight w:val="none"/>
        </w:rPr>
      </w:pPr>
      <w:r>
        <w:rPr>
          <w:rFonts w:hint="eastAsia"/>
          <w:color w:val="auto"/>
          <w:sz w:val="24"/>
          <w:highlight w:val="none"/>
          <w:lang w:val="en-US" w:eastAsia="zh-CN"/>
        </w:rPr>
        <w:t>项目实行雨污分流排水体制，雨水通过雨水沟收集后排入附近自然排水沟；生产过程中冷却水循环使用，不外排；厂区内不设食宿，员工洗手等产生的生活污水与车间地面清洗废水经已有化粪池收集处理后，由建设单位定期清运至寻甸县水质净化厂处理</w:t>
      </w:r>
      <w:r>
        <w:rPr>
          <w:color w:val="auto"/>
          <w:sz w:val="24"/>
          <w:highlight w:val="none"/>
        </w:rPr>
        <w:t>，不外排。</w:t>
      </w:r>
    </w:p>
    <w:p>
      <w:pPr>
        <w:autoSpaceDE w:val="0"/>
        <w:autoSpaceDN w:val="0"/>
        <w:spacing w:line="360" w:lineRule="auto"/>
        <w:ind w:firstLine="480" w:firstLineChars="200"/>
        <w:rPr>
          <w:color w:val="auto"/>
          <w:kern w:val="0"/>
          <w:sz w:val="24"/>
          <w:highlight w:val="none"/>
        </w:rPr>
      </w:pPr>
      <w:r>
        <w:rPr>
          <w:color w:val="auto"/>
          <w:sz w:val="24"/>
          <w:highlight w:val="none"/>
        </w:rPr>
        <w:t>项目运营期各类废水均能得到合理利用</w:t>
      </w:r>
      <w:r>
        <w:rPr>
          <w:rFonts w:hint="eastAsia"/>
          <w:color w:val="auto"/>
          <w:sz w:val="24"/>
          <w:highlight w:val="none"/>
          <w:lang w:val="en-US" w:eastAsia="zh-CN"/>
        </w:rPr>
        <w:t>和处置</w:t>
      </w:r>
      <w:r>
        <w:rPr>
          <w:color w:val="auto"/>
          <w:sz w:val="24"/>
          <w:highlight w:val="none"/>
        </w:rPr>
        <w:t>，无外排废水。</w:t>
      </w:r>
      <w:r>
        <w:rPr>
          <w:color w:val="auto"/>
          <w:kern w:val="0"/>
          <w:sz w:val="24"/>
          <w:highlight w:val="none"/>
        </w:rPr>
        <w:t>因此，本项目地表水评价工作等级为三级B。</w:t>
      </w:r>
    </w:p>
    <w:p>
      <w:pPr>
        <w:spacing w:line="360" w:lineRule="auto"/>
        <w:ind w:firstLine="480" w:firstLineChars="200"/>
        <w:jc w:val="left"/>
        <w:rPr>
          <w:color w:val="auto"/>
          <w:sz w:val="24"/>
          <w:highlight w:val="none"/>
        </w:rPr>
      </w:pPr>
      <w:r>
        <w:rPr>
          <w:color w:val="auto"/>
          <w:sz w:val="24"/>
          <w:highlight w:val="none"/>
        </w:rPr>
        <w:t>（2）评价范围</w:t>
      </w:r>
    </w:p>
    <w:p>
      <w:pPr>
        <w:autoSpaceDE w:val="0"/>
        <w:autoSpaceDN w:val="0"/>
        <w:spacing w:line="360" w:lineRule="auto"/>
        <w:ind w:firstLine="480" w:firstLineChars="200"/>
        <w:rPr>
          <w:color w:val="auto"/>
          <w:kern w:val="0"/>
          <w:sz w:val="24"/>
          <w:highlight w:val="none"/>
        </w:rPr>
      </w:pPr>
      <w:r>
        <w:rPr>
          <w:color w:val="auto"/>
          <w:sz w:val="24"/>
          <w:highlight w:val="none"/>
        </w:rPr>
        <w:t>根据《环境影响评价技术导则 地表水环境》（HJ2.3-2018），</w:t>
      </w:r>
      <w:r>
        <w:rPr>
          <w:color w:val="auto"/>
          <w:kern w:val="0"/>
          <w:sz w:val="24"/>
          <w:highlight w:val="none"/>
        </w:rPr>
        <w:t>地表水评价工作等级为三级B项目，评价工作应简要说明用排水量、水质状况，重点分析处理设施、资源化利用途径的可行性和可靠性。</w:t>
      </w:r>
    </w:p>
    <w:p>
      <w:pPr>
        <w:keepNext/>
        <w:keepLines/>
        <w:spacing w:line="360" w:lineRule="auto"/>
        <w:outlineLvl w:val="2"/>
        <w:rPr>
          <w:b/>
          <w:bCs/>
          <w:color w:val="auto"/>
          <w:sz w:val="24"/>
          <w:highlight w:val="none"/>
        </w:rPr>
      </w:pPr>
      <w:bookmarkStart w:id="256" w:name="_Toc75908609"/>
      <w:bookmarkStart w:id="257" w:name="_Toc17018"/>
      <w:r>
        <w:rPr>
          <w:b/>
          <w:bCs/>
          <w:color w:val="auto"/>
          <w:sz w:val="24"/>
          <w:highlight w:val="none"/>
        </w:rPr>
        <w:t>1.5.3地下水</w:t>
      </w:r>
      <w:bookmarkEnd w:id="256"/>
      <w:bookmarkEnd w:id="257"/>
    </w:p>
    <w:p>
      <w:pPr>
        <w:spacing w:line="360" w:lineRule="auto"/>
        <w:ind w:firstLine="480" w:firstLineChars="200"/>
        <w:rPr>
          <w:rFonts w:hint="eastAsia"/>
          <w:color w:val="auto"/>
          <w:sz w:val="24"/>
          <w:highlight w:val="none"/>
          <w:lang w:val="en-US" w:eastAsia="zh-CN"/>
        </w:rPr>
      </w:pPr>
      <w:r>
        <w:rPr>
          <w:color w:val="auto"/>
          <w:sz w:val="24"/>
          <w:highlight w:val="none"/>
        </w:rPr>
        <w:t>根据《</w:t>
      </w:r>
      <w:r>
        <w:rPr>
          <w:snapToGrid w:val="0"/>
          <w:color w:val="auto"/>
          <w:kern w:val="0"/>
          <w:sz w:val="24"/>
          <w:highlight w:val="none"/>
        </w:rPr>
        <w:t xml:space="preserve">环境影响评价技术导则 </w:t>
      </w:r>
      <w:r>
        <w:rPr>
          <w:color w:val="auto"/>
          <w:sz w:val="24"/>
          <w:highlight w:val="none"/>
        </w:rPr>
        <w:t>地下水环境》（HJ610-2016）对项目的分类要求，本项目为</w:t>
      </w:r>
      <w:r>
        <w:rPr>
          <w:rFonts w:hint="eastAsia"/>
          <w:color w:val="auto"/>
          <w:sz w:val="24"/>
          <w:highlight w:val="none"/>
          <w:lang w:val="en-US" w:eastAsia="zh-CN"/>
        </w:rPr>
        <w:t>塑料制品制造，项目不涉及人造革、发泡胶等有毒原材料，不涉及电镀，且无地下水污染因子及途径；属“N轻工”中的“116、塑料制品制造”中的“其他”，为Ⅳ类项目，Ⅳ类建设项目不开展地下水环境影响评价，因此本项目地下水评价等级为不设等级。</w:t>
      </w:r>
    </w:p>
    <w:p>
      <w:pPr>
        <w:keepNext/>
        <w:keepLines/>
        <w:spacing w:line="360" w:lineRule="auto"/>
        <w:outlineLvl w:val="2"/>
        <w:rPr>
          <w:b/>
          <w:bCs/>
          <w:color w:val="auto"/>
          <w:sz w:val="24"/>
          <w:highlight w:val="none"/>
        </w:rPr>
      </w:pPr>
      <w:bookmarkStart w:id="258" w:name="_Toc75908610"/>
      <w:bookmarkStart w:id="259" w:name="_Toc15345"/>
      <w:r>
        <w:rPr>
          <w:b/>
          <w:bCs/>
          <w:color w:val="auto"/>
          <w:sz w:val="24"/>
          <w:highlight w:val="none"/>
        </w:rPr>
        <w:t>1.5.4声环境</w:t>
      </w:r>
      <w:bookmarkEnd w:id="258"/>
      <w:bookmarkEnd w:id="259"/>
    </w:p>
    <w:p>
      <w:pPr>
        <w:spacing w:line="360" w:lineRule="auto"/>
        <w:ind w:firstLine="480" w:firstLineChars="200"/>
        <w:rPr>
          <w:color w:val="auto"/>
          <w:sz w:val="24"/>
          <w:highlight w:val="none"/>
        </w:rPr>
      </w:pPr>
      <w:r>
        <w:rPr>
          <w:color w:val="auto"/>
          <w:sz w:val="24"/>
          <w:highlight w:val="none"/>
        </w:rPr>
        <w:t>（1）声环境影响评价等级</w:t>
      </w:r>
    </w:p>
    <w:p>
      <w:pPr>
        <w:spacing w:line="360" w:lineRule="auto"/>
        <w:ind w:firstLine="480" w:firstLineChars="200"/>
        <w:rPr>
          <w:b/>
          <w:color w:val="auto"/>
          <w:sz w:val="24"/>
          <w:highlight w:val="none"/>
        </w:rPr>
      </w:pPr>
      <w:r>
        <w:rPr>
          <w:color w:val="auto"/>
          <w:kern w:val="0"/>
          <w:sz w:val="24"/>
          <w:highlight w:val="none"/>
        </w:rPr>
        <w:t>项目</w:t>
      </w:r>
      <w:r>
        <w:rPr>
          <w:rFonts w:hint="eastAsia"/>
          <w:color w:val="auto"/>
          <w:kern w:val="0"/>
          <w:sz w:val="24"/>
          <w:highlight w:val="none"/>
        </w:rPr>
        <w:t>位于</w:t>
      </w:r>
      <w:r>
        <w:rPr>
          <w:rFonts w:hint="eastAsia"/>
          <w:color w:val="auto"/>
          <w:sz w:val="24"/>
          <w:highlight w:val="none"/>
          <w:lang w:val="en-US" w:eastAsia="zh-CN"/>
        </w:rPr>
        <w:t>寻甸县仁德街道三月三村</w:t>
      </w:r>
      <w:r>
        <w:rPr>
          <w:rFonts w:hint="eastAsia"/>
          <w:color w:val="auto"/>
          <w:sz w:val="24"/>
          <w:highlight w:val="none"/>
        </w:rPr>
        <w:t>，</w:t>
      </w:r>
      <w:r>
        <w:rPr>
          <w:rFonts w:hint="eastAsia"/>
          <w:color w:val="auto"/>
          <w:sz w:val="24"/>
          <w:highlight w:val="none"/>
          <w:lang w:val="en-US" w:eastAsia="zh-CN"/>
        </w:rPr>
        <w:t>项目厂界北侧约15m处为S102省道（柯沙线），S102省道属于二级公路，因此，项目</w:t>
      </w:r>
      <w:r>
        <w:rPr>
          <w:rFonts w:hint="eastAsia"/>
          <w:color w:val="auto"/>
          <w:sz w:val="24"/>
          <w:highlight w:val="none"/>
        </w:rPr>
        <w:t>所处的声环境功能区为《声环境质量标准》（GB3096-2008）规定的</w:t>
      </w:r>
      <w:r>
        <w:rPr>
          <w:rFonts w:hint="eastAsia"/>
          <w:color w:val="auto"/>
          <w:sz w:val="24"/>
          <w:highlight w:val="none"/>
          <w:lang w:val="en-US" w:eastAsia="zh-CN"/>
        </w:rPr>
        <w:t>2</w:t>
      </w:r>
      <w:r>
        <w:rPr>
          <w:rFonts w:hint="eastAsia"/>
          <w:color w:val="auto"/>
          <w:sz w:val="24"/>
          <w:highlight w:val="none"/>
        </w:rPr>
        <w:t>类</w:t>
      </w:r>
      <w:r>
        <w:rPr>
          <w:rFonts w:hint="eastAsia"/>
          <w:color w:val="auto"/>
          <w:sz w:val="24"/>
          <w:highlight w:val="none"/>
          <w:lang w:val="en-US" w:eastAsia="zh-CN"/>
        </w:rPr>
        <w:t>和4类</w:t>
      </w:r>
      <w:r>
        <w:rPr>
          <w:rFonts w:hint="eastAsia"/>
          <w:color w:val="auto"/>
          <w:sz w:val="24"/>
          <w:highlight w:val="none"/>
        </w:rPr>
        <w:t>地区，</w:t>
      </w:r>
      <w:r>
        <w:rPr>
          <w:color w:val="auto"/>
          <w:sz w:val="24"/>
          <w:highlight w:val="none"/>
        </w:rPr>
        <w:t>项目建成后评价范围内敏感目标噪声级增高量在3dB (A) 以下（不含3dB（A））</w:t>
      </w:r>
      <w:r>
        <w:rPr>
          <w:rFonts w:hint="eastAsia"/>
          <w:color w:val="auto"/>
          <w:sz w:val="24"/>
          <w:highlight w:val="none"/>
        </w:rPr>
        <w:t>，受噪声影响人口数量变化不大，根据《环境影响评价技术导则 声环境》（HJ2.4-2021）的评价等级划分依据判定，本项目声环境评价等级为</w:t>
      </w:r>
      <w:r>
        <w:rPr>
          <w:rFonts w:hint="eastAsia"/>
          <w:color w:val="auto"/>
          <w:sz w:val="24"/>
          <w:highlight w:val="none"/>
          <w:lang w:val="en-US" w:eastAsia="zh-CN"/>
        </w:rPr>
        <w:t>二</w:t>
      </w:r>
      <w:r>
        <w:rPr>
          <w:rFonts w:hint="eastAsia"/>
          <w:color w:val="auto"/>
          <w:sz w:val="24"/>
          <w:highlight w:val="none"/>
        </w:rPr>
        <w:t>级。</w:t>
      </w:r>
    </w:p>
    <w:p>
      <w:pPr>
        <w:spacing w:line="360" w:lineRule="auto"/>
        <w:jc w:val="center"/>
        <w:rPr>
          <w:b/>
          <w:color w:val="auto"/>
          <w:sz w:val="24"/>
          <w:highlight w:val="none"/>
        </w:rPr>
      </w:pPr>
      <w:r>
        <w:rPr>
          <w:b/>
          <w:color w:val="auto"/>
          <w:sz w:val="24"/>
          <w:highlight w:val="none"/>
        </w:rPr>
        <w:t>表1.5-</w:t>
      </w:r>
      <w:r>
        <w:rPr>
          <w:rFonts w:hint="eastAsia"/>
          <w:b/>
          <w:color w:val="auto"/>
          <w:sz w:val="24"/>
          <w:highlight w:val="none"/>
          <w:lang w:val="en-US" w:eastAsia="zh-CN"/>
        </w:rPr>
        <w:t xml:space="preserve">4 </w:t>
      </w:r>
      <w:r>
        <w:rPr>
          <w:b/>
          <w:color w:val="auto"/>
          <w:sz w:val="24"/>
          <w:highlight w:val="none"/>
        </w:rPr>
        <w:t xml:space="preserve"> 环境噪声影响评价工作等级</w:t>
      </w:r>
    </w:p>
    <w:tbl>
      <w:tblPr>
        <w:tblStyle w:val="5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6"/>
        <w:gridCol w:w="1040"/>
        <w:gridCol w:w="2142"/>
        <w:gridCol w:w="2142"/>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36" w:type="dxa"/>
            <w:gridSpan w:val="2"/>
            <w:tcBorders>
              <w:tl2br w:val="single" w:color="auto" w:sz="4" w:space="0"/>
            </w:tcBorders>
          </w:tcPr>
          <w:p>
            <w:pPr>
              <w:jc w:val="right"/>
              <w:rPr>
                <w:b/>
                <w:color w:val="auto"/>
                <w:szCs w:val="21"/>
                <w:highlight w:val="none"/>
              </w:rPr>
            </w:pPr>
            <w:r>
              <w:rPr>
                <w:b/>
                <w:color w:val="auto"/>
                <w:szCs w:val="21"/>
                <w:highlight w:val="none"/>
              </w:rPr>
              <w:t>影响因素</w:t>
            </w:r>
          </w:p>
          <w:p>
            <w:pPr>
              <w:ind w:firstLine="105" w:firstLineChars="50"/>
              <w:jc w:val="left"/>
              <w:rPr>
                <w:b/>
                <w:color w:val="auto"/>
                <w:highlight w:val="none"/>
              </w:rPr>
            </w:pPr>
            <w:r>
              <w:rPr>
                <w:b/>
                <w:color w:val="auto"/>
                <w:szCs w:val="21"/>
                <w:highlight w:val="none"/>
              </w:rPr>
              <w:t>评价等级</w:t>
            </w:r>
          </w:p>
        </w:tc>
        <w:tc>
          <w:tcPr>
            <w:tcW w:w="2142" w:type="dxa"/>
            <w:vAlign w:val="center"/>
          </w:tcPr>
          <w:p>
            <w:pPr>
              <w:jc w:val="center"/>
              <w:rPr>
                <w:b/>
                <w:color w:val="auto"/>
                <w:highlight w:val="none"/>
              </w:rPr>
            </w:pPr>
            <w:r>
              <w:rPr>
                <w:b/>
                <w:color w:val="auto"/>
                <w:highlight w:val="none"/>
              </w:rPr>
              <w:t>声环境功能区</w:t>
            </w:r>
          </w:p>
        </w:tc>
        <w:tc>
          <w:tcPr>
            <w:tcW w:w="2142" w:type="dxa"/>
            <w:vAlign w:val="center"/>
          </w:tcPr>
          <w:p>
            <w:pPr>
              <w:jc w:val="center"/>
              <w:rPr>
                <w:b/>
                <w:color w:val="auto"/>
                <w:highlight w:val="none"/>
              </w:rPr>
            </w:pPr>
            <w:r>
              <w:rPr>
                <w:b/>
                <w:color w:val="auto"/>
                <w:highlight w:val="none"/>
              </w:rPr>
              <w:t>评价范围内敏感</w:t>
            </w:r>
          </w:p>
          <w:p>
            <w:pPr>
              <w:jc w:val="center"/>
              <w:rPr>
                <w:b/>
                <w:color w:val="auto"/>
                <w:highlight w:val="none"/>
              </w:rPr>
            </w:pPr>
            <w:r>
              <w:rPr>
                <w:b/>
                <w:color w:val="auto"/>
                <w:highlight w:val="none"/>
              </w:rPr>
              <w:t>目标声级增量</w:t>
            </w:r>
          </w:p>
        </w:tc>
        <w:tc>
          <w:tcPr>
            <w:tcW w:w="2142" w:type="dxa"/>
            <w:vAlign w:val="center"/>
          </w:tcPr>
          <w:p>
            <w:pPr>
              <w:jc w:val="center"/>
              <w:rPr>
                <w:b/>
                <w:color w:val="auto"/>
                <w:highlight w:val="none"/>
              </w:rPr>
            </w:pPr>
            <w:r>
              <w:rPr>
                <w:b/>
                <w:color w:val="auto"/>
                <w:highlight w:val="none"/>
              </w:rPr>
              <w:t>影响人口变化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dxa"/>
            <w:vMerge w:val="restart"/>
            <w:vAlign w:val="center"/>
          </w:tcPr>
          <w:p>
            <w:pPr>
              <w:jc w:val="center"/>
              <w:rPr>
                <w:color w:val="auto"/>
                <w:highlight w:val="none"/>
              </w:rPr>
            </w:pPr>
            <w:r>
              <w:rPr>
                <w:color w:val="auto"/>
                <w:highlight w:val="none"/>
              </w:rPr>
              <w:t>判别依据</w:t>
            </w:r>
          </w:p>
        </w:tc>
        <w:tc>
          <w:tcPr>
            <w:tcW w:w="1040" w:type="dxa"/>
          </w:tcPr>
          <w:p>
            <w:pPr>
              <w:jc w:val="center"/>
              <w:rPr>
                <w:color w:val="auto"/>
                <w:highlight w:val="none"/>
              </w:rPr>
            </w:pPr>
            <w:r>
              <w:rPr>
                <w:color w:val="auto"/>
                <w:highlight w:val="none"/>
              </w:rPr>
              <w:t>一级</w:t>
            </w:r>
          </w:p>
        </w:tc>
        <w:tc>
          <w:tcPr>
            <w:tcW w:w="2142" w:type="dxa"/>
          </w:tcPr>
          <w:p>
            <w:pPr>
              <w:jc w:val="center"/>
              <w:rPr>
                <w:color w:val="auto"/>
                <w:highlight w:val="none"/>
              </w:rPr>
            </w:pPr>
            <w:r>
              <w:rPr>
                <w:color w:val="auto"/>
                <w:highlight w:val="none"/>
              </w:rPr>
              <w:t>0类</w:t>
            </w:r>
          </w:p>
        </w:tc>
        <w:tc>
          <w:tcPr>
            <w:tcW w:w="2142" w:type="dxa"/>
          </w:tcPr>
          <w:p>
            <w:pPr>
              <w:jc w:val="center"/>
              <w:rPr>
                <w:color w:val="auto"/>
                <w:highlight w:val="none"/>
              </w:rPr>
            </w:pPr>
            <w:r>
              <w:rPr>
                <w:color w:val="auto"/>
                <w:highlight w:val="none"/>
              </w:rPr>
              <w:t>＞5dB</w:t>
            </w:r>
          </w:p>
        </w:tc>
        <w:tc>
          <w:tcPr>
            <w:tcW w:w="2142" w:type="dxa"/>
          </w:tcPr>
          <w:p>
            <w:pPr>
              <w:jc w:val="center"/>
              <w:rPr>
                <w:color w:val="auto"/>
                <w:highlight w:val="none"/>
              </w:rPr>
            </w:pPr>
            <w:r>
              <w:rPr>
                <w:color w:val="auto"/>
                <w:highlight w:val="none"/>
              </w:rPr>
              <w:t>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7" w:hRule="atLeast"/>
          <w:jc w:val="center"/>
        </w:trPr>
        <w:tc>
          <w:tcPr>
            <w:tcW w:w="896" w:type="dxa"/>
            <w:vMerge w:val="continue"/>
          </w:tcPr>
          <w:p>
            <w:pPr>
              <w:jc w:val="center"/>
              <w:rPr>
                <w:color w:val="auto"/>
                <w:highlight w:val="none"/>
              </w:rPr>
            </w:pPr>
          </w:p>
        </w:tc>
        <w:tc>
          <w:tcPr>
            <w:tcW w:w="1040" w:type="dxa"/>
          </w:tcPr>
          <w:p>
            <w:pPr>
              <w:jc w:val="center"/>
              <w:rPr>
                <w:color w:val="auto"/>
                <w:highlight w:val="none"/>
              </w:rPr>
            </w:pPr>
            <w:r>
              <w:rPr>
                <w:color w:val="auto"/>
                <w:highlight w:val="none"/>
              </w:rPr>
              <w:t>二级</w:t>
            </w:r>
          </w:p>
        </w:tc>
        <w:tc>
          <w:tcPr>
            <w:tcW w:w="2142" w:type="dxa"/>
          </w:tcPr>
          <w:p>
            <w:pPr>
              <w:jc w:val="center"/>
              <w:rPr>
                <w:color w:val="auto"/>
                <w:highlight w:val="none"/>
              </w:rPr>
            </w:pPr>
            <w:r>
              <w:rPr>
                <w:color w:val="auto"/>
                <w:highlight w:val="none"/>
              </w:rPr>
              <w:t>1类，2类</w:t>
            </w:r>
          </w:p>
        </w:tc>
        <w:tc>
          <w:tcPr>
            <w:tcW w:w="2142" w:type="dxa"/>
          </w:tcPr>
          <w:p>
            <w:pPr>
              <w:jc w:val="center"/>
              <w:rPr>
                <w:color w:val="auto"/>
                <w:highlight w:val="none"/>
              </w:rPr>
            </w:pPr>
            <w:r>
              <w:rPr>
                <w:color w:val="auto"/>
                <w:highlight w:val="none"/>
              </w:rPr>
              <w:t>≥3dB；≤5dB</w:t>
            </w:r>
          </w:p>
        </w:tc>
        <w:tc>
          <w:tcPr>
            <w:tcW w:w="2142" w:type="dxa"/>
          </w:tcPr>
          <w:p>
            <w:pPr>
              <w:jc w:val="center"/>
              <w:rPr>
                <w:color w:val="auto"/>
                <w:highlight w:val="none"/>
              </w:rPr>
            </w:pPr>
            <w:r>
              <w:rPr>
                <w:color w:val="auto"/>
                <w:highlight w:val="none"/>
              </w:rPr>
              <w:t>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7" w:hRule="atLeast"/>
          <w:jc w:val="center"/>
        </w:trPr>
        <w:tc>
          <w:tcPr>
            <w:tcW w:w="896" w:type="dxa"/>
            <w:vMerge w:val="continue"/>
          </w:tcPr>
          <w:p>
            <w:pPr>
              <w:jc w:val="center"/>
              <w:rPr>
                <w:color w:val="auto"/>
                <w:highlight w:val="none"/>
              </w:rPr>
            </w:pPr>
          </w:p>
        </w:tc>
        <w:tc>
          <w:tcPr>
            <w:tcW w:w="1040" w:type="dxa"/>
          </w:tcPr>
          <w:p>
            <w:pPr>
              <w:jc w:val="center"/>
              <w:rPr>
                <w:color w:val="auto"/>
                <w:highlight w:val="none"/>
              </w:rPr>
            </w:pPr>
            <w:r>
              <w:rPr>
                <w:color w:val="auto"/>
                <w:highlight w:val="none"/>
              </w:rPr>
              <w:t>三级</w:t>
            </w:r>
          </w:p>
        </w:tc>
        <w:tc>
          <w:tcPr>
            <w:tcW w:w="2142" w:type="dxa"/>
          </w:tcPr>
          <w:p>
            <w:pPr>
              <w:jc w:val="center"/>
              <w:rPr>
                <w:color w:val="auto"/>
                <w:highlight w:val="none"/>
              </w:rPr>
            </w:pPr>
            <w:r>
              <w:rPr>
                <w:color w:val="auto"/>
                <w:highlight w:val="none"/>
              </w:rPr>
              <w:t>3类，4类</w:t>
            </w:r>
          </w:p>
        </w:tc>
        <w:tc>
          <w:tcPr>
            <w:tcW w:w="2142" w:type="dxa"/>
          </w:tcPr>
          <w:p>
            <w:pPr>
              <w:jc w:val="center"/>
              <w:rPr>
                <w:color w:val="auto"/>
                <w:highlight w:val="none"/>
              </w:rPr>
            </w:pPr>
            <w:r>
              <w:rPr>
                <w:color w:val="auto"/>
                <w:highlight w:val="none"/>
              </w:rPr>
              <w:t>&lt;3dB</w:t>
            </w:r>
          </w:p>
        </w:tc>
        <w:tc>
          <w:tcPr>
            <w:tcW w:w="2142" w:type="dxa"/>
          </w:tcPr>
          <w:p>
            <w:pPr>
              <w:jc w:val="center"/>
              <w:rPr>
                <w:color w:val="auto"/>
                <w:highlight w:val="none"/>
              </w:rPr>
            </w:pPr>
            <w:r>
              <w:rPr>
                <w:color w:val="auto"/>
                <w:highlight w:val="none"/>
              </w:rPr>
              <w:t>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7" w:hRule="atLeast"/>
          <w:jc w:val="center"/>
        </w:trPr>
        <w:tc>
          <w:tcPr>
            <w:tcW w:w="1936" w:type="dxa"/>
            <w:gridSpan w:val="2"/>
          </w:tcPr>
          <w:p>
            <w:pPr>
              <w:jc w:val="center"/>
              <w:rPr>
                <w:color w:val="auto"/>
                <w:szCs w:val="21"/>
                <w:highlight w:val="none"/>
              </w:rPr>
            </w:pPr>
            <w:r>
              <w:rPr>
                <w:color w:val="auto"/>
                <w:szCs w:val="21"/>
                <w:highlight w:val="none"/>
              </w:rPr>
              <w:t>本项目</w:t>
            </w:r>
          </w:p>
        </w:tc>
        <w:tc>
          <w:tcPr>
            <w:tcW w:w="2142" w:type="dxa"/>
          </w:tcPr>
          <w:p>
            <w:pPr>
              <w:jc w:val="center"/>
              <w:rPr>
                <w:bCs/>
                <w:color w:val="auto"/>
                <w:szCs w:val="21"/>
                <w:highlight w:val="none"/>
              </w:rPr>
            </w:pPr>
            <w:r>
              <w:rPr>
                <w:rFonts w:hint="eastAsia"/>
                <w:color w:val="auto"/>
                <w:szCs w:val="21"/>
                <w:highlight w:val="none"/>
                <w:lang w:val="en-US" w:eastAsia="zh-CN"/>
              </w:rPr>
              <w:t>2类和4</w:t>
            </w:r>
            <w:r>
              <w:rPr>
                <w:color w:val="auto"/>
                <w:szCs w:val="21"/>
                <w:highlight w:val="none"/>
              </w:rPr>
              <w:t>类</w:t>
            </w:r>
          </w:p>
        </w:tc>
        <w:tc>
          <w:tcPr>
            <w:tcW w:w="2142" w:type="dxa"/>
          </w:tcPr>
          <w:p>
            <w:pPr>
              <w:jc w:val="center"/>
              <w:rPr>
                <w:bCs/>
                <w:color w:val="auto"/>
                <w:szCs w:val="21"/>
                <w:highlight w:val="none"/>
              </w:rPr>
            </w:pPr>
            <w:r>
              <w:rPr>
                <w:color w:val="auto"/>
                <w:highlight w:val="none"/>
              </w:rPr>
              <w:t>&lt;3dB</w:t>
            </w:r>
          </w:p>
        </w:tc>
        <w:tc>
          <w:tcPr>
            <w:tcW w:w="2142" w:type="dxa"/>
          </w:tcPr>
          <w:p>
            <w:pPr>
              <w:jc w:val="center"/>
              <w:rPr>
                <w:b/>
                <w:bCs/>
                <w:color w:val="auto"/>
                <w:szCs w:val="21"/>
                <w:highlight w:val="none"/>
              </w:rPr>
            </w:pPr>
            <w:r>
              <w:rPr>
                <w:color w:val="auto"/>
                <w:highlight w:val="none"/>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8362" w:type="dxa"/>
            <w:gridSpan w:val="5"/>
            <w:vAlign w:val="center"/>
          </w:tcPr>
          <w:p>
            <w:pPr>
              <w:jc w:val="center"/>
              <w:rPr>
                <w:bCs/>
                <w:color w:val="auto"/>
                <w:szCs w:val="21"/>
                <w:highlight w:val="none"/>
              </w:rPr>
            </w:pPr>
            <w:r>
              <w:rPr>
                <w:bCs/>
                <w:color w:val="auto"/>
                <w:szCs w:val="21"/>
                <w:highlight w:val="none"/>
              </w:rPr>
              <w:t>根据以上确定本项目评价等级为</w:t>
            </w:r>
            <w:r>
              <w:rPr>
                <w:rFonts w:hint="eastAsia"/>
                <w:bCs/>
                <w:color w:val="auto"/>
                <w:szCs w:val="21"/>
                <w:highlight w:val="none"/>
                <w:lang w:val="en-US" w:eastAsia="zh-CN"/>
              </w:rPr>
              <w:t>二</w:t>
            </w:r>
            <w:r>
              <w:rPr>
                <w:bCs/>
                <w:color w:val="auto"/>
                <w:szCs w:val="21"/>
                <w:highlight w:val="none"/>
              </w:rPr>
              <w:t>级</w:t>
            </w:r>
          </w:p>
        </w:tc>
      </w:tr>
    </w:tbl>
    <w:p>
      <w:pPr>
        <w:spacing w:line="360" w:lineRule="auto"/>
        <w:ind w:firstLine="480" w:firstLineChars="200"/>
        <w:rPr>
          <w:color w:val="auto"/>
          <w:sz w:val="24"/>
          <w:highlight w:val="none"/>
        </w:rPr>
      </w:pPr>
      <w:r>
        <w:rPr>
          <w:color w:val="auto"/>
          <w:sz w:val="24"/>
          <w:highlight w:val="none"/>
        </w:rPr>
        <w:t>（2）评价范围</w:t>
      </w:r>
    </w:p>
    <w:p>
      <w:pPr>
        <w:spacing w:line="360" w:lineRule="auto"/>
        <w:ind w:firstLine="480" w:firstLineChars="200"/>
        <w:rPr>
          <w:color w:val="auto"/>
          <w:sz w:val="24"/>
          <w:highlight w:val="none"/>
        </w:rPr>
      </w:pPr>
      <w:r>
        <w:rPr>
          <w:color w:val="auto"/>
          <w:sz w:val="24"/>
          <w:highlight w:val="none"/>
        </w:rPr>
        <w:t>项目声环境影响评价范围为厂界外200m范围。</w:t>
      </w:r>
    </w:p>
    <w:p>
      <w:pPr>
        <w:keepNext/>
        <w:keepLines/>
        <w:spacing w:line="360" w:lineRule="auto"/>
        <w:outlineLvl w:val="2"/>
        <w:rPr>
          <w:b/>
          <w:bCs/>
          <w:color w:val="auto"/>
          <w:sz w:val="24"/>
          <w:highlight w:val="none"/>
        </w:rPr>
      </w:pPr>
      <w:bookmarkStart w:id="260" w:name="_Toc341369384"/>
      <w:bookmarkStart w:id="261" w:name="_Toc367281419"/>
      <w:bookmarkStart w:id="262" w:name="_Toc367282002"/>
      <w:bookmarkStart w:id="263" w:name="_Toc75908611"/>
      <w:bookmarkStart w:id="264" w:name="_Toc636"/>
      <w:r>
        <w:rPr>
          <w:b/>
          <w:bCs/>
          <w:color w:val="auto"/>
          <w:sz w:val="24"/>
          <w:highlight w:val="none"/>
        </w:rPr>
        <w:t>1.5.5</w:t>
      </w:r>
      <w:bookmarkEnd w:id="260"/>
      <w:bookmarkEnd w:id="261"/>
      <w:bookmarkEnd w:id="262"/>
      <w:r>
        <w:rPr>
          <w:b/>
          <w:bCs/>
          <w:color w:val="auto"/>
          <w:sz w:val="24"/>
          <w:highlight w:val="none"/>
        </w:rPr>
        <w:t>生态环境</w:t>
      </w:r>
      <w:bookmarkEnd w:id="263"/>
      <w:bookmarkEnd w:id="264"/>
    </w:p>
    <w:p>
      <w:pPr>
        <w:spacing w:line="360" w:lineRule="auto"/>
        <w:ind w:firstLine="480" w:firstLineChars="200"/>
        <w:rPr>
          <w:color w:val="auto"/>
          <w:sz w:val="24"/>
          <w:highlight w:val="none"/>
        </w:rPr>
      </w:pPr>
      <w:r>
        <w:rPr>
          <w:color w:val="auto"/>
          <w:sz w:val="24"/>
          <w:highlight w:val="none"/>
        </w:rPr>
        <w:t>（1）评价工作等级</w:t>
      </w:r>
    </w:p>
    <w:p>
      <w:pPr>
        <w:widowControl/>
        <w:spacing w:line="360" w:lineRule="auto"/>
        <w:ind w:firstLine="480" w:firstLineChars="200"/>
        <w:jc w:val="left"/>
        <w:rPr>
          <w:rFonts w:hint="eastAsia"/>
          <w:color w:val="auto"/>
          <w:sz w:val="24"/>
          <w:highlight w:val="none"/>
          <w:lang w:val="en-US" w:eastAsia="zh-CN"/>
        </w:rPr>
      </w:pPr>
      <w:r>
        <w:rPr>
          <w:rFonts w:hint="eastAsia"/>
          <w:color w:val="auto"/>
          <w:sz w:val="24"/>
          <w:highlight w:val="none"/>
          <w:lang w:val="en-US" w:eastAsia="zh-CN"/>
        </w:rPr>
        <w:t>根据《环境影响评价技术导则-生态影响》（HJ19-2022），生态影响评价工作等级划分详见下表。</w:t>
      </w:r>
    </w:p>
    <w:p>
      <w:pPr>
        <w:spacing w:line="360" w:lineRule="auto"/>
        <w:jc w:val="center"/>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表1.5-</w:t>
      </w:r>
      <w:r>
        <w:rPr>
          <w:rFonts w:hint="eastAsia" w:cs="Times New Roman"/>
          <w:b/>
          <w:color w:val="auto"/>
          <w:sz w:val="24"/>
          <w:highlight w:val="none"/>
          <w:lang w:val="en-US" w:eastAsia="zh-CN"/>
        </w:rPr>
        <w:t>5</w:t>
      </w:r>
      <w:r>
        <w:rPr>
          <w:rFonts w:hint="eastAsia" w:ascii="Times New Roman" w:hAnsi="Times New Roman" w:eastAsia="宋体" w:cs="Times New Roman"/>
          <w:b/>
          <w:color w:val="auto"/>
          <w:sz w:val="24"/>
          <w:highlight w:val="none"/>
          <w:lang w:val="en-US" w:eastAsia="zh-CN"/>
        </w:rPr>
        <w:t xml:space="preserve">  生态影响评价工作等级划分表</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评价工作等级</w:t>
            </w:r>
          </w:p>
        </w:tc>
        <w:tc>
          <w:tcPr>
            <w:tcW w:w="7443" w:type="dxa"/>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划分依据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一级评价</w:t>
            </w:r>
          </w:p>
        </w:tc>
        <w:tc>
          <w:tcPr>
            <w:tcW w:w="7443" w:type="dxa"/>
          </w:tcPr>
          <w:p>
            <w:pPr>
              <w:jc w:val="left"/>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 涉及国家公园、自然保护区、世界自然遗产、重要生境时</w:t>
            </w: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二级评价</w:t>
            </w:r>
          </w:p>
        </w:tc>
        <w:tc>
          <w:tcPr>
            <w:tcW w:w="7443" w:type="dxa"/>
          </w:tcPr>
          <w:p>
            <w:pPr>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lang w:val="en-US" w:eastAsia="zh-CN"/>
              </w:rPr>
              <w:t>涉及自然公园时</w:t>
            </w:r>
            <w:r>
              <w:rPr>
                <w:rFonts w:hint="eastAsia" w:ascii="Times New Roman" w:hAnsi="Times New Roman" w:eastAsia="宋体" w:cs="Times New Roman"/>
                <w:color w:val="auto"/>
                <w:szCs w:val="21"/>
                <w:highlight w:val="none"/>
                <w:lang w:val="en-US" w:eastAsia="zh-CN"/>
              </w:rPr>
              <w:t>；</w:t>
            </w:r>
          </w:p>
          <w:p>
            <w:pPr>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②</w:t>
            </w:r>
            <w:r>
              <w:rPr>
                <w:rFonts w:hint="default" w:ascii="Times New Roman" w:hAnsi="Times New Roman" w:eastAsia="宋体" w:cs="Times New Roman"/>
                <w:color w:val="auto"/>
                <w:szCs w:val="21"/>
                <w:highlight w:val="none"/>
                <w:lang w:val="en-US" w:eastAsia="zh-CN"/>
              </w:rPr>
              <w:t>涉及生态保护红线时</w:t>
            </w:r>
            <w:r>
              <w:rPr>
                <w:rFonts w:hint="eastAsia" w:ascii="Times New Roman" w:hAnsi="Times New Roman" w:eastAsia="宋体" w:cs="Times New Roman"/>
                <w:color w:val="auto"/>
                <w:szCs w:val="21"/>
                <w:highlight w:val="none"/>
                <w:lang w:val="en-US" w:eastAsia="zh-CN"/>
              </w:rPr>
              <w:t>；</w:t>
            </w:r>
          </w:p>
          <w:p>
            <w:pPr>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③</w:t>
            </w:r>
            <w:r>
              <w:rPr>
                <w:rFonts w:hint="default" w:ascii="Times New Roman" w:hAnsi="Times New Roman" w:eastAsia="宋体" w:cs="Times New Roman"/>
                <w:color w:val="auto"/>
                <w:szCs w:val="21"/>
                <w:highlight w:val="none"/>
                <w:lang w:val="en-US" w:eastAsia="zh-CN"/>
              </w:rPr>
              <w:t>根据 HJ 2.3 判断属于水文要素影响型且地表水评价等级不低于二级的建设项目</w:t>
            </w:r>
            <w:r>
              <w:rPr>
                <w:rFonts w:hint="eastAsia" w:ascii="Times New Roman" w:hAnsi="Times New Roman" w:eastAsia="宋体" w:cs="Times New Roman"/>
                <w:color w:val="auto"/>
                <w:szCs w:val="21"/>
                <w:highlight w:val="none"/>
                <w:lang w:val="en-US" w:eastAsia="zh-CN"/>
              </w:rPr>
              <w:t>；</w:t>
            </w:r>
          </w:p>
          <w:p>
            <w:pPr>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④</w:t>
            </w:r>
            <w:r>
              <w:rPr>
                <w:rFonts w:hint="default" w:ascii="Times New Roman" w:hAnsi="Times New Roman" w:eastAsia="宋体" w:cs="Times New Roman"/>
                <w:color w:val="auto"/>
                <w:szCs w:val="21"/>
                <w:highlight w:val="none"/>
                <w:lang w:val="en-US" w:eastAsia="zh-CN"/>
              </w:rPr>
              <w:t>根据 HJ 610、HJ 964 判断地下水水位或土壤影响范围内分布有天然林、公益林、湿地等生态保护目标的建设项目</w:t>
            </w:r>
            <w:r>
              <w:rPr>
                <w:rFonts w:hint="eastAsia" w:ascii="Times New Roman" w:hAnsi="Times New Roman" w:eastAsia="宋体" w:cs="Times New Roman"/>
                <w:color w:val="auto"/>
                <w:szCs w:val="21"/>
                <w:highlight w:val="none"/>
                <w:lang w:val="en-US" w:eastAsia="zh-CN"/>
              </w:rPr>
              <w:t>；</w:t>
            </w:r>
          </w:p>
          <w:p>
            <w:pPr>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⑤</w:t>
            </w:r>
            <w:r>
              <w:rPr>
                <w:rFonts w:hint="default" w:ascii="Times New Roman" w:hAnsi="Times New Roman" w:eastAsia="宋体" w:cs="Times New Roman"/>
                <w:color w:val="auto"/>
                <w:szCs w:val="21"/>
                <w:highlight w:val="none"/>
                <w:lang w:val="en-US" w:eastAsia="zh-CN"/>
              </w:rPr>
              <w:t>当工程占地规模大于 20 km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 xml:space="preserve"> 时（包括永久和临时占用陆域和水域），评价等级不低于二级；改扩建项目的占地范围以新增占地（包括陆域和水域）确定</w:t>
            </w: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三级评价</w:t>
            </w:r>
          </w:p>
        </w:tc>
        <w:tc>
          <w:tcPr>
            <w:tcW w:w="7443" w:type="dxa"/>
          </w:tcPr>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除一级、二级评价以外的情况。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w:t>
            </w:r>
          </w:p>
        </w:tc>
        <w:tc>
          <w:tcPr>
            <w:tcW w:w="7443" w:type="dxa"/>
          </w:tcPr>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①</w:t>
            </w:r>
            <w:r>
              <w:rPr>
                <w:rFonts w:hint="eastAsia" w:ascii="Times New Roman" w:hAnsi="Times New Roman" w:eastAsia="宋体" w:cs="Times New Roman"/>
                <w:color w:val="auto"/>
                <w:szCs w:val="21"/>
                <w:highlight w:val="none"/>
                <w:lang w:val="en-US" w:eastAsia="zh-CN"/>
              </w:rPr>
              <w:t>当评价等级判定同时符合上述多种情况时，应采用其中最高评价等级。</w:t>
            </w:r>
          </w:p>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②</w:t>
            </w:r>
            <w:r>
              <w:rPr>
                <w:rFonts w:hint="eastAsia" w:ascii="Times New Roman" w:hAnsi="Times New Roman" w:eastAsia="宋体" w:cs="Times New Roman"/>
                <w:color w:val="auto"/>
                <w:szCs w:val="21"/>
                <w:highlight w:val="none"/>
                <w:lang w:val="en-US" w:eastAsia="zh-CN"/>
              </w:rPr>
              <w:t>建设项目涉及经论证对保护生物多样性具有重要意义的区域时，可适当上调评价等级。</w:t>
            </w:r>
          </w:p>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③</w:t>
            </w:r>
            <w:r>
              <w:rPr>
                <w:rFonts w:hint="eastAsia" w:ascii="Times New Roman" w:hAnsi="Times New Roman" w:eastAsia="宋体" w:cs="Times New Roman"/>
                <w:color w:val="auto"/>
                <w:szCs w:val="21"/>
                <w:highlight w:val="none"/>
                <w:lang w:val="en-US" w:eastAsia="zh-CN"/>
              </w:rPr>
              <w:t>建设项目同时涉及陆生、水生水态影响时，可针对陆生生态、水生水土分别判定评价等级。</w:t>
            </w:r>
          </w:p>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④</w:t>
            </w:r>
            <w:r>
              <w:rPr>
                <w:rFonts w:hint="eastAsia" w:ascii="Times New Roman" w:hAnsi="Times New Roman" w:eastAsia="宋体" w:cs="Times New Roman"/>
                <w:color w:val="auto"/>
                <w:szCs w:val="21"/>
                <w:highlight w:val="none"/>
                <w:lang w:val="en-US" w:eastAsia="zh-CN"/>
              </w:rPr>
              <w:t>在矿山开采可能导致矿区土地利用类型明显改变，或拦河闸坝建设可能明显改变水文情势等情况下，评价等级应上调一级。</w:t>
            </w:r>
          </w:p>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⑤</w:t>
            </w:r>
            <w:r>
              <w:rPr>
                <w:rFonts w:hint="eastAsia" w:ascii="Times New Roman" w:hAnsi="Times New Roman" w:eastAsia="宋体" w:cs="Times New Roman"/>
                <w:color w:val="auto"/>
                <w:szCs w:val="21"/>
                <w:highlight w:val="none"/>
                <w:lang w:val="en-US" w:eastAsia="zh-CN"/>
              </w:rPr>
              <w:t>线性工程可分段确定评价等级。线性工程地下穿越或地表跨越生态敏感区，在生态敏感区范围内无永久、临时占地时，评价等级可下调一级。</w:t>
            </w:r>
          </w:p>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⑥</w:t>
            </w:r>
            <w:r>
              <w:rPr>
                <w:rFonts w:hint="eastAsia" w:ascii="Times New Roman" w:hAnsi="Times New Roman" w:eastAsia="宋体" w:cs="Times New Roman"/>
                <w:color w:val="auto"/>
                <w:szCs w:val="21"/>
                <w:highlight w:val="none"/>
                <w:lang w:val="en-US" w:eastAsia="zh-CN"/>
              </w:rPr>
              <w:t>涉海工程评价等级判定参照GB/T19485。</w:t>
            </w:r>
          </w:p>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⑦</w:t>
            </w:r>
            <w:r>
              <w:rPr>
                <w:rFonts w:hint="eastAsia" w:ascii="Times New Roman" w:hAnsi="Times New Roman" w:eastAsia="宋体" w:cs="Times New Roman"/>
                <w:color w:val="auto"/>
                <w:szCs w:val="21"/>
                <w:highlight w:val="none"/>
                <w:lang w:val="en-US" w:eastAsia="zh-CN"/>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r>
    </w:tbl>
    <w:p>
      <w:pPr>
        <w:widowControl/>
        <w:spacing w:line="360" w:lineRule="auto"/>
        <w:ind w:firstLine="480" w:firstLineChars="200"/>
        <w:jc w:val="left"/>
        <w:rPr>
          <w:rFonts w:hint="default"/>
          <w:color w:val="auto"/>
          <w:kern w:val="0"/>
          <w:sz w:val="24"/>
          <w:highlight w:val="none"/>
          <w:lang w:val="en-US" w:eastAsia="zh-CN" w:bidi="ar"/>
        </w:rPr>
      </w:pPr>
      <w:r>
        <w:rPr>
          <w:color w:val="auto"/>
          <w:sz w:val="24"/>
          <w:highlight w:val="none"/>
        </w:rPr>
        <w:t>本项目不涉及</w:t>
      </w:r>
      <w:r>
        <w:rPr>
          <w:color w:val="auto"/>
          <w:kern w:val="0"/>
          <w:sz w:val="24"/>
          <w:highlight w:val="none"/>
          <w:lang w:bidi="ar"/>
        </w:rPr>
        <w:t>国家公园、自然保护区、世界自然遗产、</w:t>
      </w:r>
      <w:r>
        <w:rPr>
          <w:rFonts w:hint="eastAsia"/>
          <w:color w:val="auto"/>
          <w:kern w:val="0"/>
          <w:sz w:val="24"/>
          <w:highlight w:val="none"/>
          <w:lang w:val="en-US" w:eastAsia="zh-CN" w:bidi="ar"/>
        </w:rPr>
        <w:t>重要生境、自然公园等生态敏感区；根据生态红线查询结果，项目不在生态红线保护范围内；项目不属于水文要素影响型项目，项目不需要开展地下水和土壤环境影响评价，不设置评价范围，且项目周边未分布有天然林、公益林、湿地等生态保护目标；项目总占地面积为1994.56m</w:t>
      </w:r>
      <w:r>
        <w:rPr>
          <w:rFonts w:hint="eastAsia"/>
          <w:color w:val="auto"/>
          <w:kern w:val="0"/>
          <w:sz w:val="24"/>
          <w:highlight w:val="none"/>
          <w:vertAlign w:val="superscript"/>
          <w:lang w:val="en-US" w:eastAsia="zh-CN" w:bidi="ar"/>
        </w:rPr>
        <w:t>2</w:t>
      </w:r>
      <w:r>
        <w:rPr>
          <w:rFonts w:hint="eastAsia"/>
          <w:color w:val="auto"/>
          <w:kern w:val="0"/>
          <w:sz w:val="24"/>
          <w:highlight w:val="none"/>
          <w:lang w:val="en-US" w:eastAsia="zh-CN" w:bidi="ar"/>
        </w:rPr>
        <w:t>，约0.001995km</w:t>
      </w:r>
      <w:r>
        <w:rPr>
          <w:rFonts w:hint="eastAsia"/>
          <w:color w:val="auto"/>
          <w:kern w:val="0"/>
          <w:sz w:val="24"/>
          <w:highlight w:val="none"/>
          <w:vertAlign w:val="superscript"/>
          <w:lang w:val="en-US" w:eastAsia="zh-CN" w:bidi="ar"/>
        </w:rPr>
        <w:t>2</w:t>
      </w:r>
      <w:r>
        <w:rPr>
          <w:rFonts w:hint="eastAsia"/>
          <w:color w:val="auto"/>
          <w:kern w:val="0"/>
          <w:sz w:val="24"/>
          <w:highlight w:val="none"/>
          <w:lang w:val="en-US" w:eastAsia="zh-CN" w:bidi="ar"/>
        </w:rPr>
        <w:t>＜20km</w:t>
      </w:r>
      <w:r>
        <w:rPr>
          <w:rFonts w:hint="eastAsia"/>
          <w:color w:val="auto"/>
          <w:kern w:val="0"/>
          <w:sz w:val="24"/>
          <w:highlight w:val="none"/>
          <w:vertAlign w:val="superscript"/>
          <w:lang w:val="en-US" w:eastAsia="zh-CN" w:bidi="ar"/>
        </w:rPr>
        <w:t>2</w:t>
      </w:r>
      <w:r>
        <w:rPr>
          <w:rFonts w:hint="eastAsia"/>
          <w:color w:val="auto"/>
          <w:kern w:val="0"/>
          <w:sz w:val="24"/>
          <w:highlight w:val="none"/>
          <w:lang w:val="en-US" w:eastAsia="zh-CN" w:bidi="ar"/>
        </w:rPr>
        <w:t>。因此，确定项目的生态环境影响评价等级为三级。</w:t>
      </w:r>
    </w:p>
    <w:p>
      <w:pPr>
        <w:spacing w:line="360" w:lineRule="auto"/>
        <w:ind w:firstLine="480" w:firstLineChars="200"/>
        <w:rPr>
          <w:color w:val="auto"/>
          <w:sz w:val="24"/>
          <w:highlight w:val="none"/>
        </w:rPr>
      </w:pPr>
      <w:r>
        <w:rPr>
          <w:color w:val="auto"/>
          <w:sz w:val="24"/>
          <w:highlight w:val="none"/>
        </w:rPr>
        <w:t>（2）评价范围</w:t>
      </w:r>
    </w:p>
    <w:p>
      <w:pPr>
        <w:spacing w:line="360" w:lineRule="auto"/>
        <w:ind w:firstLine="480" w:firstLineChars="200"/>
        <w:rPr>
          <w:rFonts w:hint="default" w:eastAsia="宋体"/>
          <w:color w:val="auto"/>
          <w:sz w:val="24"/>
          <w:szCs w:val="21"/>
          <w:highlight w:val="none"/>
          <w:lang w:val="en-US" w:eastAsia="zh-CN"/>
        </w:rPr>
      </w:pPr>
      <w:r>
        <w:rPr>
          <w:rFonts w:hint="eastAsia"/>
          <w:color w:val="auto"/>
          <w:sz w:val="24"/>
          <w:szCs w:val="21"/>
          <w:highlight w:val="none"/>
          <w:lang w:val="en-US" w:eastAsia="zh-CN"/>
        </w:rPr>
        <w:t>根据《环境影响评价技术导则-生态影响》（HJ19-2022）中，6.2.8“污染影响类建设项目评价范围应涵盖直接占用区域以及污染物排放产生的间接生态影响区域”</w:t>
      </w:r>
      <w:r>
        <w:rPr>
          <w:color w:val="auto"/>
          <w:sz w:val="24"/>
          <w:szCs w:val="21"/>
          <w:highlight w:val="none"/>
        </w:rPr>
        <w:t>。</w:t>
      </w:r>
      <w:r>
        <w:rPr>
          <w:rFonts w:hint="eastAsia"/>
          <w:color w:val="auto"/>
          <w:sz w:val="24"/>
          <w:szCs w:val="21"/>
          <w:highlight w:val="none"/>
          <w:lang w:val="en-US" w:eastAsia="zh-CN"/>
        </w:rPr>
        <w:t>根据项目废气预测结果可知，废气最大落地浓度出现在114m处，位于厂界外。经综合考虑，确定项目生态评价范围为项目占地及厂界外200m范围。</w:t>
      </w:r>
    </w:p>
    <w:p>
      <w:pPr>
        <w:keepNext/>
        <w:keepLines/>
        <w:spacing w:line="360" w:lineRule="auto"/>
        <w:outlineLvl w:val="2"/>
        <w:rPr>
          <w:b/>
          <w:bCs/>
          <w:color w:val="auto"/>
          <w:sz w:val="24"/>
          <w:highlight w:val="none"/>
        </w:rPr>
      </w:pPr>
      <w:bookmarkStart w:id="265" w:name="_Toc75908612"/>
      <w:bookmarkStart w:id="266" w:name="_Toc31414"/>
      <w:r>
        <w:rPr>
          <w:b/>
          <w:bCs/>
          <w:color w:val="auto"/>
          <w:sz w:val="24"/>
          <w:highlight w:val="none"/>
        </w:rPr>
        <w:t>1.5.6土壤环境</w:t>
      </w:r>
      <w:bookmarkEnd w:id="265"/>
      <w:bookmarkEnd w:id="266"/>
    </w:p>
    <w:p>
      <w:pPr>
        <w:spacing w:line="360" w:lineRule="auto"/>
        <w:ind w:firstLine="480" w:firstLineChars="200"/>
        <w:rPr>
          <w:rFonts w:hint="eastAsia"/>
          <w:color w:val="auto"/>
          <w:sz w:val="24"/>
          <w:highlight w:val="none"/>
          <w:lang w:val="en-US" w:eastAsia="zh-CN"/>
        </w:rPr>
      </w:pPr>
      <w:r>
        <w:rPr>
          <w:color w:val="auto"/>
          <w:sz w:val="24"/>
          <w:highlight w:val="none"/>
        </w:rPr>
        <w:t>根据《</w:t>
      </w:r>
      <w:r>
        <w:rPr>
          <w:snapToGrid w:val="0"/>
          <w:color w:val="auto"/>
          <w:kern w:val="0"/>
          <w:sz w:val="24"/>
          <w:highlight w:val="none"/>
        </w:rPr>
        <w:t xml:space="preserve">环境影响评价技术导则 </w:t>
      </w:r>
      <w:r>
        <w:rPr>
          <w:color w:val="auto"/>
          <w:sz w:val="24"/>
          <w:highlight w:val="none"/>
        </w:rPr>
        <w:t>土壤环境》（HJ964-2018）</w:t>
      </w:r>
      <w:r>
        <w:rPr>
          <w:rFonts w:hint="eastAsia"/>
          <w:color w:val="auto"/>
          <w:sz w:val="24"/>
          <w:highlight w:val="none"/>
          <w:lang w:val="en-US" w:eastAsia="zh-CN"/>
        </w:rPr>
        <w:t>中4.2.2条：根据行业特性、工艺等特点或规模大小等将建设项目类别分为Ⅰ类、Ⅱ类、Ⅲ类、Ⅳ类。其中Ⅳ类建设项目可不开展土壤环境影响评价；自身为敏感目标的建设项目，可根据需要仅对土壤环境现状进行调查。</w:t>
      </w:r>
    </w:p>
    <w:p>
      <w:pPr>
        <w:spacing w:line="360" w:lineRule="auto"/>
        <w:ind w:firstLine="480" w:firstLineChars="200"/>
        <w:rPr>
          <w:color w:val="auto"/>
          <w:kern w:val="0"/>
          <w:sz w:val="24"/>
          <w:highlight w:val="none"/>
        </w:rPr>
      </w:pPr>
      <w:r>
        <w:rPr>
          <w:rFonts w:hint="eastAsia"/>
          <w:color w:val="auto"/>
          <w:sz w:val="24"/>
          <w:highlight w:val="none"/>
          <w:lang w:val="en-US" w:eastAsia="zh-CN"/>
        </w:rPr>
        <w:t>根据《环境影响评价技术导则 土壤环境》（HJ964-2018）中附录A土壤环境影响评价项目类别，项目属于其他行业，土壤环境影响评价类别为Ⅳ类。根据导则要求：Ⅳ类建设项目可不开展土壤环境影响评价，因此本项目土壤评价等级为不设等级。</w:t>
      </w:r>
    </w:p>
    <w:p>
      <w:pPr>
        <w:keepNext/>
        <w:keepLines/>
        <w:spacing w:line="360" w:lineRule="auto"/>
        <w:outlineLvl w:val="2"/>
        <w:rPr>
          <w:b/>
          <w:bCs/>
          <w:color w:val="auto"/>
          <w:sz w:val="24"/>
          <w:highlight w:val="none"/>
        </w:rPr>
      </w:pPr>
      <w:bookmarkStart w:id="267" w:name="_Toc16486"/>
      <w:bookmarkStart w:id="268" w:name="_Toc75908613"/>
      <w:r>
        <w:rPr>
          <w:b/>
          <w:bCs/>
          <w:color w:val="auto"/>
          <w:sz w:val="24"/>
          <w:highlight w:val="none"/>
        </w:rPr>
        <w:t>1.5.7环境风险</w:t>
      </w:r>
      <w:bookmarkEnd w:id="267"/>
      <w:bookmarkEnd w:id="268"/>
    </w:p>
    <w:p>
      <w:pPr>
        <w:spacing w:line="360" w:lineRule="auto"/>
        <w:ind w:firstLine="480" w:firstLineChars="200"/>
        <w:rPr>
          <w:color w:val="auto"/>
          <w:sz w:val="24"/>
          <w:highlight w:val="none"/>
        </w:rPr>
      </w:pPr>
      <w:bookmarkStart w:id="269" w:name="_Toc367282003"/>
      <w:bookmarkStart w:id="270" w:name="_Toc341369385"/>
      <w:bookmarkStart w:id="271" w:name="_Toc367281420"/>
      <w:bookmarkStart w:id="272" w:name="_Toc162144136"/>
      <w:bookmarkStart w:id="273" w:name="_Toc94437212"/>
      <w:bookmarkStart w:id="274" w:name="_Toc69894246"/>
      <w:bookmarkStart w:id="275" w:name="_Toc86127966"/>
      <w:r>
        <w:rPr>
          <w:color w:val="auto"/>
          <w:sz w:val="24"/>
          <w:highlight w:val="none"/>
        </w:rPr>
        <w:t>根据对项目的原辅材料、中间产物和产品等进行分析，项目生产过程中产生的废机油属于《建设项目环境风险评价技</w:t>
      </w:r>
      <w:r>
        <w:rPr>
          <w:color w:val="auto"/>
          <w:kern w:val="0"/>
          <w:sz w:val="24"/>
          <w:highlight w:val="none"/>
        </w:rPr>
        <w:t>术导则》（</w:t>
      </w:r>
      <w:r>
        <w:rPr>
          <w:color w:val="auto"/>
          <w:sz w:val="24"/>
          <w:highlight w:val="none"/>
        </w:rPr>
        <w:t>HJ169-2018</w:t>
      </w:r>
      <w:r>
        <w:rPr>
          <w:color w:val="auto"/>
          <w:kern w:val="0"/>
          <w:sz w:val="24"/>
          <w:highlight w:val="none"/>
        </w:rPr>
        <w:t>）中附录B所列风险物质，</w:t>
      </w:r>
      <w:r>
        <w:rPr>
          <w:color w:val="auto"/>
          <w:sz w:val="24"/>
          <w:highlight w:val="none"/>
        </w:rPr>
        <w:t>项目废机油产生量为0.02t/a，最大储量0.02t</w:t>
      </w:r>
      <w:r>
        <w:rPr>
          <w:rFonts w:hint="eastAsia"/>
          <w:color w:val="auto"/>
          <w:sz w:val="24"/>
          <w:highlight w:val="none"/>
          <w:lang w:eastAsia="zh-CN"/>
        </w:rPr>
        <w:t>。</w:t>
      </w:r>
      <w:r>
        <w:rPr>
          <w:color w:val="auto"/>
          <w:sz w:val="24"/>
          <w:highlight w:val="none"/>
        </w:rPr>
        <w:t>废机油临界量参照《建设项目环境风险评价技</w:t>
      </w:r>
      <w:r>
        <w:rPr>
          <w:color w:val="auto"/>
          <w:kern w:val="0"/>
          <w:sz w:val="24"/>
          <w:highlight w:val="none"/>
        </w:rPr>
        <w:t>术导则》中附录B中的“油类物质”，根据计算，建设项目Q值=0.</w:t>
      </w:r>
      <w:r>
        <w:rPr>
          <w:rFonts w:hint="eastAsia"/>
          <w:color w:val="auto"/>
          <w:kern w:val="0"/>
          <w:sz w:val="24"/>
          <w:highlight w:val="none"/>
          <w:lang w:val="en-US" w:eastAsia="zh-CN"/>
        </w:rPr>
        <w:t>0000104</w:t>
      </w:r>
      <w:r>
        <w:rPr>
          <w:color w:val="auto"/>
          <w:kern w:val="0"/>
          <w:sz w:val="24"/>
          <w:highlight w:val="none"/>
        </w:rPr>
        <w:t>＜1，可直接判定本项目环境风险潜势为I</w:t>
      </w:r>
      <w:r>
        <w:rPr>
          <w:color w:val="auto"/>
          <w:sz w:val="24"/>
          <w:highlight w:val="none"/>
        </w:rPr>
        <w:t>。</w:t>
      </w:r>
    </w:p>
    <w:p>
      <w:pPr>
        <w:spacing w:line="360" w:lineRule="auto"/>
        <w:ind w:firstLine="480" w:firstLineChars="200"/>
        <w:rPr>
          <w:color w:val="auto"/>
          <w:sz w:val="24"/>
          <w:highlight w:val="none"/>
        </w:rPr>
      </w:pPr>
      <w:r>
        <w:rPr>
          <w:color w:val="auto"/>
          <w:sz w:val="24"/>
          <w:highlight w:val="none"/>
        </w:rPr>
        <w:t>根据《建设项目环境风险评价技术导则》（HJ169-2018）评价工作等级判别依据，本项目环境风险简单分析即可。</w:t>
      </w:r>
    </w:p>
    <w:p>
      <w:pPr>
        <w:spacing w:line="360" w:lineRule="auto"/>
        <w:jc w:val="center"/>
        <w:rPr>
          <w:b/>
          <w:color w:val="auto"/>
          <w:sz w:val="24"/>
          <w:highlight w:val="none"/>
        </w:rPr>
      </w:pPr>
      <w:r>
        <w:rPr>
          <w:b/>
          <w:color w:val="auto"/>
          <w:sz w:val="24"/>
          <w:highlight w:val="none"/>
        </w:rPr>
        <w:t>表1.5-</w:t>
      </w:r>
      <w:r>
        <w:rPr>
          <w:rFonts w:hint="eastAsia"/>
          <w:b/>
          <w:color w:val="auto"/>
          <w:sz w:val="24"/>
          <w:highlight w:val="none"/>
          <w:lang w:val="en-US" w:eastAsia="zh-CN"/>
        </w:rPr>
        <w:t>6</w:t>
      </w:r>
      <w:r>
        <w:rPr>
          <w:b/>
          <w:color w:val="auto"/>
          <w:sz w:val="24"/>
          <w:highlight w:val="none"/>
        </w:rPr>
        <w:t xml:space="preserve">  评价工作等级划分</w:t>
      </w:r>
    </w:p>
    <w:tbl>
      <w:tblPr>
        <w:tblStyle w:val="55"/>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8"/>
        <w:gridCol w:w="1470"/>
        <w:gridCol w:w="1690"/>
        <w:gridCol w:w="1690"/>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8" w:type="dxa"/>
            <w:vAlign w:val="center"/>
          </w:tcPr>
          <w:p>
            <w:pPr>
              <w:autoSpaceDE w:val="0"/>
              <w:autoSpaceDN w:val="0"/>
              <w:jc w:val="center"/>
              <w:rPr>
                <w:b/>
                <w:color w:val="auto"/>
                <w:kern w:val="0"/>
                <w:szCs w:val="21"/>
                <w:highlight w:val="none"/>
              </w:rPr>
            </w:pPr>
            <w:r>
              <w:rPr>
                <w:b/>
                <w:color w:val="auto"/>
                <w:spacing w:val="7"/>
                <w:kern w:val="0"/>
                <w:szCs w:val="21"/>
                <w:highlight w:val="none"/>
              </w:rPr>
              <w:t>环</w:t>
            </w:r>
            <w:r>
              <w:rPr>
                <w:b/>
                <w:color w:val="auto"/>
                <w:spacing w:val="8"/>
                <w:kern w:val="0"/>
                <w:szCs w:val="21"/>
                <w:highlight w:val="none"/>
              </w:rPr>
              <w:t>境风</w:t>
            </w:r>
            <w:r>
              <w:rPr>
                <w:b/>
                <w:color w:val="auto"/>
                <w:spacing w:val="7"/>
                <w:kern w:val="0"/>
                <w:szCs w:val="21"/>
                <w:highlight w:val="none"/>
              </w:rPr>
              <w:t>险</w:t>
            </w:r>
            <w:r>
              <w:rPr>
                <w:b/>
                <w:color w:val="auto"/>
                <w:spacing w:val="8"/>
                <w:kern w:val="0"/>
                <w:szCs w:val="21"/>
                <w:highlight w:val="none"/>
              </w:rPr>
              <w:t>潜势</w:t>
            </w:r>
          </w:p>
        </w:tc>
        <w:tc>
          <w:tcPr>
            <w:tcW w:w="1470" w:type="dxa"/>
            <w:vAlign w:val="center"/>
          </w:tcPr>
          <w:p>
            <w:pPr>
              <w:autoSpaceDE w:val="0"/>
              <w:autoSpaceDN w:val="0"/>
              <w:jc w:val="center"/>
              <w:rPr>
                <w:b/>
                <w:color w:val="auto"/>
                <w:kern w:val="0"/>
                <w:szCs w:val="21"/>
                <w:highlight w:val="none"/>
              </w:rPr>
            </w:pPr>
            <w:r>
              <w:rPr>
                <w:b/>
                <w:color w:val="auto"/>
                <w:spacing w:val="7"/>
                <w:kern w:val="0"/>
                <w:szCs w:val="21"/>
                <w:highlight w:val="none"/>
              </w:rPr>
              <w:t>Ⅳ</w:t>
            </w:r>
            <w:r>
              <w:rPr>
                <w:b/>
                <w:color w:val="auto"/>
                <w:spacing w:val="8"/>
                <w:kern w:val="0"/>
                <w:szCs w:val="21"/>
                <w:highlight w:val="none"/>
              </w:rPr>
              <w:t>、Ⅳ</w:t>
            </w:r>
            <w:r>
              <w:rPr>
                <w:b/>
                <w:color w:val="auto"/>
                <w:kern w:val="0"/>
                <w:position w:val="8"/>
                <w:szCs w:val="21"/>
                <w:highlight w:val="none"/>
              </w:rPr>
              <w:t>+</w:t>
            </w:r>
          </w:p>
        </w:tc>
        <w:tc>
          <w:tcPr>
            <w:tcW w:w="1690" w:type="dxa"/>
            <w:vAlign w:val="center"/>
          </w:tcPr>
          <w:p>
            <w:pPr>
              <w:autoSpaceDE w:val="0"/>
              <w:autoSpaceDN w:val="0"/>
              <w:jc w:val="center"/>
              <w:rPr>
                <w:b/>
                <w:color w:val="auto"/>
                <w:kern w:val="0"/>
                <w:szCs w:val="21"/>
                <w:highlight w:val="none"/>
              </w:rPr>
            </w:pPr>
            <w:r>
              <w:rPr>
                <w:b/>
                <w:color w:val="auto"/>
                <w:kern w:val="0"/>
                <w:szCs w:val="21"/>
                <w:highlight w:val="none"/>
              </w:rPr>
              <w:t>Ⅲ</w:t>
            </w:r>
          </w:p>
        </w:tc>
        <w:tc>
          <w:tcPr>
            <w:tcW w:w="1690" w:type="dxa"/>
            <w:vAlign w:val="center"/>
          </w:tcPr>
          <w:p>
            <w:pPr>
              <w:autoSpaceDE w:val="0"/>
              <w:autoSpaceDN w:val="0"/>
              <w:jc w:val="center"/>
              <w:rPr>
                <w:b/>
                <w:color w:val="auto"/>
                <w:kern w:val="0"/>
                <w:szCs w:val="21"/>
                <w:highlight w:val="none"/>
              </w:rPr>
            </w:pPr>
            <w:r>
              <w:rPr>
                <w:b/>
                <w:color w:val="auto"/>
                <w:kern w:val="0"/>
                <w:szCs w:val="21"/>
                <w:highlight w:val="none"/>
              </w:rPr>
              <w:t>Ⅱ</w:t>
            </w:r>
          </w:p>
        </w:tc>
        <w:tc>
          <w:tcPr>
            <w:tcW w:w="1908" w:type="dxa"/>
            <w:shd w:val="solid" w:color="E7E6E6" w:themeColor="background2" w:fill="auto"/>
            <w:vAlign w:val="center"/>
          </w:tcPr>
          <w:p>
            <w:pPr>
              <w:autoSpaceDE w:val="0"/>
              <w:autoSpaceDN w:val="0"/>
              <w:jc w:val="center"/>
              <w:rPr>
                <w:b/>
                <w:color w:val="auto"/>
                <w:kern w:val="0"/>
                <w:szCs w:val="21"/>
                <w:highlight w:val="none"/>
              </w:rPr>
            </w:pPr>
            <w:r>
              <w:rPr>
                <w:b/>
                <w:color w:val="auto"/>
                <w:kern w:val="0"/>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8" w:type="dxa"/>
            <w:vAlign w:val="center"/>
          </w:tcPr>
          <w:p>
            <w:pPr>
              <w:autoSpaceDE w:val="0"/>
              <w:autoSpaceDN w:val="0"/>
              <w:jc w:val="center"/>
              <w:rPr>
                <w:color w:val="auto"/>
                <w:kern w:val="0"/>
                <w:szCs w:val="21"/>
                <w:highlight w:val="none"/>
              </w:rPr>
            </w:pPr>
            <w:r>
              <w:rPr>
                <w:color w:val="auto"/>
                <w:spacing w:val="7"/>
                <w:kern w:val="0"/>
                <w:szCs w:val="21"/>
                <w:highlight w:val="none"/>
              </w:rPr>
              <w:t>评</w:t>
            </w:r>
            <w:r>
              <w:rPr>
                <w:color w:val="auto"/>
                <w:spacing w:val="8"/>
                <w:kern w:val="0"/>
                <w:szCs w:val="21"/>
                <w:highlight w:val="none"/>
              </w:rPr>
              <w:t>价工</w:t>
            </w:r>
            <w:r>
              <w:rPr>
                <w:color w:val="auto"/>
                <w:spacing w:val="7"/>
                <w:kern w:val="0"/>
                <w:szCs w:val="21"/>
                <w:highlight w:val="none"/>
              </w:rPr>
              <w:t>作</w:t>
            </w:r>
            <w:r>
              <w:rPr>
                <w:color w:val="auto"/>
                <w:spacing w:val="8"/>
                <w:kern w:val="0"/>
                <w:szCs w:val="21"/>
                <w:highlight w:val="none"/>
              </w:rPr>
              <w:t>等级</w:t>
            </w:r>
          </w:p>
        </w:tc>
        <w:tc>
          <w:tcPr>
            <w:tcW w:w="1470" w:type="dxa"/>
            <w:vAlign w:val="center"/>
          </w:tcPr>
          <w:p>
            <w:pPr>
              <w:autoSpaceDE w:val="0"/>
              <w:autoSpaceDN w:val="0"/>
              <w:jc w:val="center"/>
              <w:rPr>
                <w:color w:val="auto"/>
                <w:kern w:val="0"/>
                <w:szCs w:val="21"/>
                <w:highlight w:val="none"/>
              </w:rPr>
            </w:pPr>
            <w:r>
              <w:rPr>
                <w:color w:val="auto"/>
                <w:kern w:val="0"/>
                <w:szCs w:val="21"/>
                <w:highlight w:val="none"/>
              </w:rPr>
              <w:t>一</w:t>
            </w:r>
          </w:p>
        </w:tc>
        <w:tc>
          <w:tcPr>
            <w:tcW w:w="1690" w:type="dxa"/>
            <w:vAlign w:val="center"/>
          </w:tcPr>
          <w:p>
            <w:pPr>
              <w:autoSpaceDE w:val="0"/>
              <w:autoSpaceDN w:val="0"/>
              <w:jc w:val="center"/>
              <w:rPr>
                <w:color w:val="auto"/>
                <w:kern w:val="0"/>
                <w:szCs w:val="21"/>
                <w:highlight w:val="none"/>
              </w:rPr>
            </w:pPr>
            <w:r>
              <w:rPr>
                <w:color w:val="auto"/>
                <w:kern w:val="0"/>
                <w:szCs w:val="21"/>
                <w:highlight w:val="none"/>
              </w:rPr>
              <w:t>二</w:t>
            </w:r>
          </w:p>
        </w:tc>
        <w:tc>
          <w:tcPr>
            <w:tcW w:w="1690" w:type="dxa"/>
            <w:vAlign w:val="center"/>
          </w:tcPr>
          <w:p>
            <w:pPr>
              <w:autoSpaceDE w:val="0"/>
              <w:autoSpaceDN w:val="0"/>
              <w:jc w:val="center"/>
              <w:rPr>
                <w:color w:val="auto"/>
                <w:kern w:val="0"/>
                <w:szCs w:val="21"/>
                <w:highlight w:val="none"/>
              </w:rPr>
            </w:pPr>
            <w:r>
              <w:rPr>
                <w:color w:val="auto"/>
                <w:kern w:val="0"/>
                <w:szCs w:val="21"/>
                <w:highlight w:val="none"/>
              </w:rPr>
              <w:t>三</w:t>
            </w:r>
          </w:p>
        </w:tc>
        <w:tc>
          <w:tcPr>
            <w:tcW w:w="1908" w:type="dxa"/>
            <w:shd w:val="solid" w:color="E7E6E6" w:themeColor="background2" w:fill="auto"/>
            <w:vAlign w:val="center"/>
          </w:tcPr>
          <w:p>
            <w:pPr>
              <w:autoSpaceDE w:val="0"/>
              <w:autoSpaceDN w:val="0"/>
              <w:jc w:val="center"/>
              <w:rPr>
                <w:color w:val="auto"/>
                <w:kern w:val="0"/>
                <w:szCs w:val="21"/>
                <w:highlight w:val="none"/>
              </w:rPr>
            </w:pPr>
            <w:r>
              <w:rPr>
                <w:color w:val="auto"/>
                <w:spacing w:val="7"/>
                <w:kern w:val="0"/>
                <w:szCs w:val="21"/>
                <w:highlight w:val="none"/>
              </w:rPr>
              <w:t>简</w:t>
            </w:r>
            <w:r>
              <w:rPr>
                <w:color w:val="auto"/>
                <w:spacing w:val="8"/>
                <w:kern w:val="0"/>
                <w:szCs w:val="21"/>
                <w:highlight w:val="none"/>
              </w:rPr>
              <w:t>单分</w:t>
            </w:r>
            <w:r>
              <w:rPr>
                <w:color w:val="auto"/>
                <w:kern w:val="0"/>
                <w:szCs w:val="21"/>
                <w:highlight w:val="none"/>
              </w:rPr>
              <w:t>析</w:t>
            </w:r>
            <w:r>
              <w:rPr>
                <w:color w:val="auto"/>
                <w:kern w:val="0"/>
                <w:position w:val="8"/>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trPr>
        <w:tc>
          <w:tcPr>
            <w:tcW w:w="8316" w:type="dxa"/>
            <w:gridSpan w:val="5"/>
            <w:vAlign w:val="center"/>
          </w:tcPr>
          <w:p>
            <w:pPr>
              <w:autoSpaceDE w:val="0"/>
              <w:autoSpaceDN w:val="0"/>
              <w:rPr>
                <w:color w:val="auto"/>
                <w:kern w:val="0"/>
                <w:szCs w:val="21"/>
                <w:highlight w:val="none"/>
              </w:rPr>
            </w:pPr>
            <w:r>
              <w:rPr>
                <w:color w:val="auto"/>
                <w:kern w:val="0"/>
                <w:position w:val="8"/>
                <w:szCs w:val="21"/>
                <w:highlight w:val="none"/>
              </w:rPr>
              <w:t>a</w:t>
            </w:r>
            <w:r>
              <w:rPr>
                <w:color w:val="auto"/>
                <w:spacing w:val="1"/>
                <w:kern w:val="0"/>
                <w:szCs w:val="21"/>
                <w:highlight w:val="none"/>
              </w:rPr>
              <w:t>是</w:t>
            </w:r>
            <w:r>
              <w:rPr>
                <w:color w:val="auto"/>
                <w:spacing w:val="2"/>
                <w:kern w:val="0"/>
                <w:szCs w:val="21"/>
                <w:highlight w:val="none"/>
              </w:rPr>
              <w:t>相</w:t>
            </w:r>
            <w:r>
              <w:rPr>
                <w:color w:val="auto"/>
                <w:spacing w:val="1"/>
                <w:kern w:val="0"/>
                <w:szCs w:val="21"/>
                <w:highlight w:val="none"/>
              </w:rPr>
              <w:t>对于</w:t>
            </w:r>
            <w:r>
              <w:rPr>
                <w:color w:val="auto"/>
                <w:spacing w:val="2"/>
                <w:kern w:val="0"/>
                <w:szCs w:val="21"/>
                <w:highlight w:val="none"/>
              </w:rPr>
              <w:t>详</w:t>
            </w:r>
            <w:r>
              <w:rPr>
                <w:color w:val="auto"/>
                <w:spacing w:val="1"/>
                <w:kern w:val="0"/>
                <w:szCs w:val="21"/>
                <w:highlight w:val="none"/>
              </w:rPr>
              <w:t>细评价</w:t>
            </w:r>
            <w:r>
              <w:rPr>
                <w:color w:val="auto"/>
                <w:spacing w:val="2"/>
                <w:kern w:val="0"/>
                <w:szCs w:val="21"/>
                <w:highlight w:val="none"/>
              </w:rPr>
              <w:t>工</w:t>
            </w:r>
            <w:r>
              <w:rPr>
                <w:color w:val="auto"/>
                <w:spacing w:val="1"/>
                <w:kern w:val="0"/>
                <w:szCs w:val="21"/>
                <w:highlight w:val="none"/>
              </w:rPr>
              <w:t>作</w:t>
            </w:r>
            <w:r>
              <w:rPr>
                <w:color w:val="auto"/>
                <w:spacing w:val="2"/>
                <w:kern w:val="0"/>
                <w:szCs w:val="21"/>
                <w:highlight w:val="none"/>
              </w:rPr>
              <w:t>内</w:t>
            </w:r>
            <w:r>
              <w:rPr>
                <w:color w:val="auto"/>
                <w:spacing w:val="1"/>
                <w:kern w:val="0"/>
                <w:szCs w:val="21"/>
                <w:highlight w:val="none"/>
              </w:rPr>
              <w:t>容而言</w:t>
            </w:r>
            <w:r>
              <w:rPr>
                <w:color w:val="auto"/>
                <w:spacing w:val="2"/>
                <w:kern w:val="0"/>
                <w:szCs w:val="21"/>
                <w:highlight w:val="none"/>
              </w:rPr>
              <w:t>，</w:t>
            </w:r>
            <w:r>
              <w:rPr>
                <w:color w:val="auto"/>
                <w:spacing w:val="1"/>
                <w:kern w:val="0"/>
                <w:szCs w:val="21"/>
                <w:highlight w:val="none"/>
              </w:rPr>
              <w:t>在</w:t>
            </w:r>
            <w:r>
              <w:rPr>
                <w:color w:val="auto"/>
                <w:spacing w:val="2"/>
                <w:kern w:val="0"/>
                <w:szCs w:val="21"/>
                <w:highlight w:val="none"/>
              </w:rPr>
              <w:t>描</w:t>
            </w:r>
            <w:r>
              <w:rPr>
                <w:color w:val="auto"/>
                <w:spacing w:val="1"/>
                <w:kern w:val="0"/>
                <w:szCs w:val="21"/>
                <w:highlight w:val="none"/>
              </w:rPr>
              <w:t>述危险</w:t>
            </w:r>
            <w:r>
              <w:rPr>
                <w:color w:val="auto"/>
                <w:spacing w:val="2"/>
                <w:kern w:val="0"/>
                <w:szCs w:val="21"/>
                <w:highlight w:val="none"/>
              </w:rPr>
              <w:t>物</w:t>
            </w:r>
            <w:r>
              <w:rPr>
                <w:color w:val="auto"/>
                <w:spacing w:val="1"/>
                <w:kern w:val="0"/>
                <w:szCs w:val="21"/>
                <w:highlight w:val="none"/>
              </w:rPr>
              <w:t>质</w:t>
            </w:r>
            <w:r>
              <w:rPr>
                <w:color w:val="auto"/>
                <w:spacing w:val="2"/>
                <w:kern w:val="0"/>
                <w:szCs w:val="21"/>
                <w:highlight w:val="none"/>
              </w:rPr>
              <w:t>、</w:t>
            </w:r>
            <w:r>
              <w:rPr>
                <w:color w:val="auto"/>
                <w:spacing w:val="1"/>
                <w:kern w:val="0"/>
                <w:szCs w:val="21"/>
                <w:highlight w:val="none"/>
              </w:rPr>
              <w:t>环境影</w:t>
            </w:r>
            <w:r>
              <w:rPr>
                <w:color w:val="auto"/>
                <w:spacing w:val="2"/>
                <w:kern w:val="0"/>
                <w:szCs w:val="21"/>
                <w:highlight w:val="none"/>
              </w:rPr>
              <w:t>响</w:t>
            </w:r>
            <w:r>
              <w:rPr>
                <w:color w:val="auto"/>
                <w:spacing w:val="1"/>
                <w:kern w:val="0"/>
                <w:szCs w:val="21"/>
                <w:highlight w:val="none"/>
              </w:rPr>
              <w:t>途</w:t>
            </w:r>
            <w:r>
              <w:rPr>
                <w:color w:val="auto"/>
                <w:spacing w:val="2"/>
                <w:kern w:val="0"/>
                <w:szCs w:val="21"/>
                <w:highlight w:val="none"/>
              </w:rPr>
              <w:t>径</w:t>
            </w:r>
            <w:r>
              <w:rPr>
                <w:color w:val="auto"/>
                <w:spacing w:val="1"/>
                <w:kern w:val="0"/>
                <w:szCs w:val="21"/>
                <w:highlight w:val="none"/>
              </w:rPr>
              <w:t>、环境</w:t>
            </w:r>
            <w:r>
              <w:rPr>
                <w:color w:val="auto"/>
                <w:spacing w:val="2"/>
                <w:kern w:val="0"/>
                <w:szCs w:val="21"/>
                <w:highlight w:val="none"/>
              </w:rPr>
              <w:t>危</w:t>
            </w:r>
            <w:r>
              <w:rPr>
                <w:color w:val="auto"/>
                <w:spacing w:val="1"/>
                <w:kern w:val="0"/>
                <w:szCs w:val="21"/>
                <w:highlight w:val="none"/>
              </w:rPr>
              <w:t>害</w:t>
            </w:r>
            <w:r>
              <w:rPr>
                <w:color w:val="auto"/>
                <w:spacing w:val="2"/>
                <w:kern w:val="0"/>
                <w:szCs w:val="21"/>
                <w:highlight w:val="none"/>
              </w:rPr>
              <w:t>后</w:t>
            </w:r>
            <w:r>
              <w:rPr>
                <w:color w:val="auto"/>
                <w:spacing w:val="1"/>
                <w:kern w:val="0"/>
                <w:szCs w:val="21"/>
                <w:highlight w:val="none"/>
              </w:rPr>
              <w:t>果、风</w:t>
            </w:r>
            <w:r>
              <w:rPr>
                <w:color w:val="auto"/>
                <w:spacing w:val="2"/>
                <w:kern w:val="0"/>
                <w:szCs w:val="21"/>
                <w:highlight w:val="none"/>
              </w:rPr>
              <w:t>险</w:t>
            </w:r>
            <w:r>
              <w:rPr>
                <w:color w:val="auto"/>
                <w:spacing w:val="1"/>
                <w:kern w:val="0"/>
                <w:szCs w:val="21"/>
                <w:highlight w:val="none"/>
              </w:rPr>
              <w:t>防</w:t>
            </w:r>
            <w:r>
              <w:rPr>
                <w:color w:val="auto"/>
                <w:spacing w:val="2"/>
                <w:kern w:val="0"/>
                <w:szCs w:val="21"/>
                <w:highlight w:val="none"/>
              </w:rPr>
              <w:t>范</w:t>
            </w:r>
            <w:r>
              <w:rPr>
                <w:color w:val="auto"/>
                <w:spacing w:val="1"/>
                <w:kern w:val="0"/>
                <w:szCs w:val="21"/>
                <w:highlight w:val="none"/>
              </w:rPr>
              <w:t>措施等</w:t>
            </w:r>
            <w:r>
              <w:rPr>
                <w:color w:val="auto"/>
                <w:spacing w:val="2"/>
                <w:kern w:val="0"/>
                <w:szCs w:val="21"/>
                <w:highlight w:val="none"/>
              </w:rPr>
              <w:t>方</w:t>
            </w:r>
            <w:r>
              <w:rPr>
                <w:color w:val="auto"/>
                <w:spacing w:val="1"/>
                <w:kern w:val="0"/>
                <w:szCs w:val="21"/>
                <w:highlight w:val="none"/>
              </w:rPr>
              <w:t>面给</w:t>
            </w:r>
            <w:r>
              <w:rPr>
                <w:color w:val="auto"/>
                <w:kern w:val="0"/>
                <w:szCs w:val="21"/>
                <w:highlight w:val="none"/>
              </w:rPr>
              <w:t>出定性的说明。</w:t>
            </w:r>
          </w:p>
        </w:tc>
      </w:tr>
    </w:tbl>
    <w:p>
      <w:pPr>
        <w:spacing w:line="360" w:lineRule="auto"/>
        <w:ind w:firstLine="480" w:firstLineChars="200"/>
        <w:rPr>
          <w:color w:val="auto"/>
          <w:sz w:val="24"/>
          <w:highlight w:val="none"/>
        </w:rPr>
      </w:pPr>
      <w:r>
        <w:rPr>
          <w:color w:val="auto"/>
          <w:sz w:val="24"/>
          <w:highlight w:val="none"/>
        </w:rPr>
        <w:t>综上所述，各环境要素评价等级及评价范围见表1.5-</w:t>
      </w:r>
      <w:r>
        <w:rPr>
          <w:rFonts w:hint="eastAsia"/>
          <w:color w:val="auto"/>
          <w:sz w:val="24"/>
          <w:highlight w:val="none"/>
          <w:lang w:val="en-US" w:eastAsia="zh-CN"/>
        </w:rPr>
        <w:t>7</w:t>
      </w:r>
      <w:r>
        <w:rPr>
          <w:color w:val="auto"/>
          <w:sz w:val="24"/>
          <w:highlight w:val="none"/>
        </w:rPr>
        <w:t>。</w:t>
      </w:r>
    </w:p>
    <w:p>
      <w:pPr>
        <w:spacing w:line="360" w:lineRule="auto"/>
        <w:jc w:val="center"/>
        <w:rPr>
          <w:b/>
          <w:bCs/>
          <w:color w:val="auto"/>
          <w:sz w:val="24"/>
          <w:highlight w:val="none"/>
        </w:rPr>
      </w:pPr>
      <w:r>
        <w:rPr>
          <w:b/>
          <w:bCs/>
          <w:color w:val="auto"/>
          <w:sz w:val="24"/>
          <w:highlight w:val="none"/>
        </w:rPr>
        <w:t>表1.5-</w:t>
      </w:r>
      <w:r>
        <w:rPr>
          <w:rFonts w:hint="eastAsia"/>
          <w:b/>
          <w:bCs/>
          <w:color w:val="auto"/>
          <w:sz w:val="24"/>
          <w:highlight w:val="none"/>
          <w:lang w:val="en-US" w:eastAsia="zh-CN"/>
        </w:rPr>
        <w:t>7</w:t>
      </w:r>
      <w:r>
        <w:rPr>
          <w:b/>
          <w:bCs/>
          <w:color w:val="auto"/>
          <w:sz w:val="24"/>
          <w:highlight w:val="none"/>
        </w:rPr>
        <w:t xml:space="preserve">  评价工作等级及评价范围</w:t>
      </w:r>
    </w:p>
    <w:tbl>
      <w:tblPr>
        <w:tblStyle w:val="55"/>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161"/>
        <w:gridCol w:w="6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b/>
                <w:color w:val="auto"/>
                <w:highlight w:val="none"/>
              </w:rPr>
            </w:pPr>
            <w:r>
              <w:rPr>
                <w:b/>
                <w:color w:val="auto"/>
                <w:highlight w:val="none"/>
              </w:rPr>
              <w:t>环境要素</w:t>
            </w:r>
          </w:p>
        </w:tc>
        <w:tc>
          <w:tcPr>
            <w:tcW w:w="1161" w:type="dxa"/>
            <w:vAlign w:val="center"/>
          </w:tcPr>
          <w:p>
            <w:pPr>
              <w:jc w:val="center"/>
              <w:rPr>
                <w:b/>
                <w:color w:val="auto"/>
                <w:highlight w:val="none"/>
              </w:rPr>
            </w:pPr>
            <w:r>
              <w:rPr>
                <w:b/>
                <w:color w:val="auto"/>
                <w:highlight w:val="none"/>
              </w:rPr>
              <w:t>工作等级</w:t>
            </w:r>
          </w:p>
        </w:tc>
        <w:tc>
          <w:tcPr>
            <w:tcW w:w="6028" w:type="dxa"/>
            <w:vAlign w:val="center"/>
          </w:tcPr>
          <w:p>
            <w:pPr>
              <w:jc w:val="center"/>
              <w:rPr>
                <w:b/>
                <w:color w:val="auto"/>
                <w:highlight w:val="none"/>
              </w:rPr>
            </w:pPr>
            <w:r>
              <w:rPr>
                <w:b/>
                <w:color w:val="auto"/>
                <w:highlight w:val="none"/>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color w:val="auto"/>
                <w:highlight w:val="none"/>
              </w:rPr>
            </w:pPr>
            <w:r>
              <w:rPr>
                <w:color w:val="auto"/>
                <w:highlight w:val="none"/>
              </w:rPr>
              <w:t>环境空气</w:t>
            </w:r>
          </w:p>
        </w:tc>
        <w:tc>
          <w:tcPr>
            <w:tcW w:w="1161" w:type="dxa"/>
            <w:vAlign w:val="center"/>
          </w:tcPr>
          <w:p>
            <w:pPr>
              <w:jc w:val="center"/>
              <w:rPr>
                <w:color w:val="auto"/>
                <w:highlight w:val="none"/>
              </w:rPr>
            </w:pPr>
            <w:r>
              <w:rPr>
                <w:color w:val="auto"/>
                <w:highlight w:val="none"/>
              </w:rPr>
              <w:t>二级</w:t>
            </w:r>
          </w:p>
        </w:tc>
        <w:tc>
          <w:tcPr>
            <w:tcW w:w="6028" w:type="dxa"/>
            <w:vAlign w:val="center"/>
          </w:tcPr>
          <w:p>
            <w:pPr>
              <w:rPr>
                <w:color w:val="auto"/>
                <w:highlight w:val="none"/>
              </w:rPr>
            </w:pPr>
            <w:r>
              <w:rPr>
                <w:color w:val="auto"/>
                <w:highlight w:val="none"/>
              </w:rPr>
              <w:t>以厂址为中心区域，自</w:t>
            </w:r>
            <w:r>
              <w:rPr>
                <w:rFonts w:hint="eastAsia"/>
                <w:color w:val="auto"/>
                <w:highlight w:val="none"/>
                <w:lang w:val="en-US" w:eastAsia="zh-CN"/>
              </w:rPr>
              <w:t>四周</w:t>
            </w:r>
            <w:r>
              <w:rPr>
                <w:color w:val="auto"/>
                <w:highlight w:val="none"/>
              </w:rPr>
              <w:t>厂界</w:t>
            </w:r>
            <w:r>
              <w:rPr>
                <w:rFonts w:hint="eastAsia"/>
                <w:color w:val="auto"/>
                <w:highlight w:val="none"/>
                <w:lang w:val="en-US" w:eastAsia="zh-CN"/>
              </w:rPr>
              <w:t>各</w:t>
            </w:r>
            <w:r>
              <w:rPr>
                <w:color w:val="auto"/>
                <w:highlight w:val="none"/>
              </w:rPr>
              <w:t>外延</w:t>
            </w:r>
            <w:r>
              <w:rPr>
                <w:rFonts w:hint="eastAsia"/>
                <w:color w:val="auto"/>
                <w:highlight w:val="none"/>
                <w:lang w:val="en-US" w:eastAsia="zh-CN"/>
              </w:rPr>
              <w:t>2.5km</w:t>
            </w:r>
            <w:r>
              <w:rPr>
                <w:color w:val="auto"/>
                <w:highlight w:val="none"/>
              </w:rPr>
              <w:t>，边长为5.0km的矩形区域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color w:val="auto"/>
                <w:highlight w:val="none"/>
              </w:rPr>
            </w:pPr>
            <w:r>
              <w:rPr>
                <w:color w:val="auto"/>
                <w:highlight w:val="none"/>
              </w:rPr>
              <w:t>地表水</w:t>
            </w:r>
          </w:p>
        </w:tc>
        <w:tc>
          <w:tcPr>
            <w:tcW w:w="1161" w:type="dxa"/>
            <w:vAlign w:val="center"/>
          </w:tcPr>
          <w:p>
            <w:pPr>
              <w:jc w:val="center"/>
              <w:rPr>
                <w:color w:val="auto"/>
                <w:highlight w:val="none"/>
              </w:rPr>
            </w:pPr>
            <w:r>
              <w:rPr>
                <w:color w:val="auto"/>
                <w:highlight w:val="none"/>
              </w:rPr>
              <w:t>三级B</w:t>
            </w:r>
          </w:p>
        </w:tc>
        <w:tc>
          <w:tcPr>
            <w:tcW w:w="6028" w:type="dxa"/>
            <w:vAlign w:val="center"/>
          </w:tcPr>
          <w:p>
            <w:pPr>
              <w:rPr>
                <w:color w:val="auto"/>
                <w:highlight w:val="none"/>
              </w:rPr>
            </w:pPr>
            <w:r>
              <w:rPr>
                <w:color w:val="auto"/>
                <w:highlight w:val="none"/>
              </w:rPr>
              <w:t>简要说明用排水量、水质状况，重点分析处理设施、资源化利用途径的可行性和可靠性，不设置地表水评价范围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rFonts w:hint="eastAsia" w:eastAsia="宋体"/>
                <w:color w:val="auto"/>
                <w:highlight w:val="none"/>
                <w:lang w:val="en-US" w:eastAsia="zh-CN"/>
              </w:rPr>
            </w:pPr>
            <w:r>
              <w:rPr>
                <w:rFonts w:hint="eastAsia"/>
                <w:color w:val="auto"/>
                <w:highlight w:val="none"/>
                <w:lang w:val="en-US" w:eastAsia="zh-CN"/>
              </w:rPr>
              <w:t>地下水</w:t>
            </w:r>
          </w:p>
        </w:tc>
        <w:tc>
          <w:tcPr>
            <w:tcW w:w="1161" w:type="dxa"/>
            <w:vAlign w:val="center"/>
          </w:tcPr>
          <w:p>
            <w:pPr>
              <w:jc w:val="center"/>
              <w:rPr>
                <w:rFonts w:hint="default"/>
                <w:color w:val="auto"/>
                <w:highlight w:val="none"/>
                <w:lang w:val="en-US" w:eastAsia="zh-CN"/>
              </w:rPr>
            </w:pPr>
            <w:r>
              <w:rPr>
                <w:rFonts w:hint="eastAsia"/>
                <w:color w:val="auto"/>
                <w:highlight w:val="none"/>
                <w:lang w:val="en-US" w:eastAsia="zh-CN"/>
              </w:rPr>
              <w:t>不设等级</w:t>
            </w:r>
          </w:p>
        </w:tc>
        <w:tc>
          <w:tcPr>
            <w:tcW w:w="6028" w:type="dxa"/>
            <w:vAlign w:val="center"/>
          </w:tcPr>
          <w:p>
            <w:pPr>
              <w:rPr>
                <w:rFonts w:hint="default" w:eastAsia="宋体"/>
                <w:color w:val="auto"/>
                <w:highlight w:val="none"/>
                <w:lang w:val="en-US" w:eastAsia="zh-CN"/>
              </w:rPr>
            </w:pPr>
            <w:r>
              <w:rPr>
                <w:rFonts w:hint="eastAsia"/>
                <w:color w:val="auto"/>
                <w:highlight w:val="none"/>
                <w:lang w:val="en-US" w:eastAsia="zh-CN"/>
              </w:rPr>
              <w:t>不设评价范围，简单分析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color w:val="auto"/>
                <w:highlight w:val="none"/>
              </w:rPr>
            </w:pPr>
            <w:r>
              <w:rPr>
                <w:color w:val="auto"/>
                <w:highlight w:val="none"/>
              </w:rPr>
              <w:t>声环境</w:t>
            </w:r>
          </w:p>
        </w:tc>
        <w:tc>
          <w:tcPr>
            <w:tcW w:w="1161" w:type="dxa"/>
            <w:vAlign w:val="center"/>
          </w:tcPr>
          <w:p>
            <w:pPr>
              <w:jc w:val="center"/>
              <w:rPr>
                <w:color w:val="auto"/>
                <w:highlight w:val="none"/>
              </w:rPr>
            </w:pPr>
            <w:r>
              <w:rPr>
                <w:rFonts w:hint="eastAsia"/>
                <w:color w:val="auto"/>
                <w:highlight w:val="none"/>
                <w:lang w:val="en-US" w:eastAsia="zh-CN"/>
              </w:rPr>
              <w:t>二</w:t>
            </w:r>
            <w:r>
              <w:rPr>
                <w:color w:val="auto"/>
                <w:highlight w:val="none"/>
              </w:rPr>
              <w:t>级</w:t>
            </w:r>
          </w:p>
        </w:tc>
        <w:tc>
          <w:tcPr>
            <w:tcW w:w="6028" w:type="dxa"/>
            <w:vAlign w:val="center"/>
          </w:tcPr>
          <w:p>
            <w:pPr>
              <w:rPr>
                <w:color w:val="auto"/>
                <w:highlight w:val="none"/>
              </w:rPr>
            </w:pPr>
            <w:r>
              <w:rPr>
                <w:color w:val="auto"/>
                <w:highlight w:val="none"/>
              </w:rPr>
              <w:t>厂界外200m范围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color w:val="auto"/>
                <w:highlight w:val="none"/>
              </w:rPr>
            </w:pPr>
            <w:r>
              <w:rPr>
                <w:color w:val="auto"/>
                <w:highlight w:val="none"/>
              </w:rPr>
              <w:t>生态环境</w:t>
            </w:r>
          </w:p>
        </w:tc>
        <w:tc>
          <w:tcPr>
            <w:tcW w:w="1161" w:type="dxa"/>
            <w:vAlign w:val="center"/>
          </w:tcPr>
          <w:p>
            <w:pPr>
              <w:jc w:val="center"/>
              <w:rPr>
                <w:rFonts w:hint="eastAsia" w:eastAsia="宋体"/>
                <w:color w:val="auto"/>
                <w:highlight w:val="none"/>
                <w:lang w:eastAsia="zh-CN"/>
              </w:rPr>
            </w:pPr>
            <w:r>
              <w:rPr>
                <w:rFonts w:hint="eastAsia"/>
                <w:color w:val="auto"/>
                <w:highlight w:val="none"/>
                <w:lang w:val="en-US" w:eastAsia="zh-CN"/>
              </w:rPr>
              <w:t>三级</w:t>
            </w:r>
          </w:p>
        </w:tc>
        <w:tc>
          <w:tcPr>
            <w:tcW w:w="6028" w:type="dxa"/>
            <w:vAlign w:val="center"/>
          </w:tcPr>
          <w:p>
            <w:pPr>
              <w:rPr>
                <w:rFonts w:hint="default" w:eastAsia="宋体"/>
                <w:color w:val="auto"/>
                <w:highlight w:val="none"/>
                <w:lang w:val="en-US" w:eastAsia="zh-CN"/>
              </w:rPr>
            </w:pPr>
            <w:r>
              <w:rPr>
                <w:rFonts w:hint="eastAsia"/>
                <w:color w:val="auto"/>
                <w:highlight w:val="none"/>
                <w:lang w:val="en-US" w:eastAsia="zh-CN"/>
              </w:rPr>
              <w:t>项目占地及厂界外200m范围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color w:val="auto"/>
                <w:highlight w:val="none"/>
              </w:rPr>
            </w:pPr>
            <w:r>
              <w:rPr>
                <w:color w:val="auto"/>
                <w:highlight w:val="none"/>
              </w:rPr>
              <w:t>土壤环境</w:t>
            </w:r>
          </w:p>
        </w:tc>
        <w:tc>
          <w:tcPr>
            <w:tcW w:w="1161" w:type="dxa"/>
            <w:vAlign w:val="center"/>
          </w:tcPr>
          <w:p>
            <w:pPr>
              <w:jc w:val="center"/>
              <w:rPr>
                <w:color w:val="auto"/>
                <w:highlight w:val="none"/>
              </w:rPr>
            </w:pPr>
            <w:r>
              <w:rPr>
                <w:rFonts w:hint="eastAsia"/>
                <w:color w:val="auto"/>
                <w:highlight w:val="none"/>
                <w:lang w:val="en-US" w:eastAsia="zh-CN"/>
              </w:rPr>
              <w:t>不设等级</w:t>
            </w:r>
          </w:p>
        </w:tc>
        <w:tc>
          <w:tcPr>
            <w:tcW w:w="6028" w:type="dxa"/>
            <w:vAlign w:val="center"/>
          </w:tcPr>
          <w:p>
            <w:pPr>
              <w:rPr>
                <w:color w:val="auto"/>
                <w:highlight w:val="none"/>
              </w:rPr>
            </w:pPr>
            <w:r>
              <w:rPr>
                <w:rFonts w:hint="eastAsia"/>
                <w:color w:val="auto"/>
                <w:highlight w:val="none"/>
                <w:lang w:val="en-US" w:eastAsia="zh-CN"/>
              </w:rPr>
              <w:t>不设评价范围，简单分析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Align w:val="center"/>
          </w:tcPr>
          <w:p>
            <w:pPr>
              <w:jc w:val="center"/>
              <w:rPr>
                <w:color w:val="auto"/>
                <w:highlight w:val="none"/>
              </w:rPr>
            </w:pPr>
            <w:r>
              <w:rPr>
                <w:color w:val="auto"/>
                <w:highlight w:val="none"/>
              </w:rPr>
              <w:t>环境风险</w:t>
            </w:r>
          </w:p>
        </w:tc>
        <w:tc>
          <w:tcPr>
            <w:tcW w:w="1161" w:type="dxa"/>
            <w:vAlign w:val="center"/>
          </w:tcPr>
          <w:p>
            <w:pPr>
              <w:jc w:val="center"/>
              <w:rPr>
                <w:color w:val="auto"/>
                <w:highlight w:val="none"/>
              </w:rPr>
            </w:pPr>
            <w:r>
              <w:rPr>
                <w:color w:val="auto"/>
                <w:spacing w:val="7"/>
                <w:kern w:val="0"/>
                <w:szCs w:val="21"/>
                <w:highlight w:val="none"/>
              </w:rPr>
              <w:t>简</w:t>
            </w:r>
            <w:r>
              <w:rPr>
                <w:color w:val="auto"/>
                <w:spacing w:val="8"/>
                <w:kern w:val="0"/>
                <w:szCs w:val="21"/>
                <w:highlight w:val="none"/>
              </w:rPr>
              <w:t>单分</w:t>
            </w:r>
            <w:r>
              <w:rPr>
                <w:color w:val="auto"/>
                <w:kern w:val="0"/>
                <w:szCs w:val="21"/>
                <w:highlight w:val="none"/>
              </w:rPr>
              <w:t>析</w:t>
            </w:r>
          </w:p>
        </w:tc>
        <w:tc>
          <w:tcPr>
            <w:tcW w:w="6028" w:type="dxa"/>
            <w:vAlign w:val="center"/>
          </w:tcPr>
          <w:p>
            <w:pPr>
              <w:rPr>
                <w:color w:val="auto"/>
                <w:highlight w:val="none"/>
              </w:rPr>
            </w:pPr>
            <w:r>
              <w:rPr>
                <w:color w:val="auto"/>
                <w:highlight w:val="none"/>
              </w:rPr>
              <w:t>仅对危险物质、环境影响途径、环境危害后果、风险防范措施等方面给出定性的说明进行简单分析。</w:t>
            </w:r>
          </w:p>
        </w:tc>
      </w:tr>
      <w:bookmarkEnd w:id="269"/>
      <w:bookmarkEnd w:id="270"/>
      <w:bookmarkEnd w:id="271"/>
      <w:bookmarkEnd w:id="272"/>
    </w:tbl>
    <w:p>
      <w:pPr>
        <w:pStyle w:val="3"/>
        <w:spacing w:before="0" w:after="0" w:line="360" w:lineRule="auto"/>
        <w:ind w:left="0"/>
        <w:textAlignment w:val="baseline"/>
        <w:rPr>
          <w:rFonts w:ascii="Times New Roman" w:hAnsi="Times New Roman" w:eastAsia="宋体"/>
          <w:color w:val="auto"/>
          <w:sz w:val="28"/>
          <w:szCs w:val="20"/>
          <w:highlight w:val="none"/>
        </w:rPr>
      </w:pPr>
      <w:bookmarkStart w:id="276" w:name="_Toc499039701"/>
      <w:bookmarkStart w:id="277" w:name="_Toc28271"/>
      <w:bookmarkStart w:id="278" w:name="_Toc75908614"/>
      <w:bookmarkStart w:id="279" w:name="_Toc6229887"/>
      <w:r>
        <w:rPr>
          <w:rFonts w:ascii="Times New Roman" w:hAnsi="Times New Roman" w:eastAsia="宋体"/>
          <w:color w:val="auto"/>
          <w:sz w:val="28"/>
          <w:szCs w:val="20"/>
          <w:highlight w:val="none"/>
        </w:rPr>
        <w:t>1.6评价内容及评价重点</w:t>
      </w:r>
      <w:bookmarkEnd w:id="276"/>
      <w:bookmarkEnd w:id="277"/>
      <w:bookmarkEnd w:id="278"/>
      <w:bookmarkEnd w:id="279"/>
    </w:p>
    <w:p>
      <w:pPr>
        <w:keepNext/>
        <w:keepLines/>
        <w:spacing w:line="360" w:lineRule="auto"/>
        <w:outlineLvl w:val="2"/>
        <w:rPr>
          <w:b/>
          <w:bCs/>
          <w:color w:val="auto"/>
          <w:sz w:val="24"/>
          <w:highlight w:val="none"/>
        </w:rPr>
      </w:pPr>
      <w:bookmarkStart w:id="280" w:name="_Toc3372354"/>
      <w:bookmarkStart w:id="281" w:name="_Toc6229888"/>
      <w:bookmarkStart w:id="282" w:name="_Toc499039702"/>
      <w:bookmarkStart w:id="283" w:name="_Toc75908615"/>
      <w:bookmarkStart w:id="284" w:name="_Toc2168"/>
      <w:bookmarkStart w:id="285" w:name="_Toc3372907"/>
      <w:r>
        <w:rPr>
          <w:b/>
          <w:bCs/>
          <w:color w:val="auto"/>
          <w:sz w:val="24"/>
          <w:highlight w:val="none"/>
        </w:rPr>
        <w:t>1.6.1评价内容</w:t>
      </w:r>
      <w:bookmarkEnd w:id="280"/>
      <w:bookmarkEnd w:id="281"/>
      <w:bookmarkEnd w:id="282"/>
      <w:bookmarkEnd w:id="283"/>
      <w:bookmarkEnd w:id="284"/>
      <w:bookmarkEnd w:id="285"/>
    </w:p>
    <w:p>
      <w:pPr>
        <w:spacing w:line="360" w:lineRule="auto"/>
        <w:ind w:firstLine="435"/>
        <w:rPr>
          <w:color w:val="auto"/>
          <w:sz w:val="24"/>
          <w:highlight w:val="none"/>
        </w:rPr>
      </w:pPr>
      <w:r>
        <w:rPr>
          <w:color w:val="auto"/>
          <w:sz w:val="24"/>
          <w:highlight w:val="none"/>
        </w:rPr>
        <w:t>根据拟建工程特点和区域自然环境特征，确定环境影响评价内容为：建设项目概况、工程分析、环境现状调查与评价、环境影响预测与分析、环保措施可行性论证、环境影响经济损益、环境管理与监测计划等。</w:t>
      </w:r>
    </w:p>
    <w:p>
      <w:pPr>
        <w:keepNext/>
        <w:keepLines/>
        <w:spacing w:line="360" w:lineRule="auto"/>
        <w:outlineLvl w:val="2"/>
        <w:rPr>
          <w:b/>
          <w:bCs/>
          <w:color w:val="auto"/>
          <w:sz w:val="24"/>
          <w:highlight w:val="none"/>
        </w:rPr>
      </w:pPr>
      <w:bookmarkStart w:id="286" w:name="_Toc6229889"/>
      <w:bookmarkStart w:id="287" w:name="_Toc10658"/>
      <w:bookmarkStart w:id="288" w:name="_Toc3372355"/>
      <w:bookmarkStart w:id="289" w:name="_Toc3372908"/>
      <w:bookmarkStart w:id="290" w:name="_Toc499039703"/>
      <w:bookmarkStart w:id="291" w:name="_Toc75908616"/>
      <w:r>
        <w:rPr>
          <w:b/>
          <w:bCs/>
          <w:color w:val="auto"/>
          <w:sz w:val="24"/>
          <w:highlight w:val="none"/>
        </w:rPr>
        <w:t>1.6.2评价重点</w:t>
      </w:r>
      <w:bookmarkEnd w:id="286"/>
      <w:bookmarkEnd w:id="287"/>
      <w:bookmarkEnd w:id="288"/>
      <w:bookmarkEnd w:id="289"/>
      <w:bookmarkEnd w:id="290"/>
      <w:bookmarkEnd w:id="291"/>
    </w:p>
    <w:p>
      <w:pPr>
        <w:spacing w:line="360" w:lineRule="auto"/>
        <w:ind w:firstLine="435"/>
        <w:rPr>
          <w:color w:val="auto"/>
          <w:sz w:val="24"/>
          <w:highlight w:val="none"/>
        </w:rPr>
      </w:pPr>
      <w:r>
        <w:rPr>
          <w:color w:val="auto"/>
          <w:sz w:val="24"/>
          <w:highlight w:val="none"/>
        </w:rPr>
        <w:t>（1）工程分析</w:t>
      </w:r>
    </w:p>
    <w:p>
      <w:pPr>
        <w:spacing w:line="360" w:lineRule="auto"/>
        <w:ind w:firstLine="435"/>
        <w:rPr>
          <w:color w:val="auto"/>
          <w:sz w:val="24"/>
          <w:highlight w:val="none"/>
        </w:rPr>
      </w:pPr>
      <w:r>
        <w:rPr>
          <w:color w:val="auto"/>
          <w:sz w:val="24"/>
          <w:highlight w:val="none"/>
        </w:rPr>
        <w:t>通过类比调查、物料平衡和水平衡及相关监测资料，查明建设工程主要污染源及源强。</w:t>
      </w:r>
    </w:p>
    <w:p>
      <w:pPr>
        <w:spacing w:line="360" w:lineRule="auto"/>
        <w:ind w:firstLine="435"/>
        <w:rPr>
          <w:color w:val="auto"/>
          <w:sz w:val="24"/>
          <w:highlight w:val="none"/>
        </w:rPr>
      </w:pPr>
      <w:r>
        <w:rPr>
          <w:color w:val="auto"/>
          <w:sz w:val="24"/>
          <w:highlight w:val="none"/>
        </w:rPr>
        <w:t>（2）环境影响评价</w:t>
      </w:r>
    </w:p>
    <w:p>
      <w:pPr>
        <w:spacing w:line="360" w:lineRule="auto"/>
        <w:ind w:firstLine="480" w:firstLineChars="200"/>
        <w:rPr>
          <w:color w:val="auto"/>
          <w:sz w:val="24"/>
          <w:highlight w:val="none"/>
        </w:rPr>
      </w:pPr>
      <w:r>
        <w:rPr>
          <w:color w:val="auto"/>
          <w:sz w:val="24"/>
          <w:highlight w:val="none"/>
        </w:rPr>
        <w:t>在环境现状和预测评价的基础上，项目营运对环境空气、地表水环境、地下水环境、声环境、固废、环境风险等环境要素的影响分析。</w:t>
      </w:r>
    </w:p>
    <w:p>
      <w:pPr>
        <w:spacing w:line="360" w:lineRule="auto"/>
        <w:ind w:firstLine="435"/>
        <w:rPr>
          <w:color w:val="auto"/>
          <w:sz w:val="24"/>
          <w:highlight w:val="none"/>
        </w:rPr>
      </w:pPr>
      <w:r>
        <w:rPr>
          <w:color w:val="auto"/>
          <w:sz w:val="24"/>
          <w:highlight w:val="none"/>
        </w:rPr>
        <w:t>（3）环保措施可行性分析</w:t>
      </w:r>
    </w:p>
    <w:p>
      <w:pPr>
        <w:spacing w:line="360" w:lineRule="auto"/>
        <w:ind w:firstLine="480" w:firstLineChars="200"/>
        <w:rPr>
          <w:color w:val="auto"/>
          <w:sz w:val="24"/>
          <w:highlight w:val="none"/>
        </w:rPr>
      </w:pPr>
      <w:r>
        <w:rPr>
          <w:color w:val="auto"/>
          <w:sz w:val="24"/>
          <w:highlight w:val="none"/>
        </w:rPr>
        <w:t>重点评价项目营运期各污染防治措施的经济、技术可行性，提出改进途径和措施等。</w:t>
      </w:r>
    </w:p>
    <w:p>
      <w:pPr>
        <w:spacing w:line="360" w:lineRule="auto"/>
        <w:ind w:firstLine="435"/>
        <w:rPr>
          <w:color w:val="auto"/>
          <w:sz w:val="24"/>
          <w:highlight w:val="none"/>
        </w:rPr>
      </w:pPr>
      <w:r>
        <w:rPr>
          <w:color w:val="auto"/>
          <w:sz w:val="24"/>
          <w:highlight w:val="none"/>
        </w:rPr>
        <w:t>（4）明确给出项目的环保可行性</w:t>
      </w:r>
    </w:p>
    <w:p>
      <w:pPr>
        <w:spacing w:line="360" w:lineRule="auto"/>
        <w:ind w:firstLine="435"/>
        <w:rPr>
          <w:color w:val="auto"/>
          <w:sz w:val="24"/>
          <w:highlight w:val="none"/>
        </w:rPr>
      </w:pPr>
      <w:r>
        <w:rPr>
          <w:color w:val="auto"/>
          <w:sz w:val="24"/>
          <w:highlight w:val="none"/>
        </w:rPr>
        <w:t>评价结论应明确给出项目的环保可行性结论。</w:t>
      </w:r>
    </w:p>
    <w:bookmarkEnd w:id="210"/>
    <w:bookmarkEnd w:id="211"/>
    <w:bookmarkEnd w:id="212"/>
    <w:bookmarkEnd w:id="213"/>
    <w:bookmarkEnd w:id="214"/>
    <w:bookmarkEnd w:id="215"/>
    <w:bookmarkEnd w:id="216"/>
    <w:bookmarkEnd w:id="217"/>
    <w:bookmarkEnd w:id="218"/>
    <w:bookmarkEnd w:id="219"/>
    <w:bookmarkEnd w:id="220"/>
    <w:bookmarkEnd w:id="221"/>
    <w:bookmarkEnd w:id="273"/>
    <w:bookmarkEnd w:id="274"/>
    <w:bookmarkEnd w:id="275"/>
    <w:p>
      <w:pPr>
        <w:pStyle w:val="3"/>
        <w:spacing w:before="0" w:after="0" w:line="360" w:lineRule="auto"/>
        <w:ind w:left="0"/>
        <w:rPr>
          <w:rFonts w:ascii="Times New Roman" w:hAnsi="Times New Roman" w:eastAsia="宋体"/>
          <w:color w:val="auto"/>
          <w:sz w:val="28"/>
          <w:highlight w:val="none"/>
        </w:rPr>
      </w:pPr>
      <w:bookmarkStart w:id="292" w:name="_Toc367282010"/>
      <w:bookmarkStart w:id="293" w:name="_Toc367281427"/>
      <w:bookmarkStart w:id="294" w:name="_Toc9539"/>
      <w:bookmarkStart w:id="295" w:name="_Toc75908617"/>
      <w:bookmarkStart w:id="296" w:name="_Toc341369392"/>
      <w:bookmarkStart w:id="297" w:name="_Toc71968561"/>
      <w:bookmarkStart w:id="298" w:name="_Toc533649613"/>
      <w:bookmarkStart w:id="299" w:name="_Toc58722723"/>
      <w:bookmarkStart w:id="300" w:name="_Toc28321931"/>
      <w:bookmarkStart w:id="301" w:name="_Toc34649555"/>
      <w:r>
        <w:rPr>
          <w:rFonts w:ascii="Times New Roman" w:hAnsi="Times New Roman" w:eastAsia="宋体"/>
          <w:color w:val="auto"/>
          <w:sz w:val="28"/>
          <w:highlight w:val="none"/>
        </w:rPr>
        <w:t>1.7污染控制目标</w:t>
      </w:r>
      <w:bookmarkEnd w:id="292"/>
      <w:bookmarkEnd w:id="293"/>
      <w:bookmarkEnd w:id="294"/>
      <w:bookmarkEnd w:id="295"/>
      <w:bookmarkEnd w:id="296"/>
    </w:p>
    <w:p>
      <w:pPr>
        <w:spacing w:line="360" w:lineRule="auto"/>
        <w:ind w:firstLine="480" w:firstLineChars="200"/>
        <w:rPr>
          <w:color w:val="auto"/>
          <w:sz w:val="24"/>
          <w:highlight w:val="none"/>
        </w:rPr>
      </w:pPr>
      <w:r>
        <w:rPr>
          <w:color w:val="auto"/>
          <w:sz w:val="24"/>
          <w:highlight w:val="none"/>
        </w:rPr>
        <w:t>本项目施工期、营运期具体污染控制内容与目标分别见表</w:t>
      </w:r>
      <w:r>
        <w:rPr>
          <w:rFonts w:hint="eastAsia"/>
          <w:color w:val="auto"/>
          <w:sz w:val="24"/>
          <w:highlight w:val="none"/>
        </w:rPr>
        <w:t>1</w:t>
      </w:r>
      <w:r>
        <w:rPr>
          <w:color w:val="auto"/>
          <w:sz w:val="24"/>
          <w:highlight w:val="none"/>
        </w:rPr>
        <w:t>.7-1、表</w:t>
      </w:r>
      <w:r>
        <w:rPr>
          <w:rFonts w:hint="eastAsia"/>
          <w:color w:val="auto"/>
          <w:sz w:val="24"/>
          <w:highlight w:val="none"/>
        </w:rPr>
        <w:t>1</w:t>
      </w:r>
      <w:r>
        <w:rPr>
          <w:color w:val="auto"/>
          <w:sz w:val="24"/>
          <w:highlight w:val="none"/>
        </w:rPr>
        <w:t>.7-2。</w:t>
      </w:r>
    </w:p>
    <w:p>
      <w:pPr>
        <w:spacing w:line="360" w:lineRule="auto"/>
        <w:jc w:val="center"/>
        <w:rPr>
          <w:b/>
          <w:bCs/>
          <w:color w:val="auto"/>
          <w:sz w:val="24"/>
          <w:highlight w:val="none"/>
        </w:rPr>
      </w:pPr>
      <w:r>
        <w:rPr>
          <w:b/>
          <w:bCs/>
          <w:color w:val="auto"/>
          <w:sz w:val="24"/>
          <w:highlight w:val="none"/>
        </w:rPr>
        <w:t>表1.7-1  施工期污染控制措施与目标</w:t>
      </w:r>
    </w:p>
    <w:tbl>
      <w:tblPr>
        <w:tblStyle w:val="55"/>
        <w:tblW w:w="8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065"/>
        <w:gridCol w:w="1292"/>
        <w:gridCol w:w="3183"/>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08" w:hRule="atLeast"/>
        </w:trPr>
        <w:tc>
          <w:tcPr>
            <w:tcW w:w="1065" w:type="dxa"/>
            <w:vAlign w:val="center"/>
          </w:tcPr>
          <w:p>
            <w:pPr>
              <w:jc w:val="center"/>
              <w:rPr>
                <w:b/>
                <w:color w:val="auto"/>
                <w:szCs w:val="21"/>
                <w:highlight w:val="none"/>
              </w:rPr>
            </w:pPr>
            <w:r>
              <w:rPr>
                <w:b/>
                <w:color w:val="auto"/>
                <w:szCs w:val="21"/>
                <w:highlight w:val="none"/>
              </w:rPr>
              <w:t>污染</w:t>
            </w:r>
            <w:r>
              <w:rPr>
                <w:b/>
                <w:color w:val="auto"/>
                <w:highlight w:val="none"/>
              </w:rPr>
              <w:t>类别</w:t>
            </w:r>
          </w:p>
        </w:tc>
        <w:tc>
          <w:tcPr>
            <w:tcW w:w="1292" w:type="dxa"/>
            <w:vAlign w:val="center"/>
          </w:tcPr>
          <w:p>
            <w:pPr>
              <w:jc w:val="center"/>
              <w:rPr>
                <w:b/>
                <w:color w:val="auto"/>
                <w:szCs w:val="21"/>
                <w:highlight w:val="none"/>
              </w:rPr>
            </w:pPr>
            <w:r>
              <w:rPr>
                <w:b/>
                <w:color w:val="auto"/>
                <w:szCs w:val="21"/>
                <w:highlight w:val="none"/>
              </w:rPr>
              <w:t>污染物类型</w:t>
            </w:r>
          </w:p>
        </w:tc>
        <w:tc>
          <w:tcPr>
            <w:tcW w:w="3183" w:type="dxa"/>
            <w:vAlign w:val="center"/>
          </w:tcPr>
          <w:p>
            <w:pPr>
              <w:ind w:firstLine="211" w:firstLineChars="100"/>
              <w:jc w:val="center"/>
              <w:rPr>
                <w:b/>
                <w:color w:val="auto"/>
                <w:szCs w:val="21"/>
                <w:highlight w:val="none"/>
              </w:rPr>
            </w:pPr>
            <w:r>
              <w:rPr>
                <w:b/>
                <w:color w:val="auto"/>
                <w:szCs w:val="21"/>
                <w:highlight w:val="none"/>
              </w:rPr>
              <w:t>控制措施</w:t>
            </w:r>
          </w:p>
        </w:tc>
        <w:tc>
          <w:tcPr>
            <w:tcW w:w="2803" w:type="dxa"/>
            <w:vAlign w:val="center"/>
          </w:tcPr>
          <w:p>
            <w:pPr>
              <w:jc w:val="center"/>
              <w:rPr>
                <w:b/>
                <w:color w:val="auto"/>
                <w:szCs w:val="21"/>
                <w:highlight w:val="none"/>
              </w:rPr>
            </w:pPr>
            <w:r>
              <w:rPr>
                <w:b/>
                <w:color w:val="auto"/>
                <w:szCs w:val="21"/>
                <w:highlight w:val="none"/>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42" w:hRule="atLeast"/>
        </w:trPr>
        <w:tc>
          <w:tcPr>
            <w:tcW w:w="1065" w:type="dxa"/>
            <w:vMerge w:val="restart"/>
            <w:vAlign w:val="center"/>
          </w:tcPr>
          <w:p>
            <w:pPr>
              <w:jc w:val="center"/>
              <w:rPr>
                <w:color w:val="auto"/>
                <w:szCs w:val="21"/>
                <w:highlight w:val="none"/>
              </w:rPr>
            </w:pPr>
            <w:r>
              <w:rPr>
                <w:color w:val="auto"/>
                <w:szCs w:val="21"/>
                <w:highlight w:val="none"/>
              </w:rPr>
              <w:t>施工废气</w:t>
            </w:r>
          </w:p>
        </w:tc>
        <w:tc>
          <w:tcPr>
            <w:tcW w:w="1292" w:type="dxa"/>
            <w:vAlign w:val="center"/>
          </w:tcPr>
          <w:p>
            <w:pPr>
              <w:jc w:val="center"/>
              <w:rPr>
                <w:color w:val="auto"/>
                <w:szCs w:val="21"/>
                <w:highlight w:val="none"/>
              </w:rPr>
            </w:pPr>
            <w:r>
              <w:rPr>
                <w:color w:val="auto"/>
                <w:szCs w:val="21"/>
                <w:highlight w:val="none"/>
              </w:rPr>
              <w:t>施工扬尘</w:t>
            </w:r>
          </w:p>
        </w:tc>
        <w:tc>
          <w:tcPr>
            <w:tcW w:w="3183" w:type="dxa"/>
            <w:vAlign w:val="center"/>
          </w:tcPr>
          <w:p>
            <w:pPr>
              <w:rPr>
                <w:color w:val="auto"/>
                <w:szCs w:val="21"/>
                <w:highlight w:val="none"/>
              </w:rPr>
            </w:pPr>
            <w:r>
              <w:rPr>
                <w:color w:val="auto"/>
                <w:highlight w:val="none"/>
                <w:lang w:val="zh-CN"/>
              </w:rPr>
              <w:t>施工机械的选型上考虑相应的环保型产品，</w:t>
            </w:r>
            <w:r>
              <w:rPr>
                <w:color w:val="auto"/>
                <w:highlight w:val="none"/>
              </w:rPr>
              <w:t>装修过程</w:t>
            </w:r>
            <w:r>
              <w:rPr>
                <w:color w:val="auto"/>
                <w:highlight w:val="none"/>
                <w:lang w:val="zh-CN"/>
              </w:rPr>
              <w:t>采用健康环保的建筑材料，</w:t>
            </w:r>
            <w:r>
              <w:rPr>
                <w:rFonts w:hint="eastAsia"/>
                <w:color w:val="auto"/>
                <w:highlight w:val="none"/>
              </w:rPr>
              <w:t>并</w:t>
            </w:r>
            <w:r>
              <w:rPr>
                <w:color w:val="auto"/>
                <w:highlight w:val="none"/>
                <w:lang w:val="zh-CN"/>
              </w:rPr>
              <w:t>加强通风。</w:t>
            </w:r>
          </w:p>
        </w:tc>
        <w:tc>
          <w:tcPr>
            <w:tcW w:w="2803" w:type="dxa"/>
            <w:vAlign w:val="center"/>
          </w:tcPr>
          <w:p>
            <w:pPr>
              <w:jc w:val="center"/>
              <w:rPr>
                <w:color w:val="auto"/>
                <w:szCs w:val="21"/>
                <w:highlight w:val="none"/>
              </w:rPr>
            </w:pPr>
            <w:r>
              <w:rPr>
                <w:color w:val="auto"/>
                <w:szCs w:val="21"/>
                <w:highlight w:val="none"/>
              </w:rPr>
              <w:t>《大气污染物综合排放标准》</w:t>
            </w:r>
          </w:p>
          <w:p>
            <w:pPr>
              <w:jc w:val="center"/>
              <w:rPr>
                <w:color w:val="auto"/>
                <w:szCs w:val="21"/>
                <w:highlight w:val="none"/>
              </w:rPr>
            </w:pPr>
            <w:r>
              <w:rPr>
                <w:color w:val="auto"/>
                <w:szCs w:val="21"/>
                <w:highlight w:val="none"/>
              </w:rPr>
              <w:t>（GB 16297-1996）</w:t>
            </w:r>
          </w:p>
          <w:p>
            <w:pPr>
              <w:jc w:val="center"/>
              <w:rPr>
                <w:color w:val="auto"/>
                <w:szCs w:val="21"/>
                <w:highlight w:val="none"/>
              </w:rPr>
            </w:pPr>
            <w:r>
              <w:rPr>
                <w:color w:val="auto"/>
                <w:szCs w:val="21"/>
                <w:highlight w:val="none"/>
              </w:rPr>
              <w:t>无组织排放浓度监控限值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42" w:hRule="atLeast"/>
        </w:trPr>
        <w:tc>
          <w:tcPr>
            <w:tcW w:w="1065" w:type="dxa"/>
            <w:vMerge w:val="continue"/>
            <w:vAlign w:val="center"/>
          </w:tcPr>
          <w:p>
            <w:pPr>
              <w:jc w:val="center"/>
              <w:rPr>
                <w:color w:val="auto"/>
                <w:szCs w:val="21"/>
                <w:highlight w:val="none"/>
              </w:rPr>
            </w:pPr>
          </w:p>
        </w:tc>
        <w:tc>
          <w:tcPr>
            <w:tcW w:w="1292" w:type="dxa"/>
            <w:vAlign w:val="center"/>
          </w:tcPr>
          <w:p>
            <w:pPr>
              <w:jc w:val="center"/>
              <w:rPr>
                <w:color w:val="auto"/>
                <w:szCs w:val="21"/>
                <w:highlight w:val="none"/>
              </w:rPr>
            </w:pPr>
            <w:r>
              <w:rPr>
                <w:color w:val="auto"/>
                <w:szCs w:val="21"/>
                <w:highlight w:val="none"/>
              </w:rPr>
              <w:t>施工机械及</w:t>
            </w:r>
          </w:p>
          <w:p>
            <w:pPr>
              <w:jc w:val="center"/>
              <w:rPr>
                <w:color w:val="auto"/>
                <w:szCs w:val="21"/>
                <w:highlight w:val="none"/>
              </w:rPr>
            </w:pPr>
            <w:r>
              <w:rPr>
                <w:color w:val="auto"/>
                <w:szCs w:val="21"/>
                <w:highlight w:val="none"/>
              </w:rPr>
              <w:t>运输车辆尾气</w:t>
            </w:r>
          </w:p>
        </w:tc>
        <w:tc>
          <w:tcPr>
            <w:tcW w:w="3183" w:type="dxa"/>
            <w:vAlign w:val="center"/>
          </w:tcPr>
          <w:p>
            <w:pPr>
              <w:rPr>
                <w:color w:val="auto"/>
                <w:szCs w:val="21"/>
                <w:highlight w:val="none"/>
              </w:rPr>
            </w:pPr>
            <w:r>
              <w:rPr>
                <w:color w:val="auto"/>
                <w:szCs w:val="21"/>
                <w:highlight w:val="none"/>
              </w:rPr>
              <w:t>加强施工机械、车辆等运行管理与维护保养，采用高质量柴油</w:t>
            </w:r>
          </w:p>
        </w:tc>
        <w:tc>
          <w:tcPr>
            <w:tcW w:w="2803" w:type="dxa"/>
            <w:vAlign w:val="center"/>
          </w:tcPr>
          <w:p>
            <w:pPr>
              <w:jc w:val="center"/>
              <w:rPr>
                <w:color w:val="auto"/>
                <w:szCs w:val="21"/>
                <w:highlight w:val="none"/>
              </w:rPr>
            </w:pPr>
            <w:r>
              <w:rPr>
                <w:color w:val="auto"/>
                <w:szCs w:val="21"/>
                <w:highlight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42" w:hRule="atLeast"/>
        </w:trPr>
        <w:tc>
          <w:tcPr>
            <w:tcW w:w="1065" w:type="dxa"/>
            <w:vAlign w:val="center"/>
          </w:tcPr>
          <w:p>
            <w:pPr>
              <w:jc w:val="center"/>
              <w:rPr>
                <w:color w:val="auto"/>
                <w:szCs w:val="21"/>
                <w:highlight w:val="none"/>
              </w:rPr>
            </w:pPr>
            <w:r>
              <w:rPr>
                <w:color w:val="auto"/>
                <w:szCs w:val="21"/>
                <w:highlight w:val="none"/>
              </w:rPr>
              <w:t>施工废水</w:t>
            </w:r>
          </w:p>
        </w:tc>
        <w:tc>
          <w:tcPr>
            <w:tcW w:w="1292" w:type="dxa"/>
            <w:vAlign w:val="center"/>
          </w:tcPr>
          <w:p>
            <w:pPr>
              <w:jc w:val="center"/>
              <w:rPr>
                <w:color w:val="auto"/>
                <w:szCs w:val="21"/>
                <w:highlight w:val="none"/>
              </w:rPr>
            </w:pPr>
            <w:r>
              <w:rPr>
                <w:color w:val="auto"/>
                <w:szCs w:val="21"/>
                <w:highlight w:val="none"/>
              </w:rPr>
              <w:t>施工废水、</w:t>
            </w:r>
          </w:p>
          <w:p>
            <w:pPr>
              <w:jc w:val="center"/>
              <w:rPr>
                <w:color w:val="auto"/>
                <w:szCs w:val="21"/>
                <w:highlight w:val="none"/>
              </w:rPr>
            </w:pPr>
            <w:r>
              <w:rPr>
                <w:color w:val="auto"/>
                <w:szCs w:val="21"/>
                <w:highlight w:val="none"/>
              </w:rPr>
              <w:t>生活污水</w:t>
            </w:r>
          </w:p>
        </w:tc>
        <w:tc>
          <w:tcPr>
            <w:tcW w:w="3183" w:type="dxa"/>
            <w:vAlign w:val="center"/>
          </w:tcPr>
          <w:p>
            <w:pPr>
              <w:rPr>
                <w:rFonts w:hint="default" w:eastAsia="宋体"/>
                <w:color w:val="auto"/>
                <w:szCs w:val="21"/>
                <w:highlight w:val="none"/>
                <w:lang w:val="en-US" w:eastAsia="zh-CN"/>
              </w:rPr>
            </w:pPr>
            <w:r>
              <w:rPr>
                <w:color w:val="auto"/>
                <w:szCs w:val="21"/>
                <w:highlight w:val="none"/>
              </w:rPr>
              <w:t>施工废水设临时</w:t>
            </w:r>
            <w:r>
              <w:rPr>
                <w:rFonts w:hint="eastAsia"/>
                <w:color w:val="auto"/>
                <w:szCs w:val="21"/>
                <w:highlight w:val="none"/>
                <w:lang w:eastAsia="zh-CN"/>
              </w:rPr>
              <w:t>沉沙池</w:t>
            </w:r>
            <w:r>
              <w:rPr>
                <w:color w:val="auto"/>
                <w:szCs w:val="21"/>
                <w:highlight w:val="none"/>
              </w:rPr>
              <w:t>，处理后回用；少量盥洗生活污水</w:t>
            </w:r>
            <w:r>
              <w:rPr>
                <w:rFonts w:hint="eastAsia"/>
                <w:color w:val="auto"/>
                <w:szCs w:val="21"/>
                <w:highlight w:val="none"/>
                <w:lang w:val="en-US" w:eastAsia="zh-CN"/>
              </w:rPr>
              <w:t>进入已有化粪池处理</w:t>
            </w:r>
          </w:p>
        </w:tc>
        <w:tc>
          <w:tcPr>
            <w:tcW w:w="2803" w:type="dxa"/>
            <w:vAlign w:val="center"/>
          </w:tcPr>
          <w:p>
            <w:pPr>
              <w:jc w:val="center"/>
              <w:rPr>
                <w:color w:val="auto"/>
                <w:szCs w:val="21"/>
                <w:highlight w:val="none"/>
              </w:rPr>
            </w:pPr>
            <w:r>
              <w:rPr>
                <w:color w:val="auto"/>
                <w:szCs w:val="21"/>
                <w:highlight w:val="none"/>
              </w:rPr>
              <w:t>废水全部综合利用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42" w:hRule="atLeast"/>
        </w:trPr>
        <w:tc>
          <w:tcPr>
            <w:tcW w:w="1065" w:type="dxa"/>
            <w:vAlign w:val="center"/>
          </w:tcPr>
          <w:p>
            <w:pPr>
              <w:jc w:val="center"/>
              <w:rPr>
                <w:color w:val="auto"/>
                <w:szCs w:val="21"/>
                <w:highlight w:val="none"/>
              </w:rPr>
            </w:pPr>
            <w:r>
              <w:rPr>
                <w:color w:val="auto"/>
                <w:szCs w:val="21"/>
                <w:highlight w:val="none"/>
              </w:rPr>
              <w:t>施工噪声</w:t>
            </w:r>
          </w:p>
        </w:tc>
        <w:tc>
          <w:tcPr>
            <w:tcW w:w="1292" w:type="dxa"/>
            <w:vAlign w:val="center"/>
          </w:tcPr>
          <w:p>
            <w:pPr>
              <w:rPr>
                <w:color w:val="auto"/>
                <w:szCs w:val="21"/>
                <w:highlight w:val="none"/>
              </w:rPr>
            </w:pPr>
            <w:r>
              <w:rPr>
                <w:color w:val="auto"/>
                <w:szCs w:val="21"/>
                <w:highlight w:val="none"/>
              </w:rPr>
              <w:t>施工机械噪声、运输车辆噪声</w:t>
            </w:r>
          </w:p>
        </w:tc>
        <w:tc>
          <w:tcPr>
            <w:tcW w:w="3183" w:type="dxa"/>
            <w:vAlign w:val="center"/>
          </w:tcPr>
          <w:p>
            <w:pPr>
              <w:rPr>
                <w:color w:val="auto"/>
                <w:szCs w:val="21"/>
                <w:highlight w:val="none"/>
              </w:rPr>
            </w:pPr>
            <w:r>
              <w:rPr>
                <w:color w:val="auto"/>
                <w:szCs w:val="21"/>
                <w:highlight w:val="none"/>
              </w:rPr>
              <w:t>合理安排施工作业时间、选用低噪声机械设备等</w:t>
            </w:r>
          </w:p>
        </w:tc>
        <w:tc>
          <w:tcPr>
            <w:tcW w:w="2803" w:type="dxa"/>
            <w:vAlign w:val="center"/>
          </w:tcPr>
          <w:p>
            <w:pPr>
              <w:jc w:val="center"/>
              <w:rPr>
                <w:color w:val="auto"/>
                <w:szCs w:val="21"/>
                <w:highlight w:val="none"/>
              </w:rPr>
            </w:pPr>
            <w:r>
              <w:rPr>
                <w:color w:val="auto"/>
                <w:szCs w:val="21"/>
                <w:highlight w:val="none"/>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42" w:hRule="atLeast"/>
        </w:trPr>
        <w:tc>
          <w:tcPr>
            <w:tcW w:w="1065" w:type="dxa"/>
            <w:vAlign w:val="center"/>
          </w:tcPr>
          <w:p>
            <w:pPr>
              <w:jc w:val="center"/>
              <w:rPr>
                <w:color w:val="auto"/>
                <w:szCs w:val="21"/>
                <w:highlight w:val="none"/>
              </w:rPr>
            </w:pPr>
            <w:r>
              <w:rPr>
                <w:color w:val="auto"/>
                <w:highlight w:val="none"/>
              </w:rPr>
              <w:t>固体废物</w:t>
            </w:r>
          </w:p>
        </w:tc>
        <w:tc>
          <w:tcPr>
            <w:tcW w:w="1292" w:type="dxa"/>
            <w:vAlign w:val="center"/>
          </w:tcPr>
          <w:p>
            <w:pPr>
              <w:jc w:val="center"/>
              <w:rPr>
                <w:color w:val="auto"/>
                <w:highlight w:val="none"/>
              </w:rPr>
            </w:pPr>
            <w:r>
              <w:rPr>
                <w:color w:val="auto"/>
                <w:szCs w:val="21"/>
                <w:highlight w:val="none"/>
              </w:rPr>
              <w:t>建筑垃圾</w:t>
            </w:r>
            <w:r>
              <w:rPr>
                <w:color w:val="auto"/>
                <w:highlight w:val="none"/>
              </w:rPr>
              <w:t>和</w:t>
            </w:r>
          </w:p>
          <w:p>
            <w:pPr>
              <w:jc w:val="center"/>
              <w:rPr>
                <w:color w:val="auto"/>
                <w:szCs w:val="21"/>
                <w:highlight w:val="none"/>
              </w:rPr>
            </w:pPr>
            <w:r>
              <w:rPr>
                <w:color w:val="auto"/>
                <w:highlight w:val="none"/>
              </w:rPr>
              <w:t>生活垃圾</w:t>
            </w:r>
          </w:p>
        </w:tc>
        <w:tc>
          <w:tcPr>
            <w:tcW w:w="3183" w:type="dxa"/>
            <w:vAlign w:val="center"/>
          </w:tcPr>
          <w:p>
            <w:pPr>
              <w:rPr>
                <w:color w:val="auto"/>
                <w:szCs w:val="21"/>
                <w:highlight w:val="none"/>
              </w:rPr>
            </w:pPr>
            <w:r>
              <w:rPr>
                <w:color w:val="auto"/>
                <w:highlight w:val="none"/>
              </w:rPr>
              <w:t>对建筑垃圾进行充分回收利用，剩余部分运往当地指定建筑垃圾填埋场集中处置。生活垃圾统一收集后委托环卫部门清运处置</w:t>
            </w:r>
          </w:p>
        </w:tc>
        <w:tc>
          <w:tcPr>
            <w:tcW w:w="2803" w:type="dxa"/>
            <w:vAlign w:val="center"/>
          </w:tcPr>
          <w:p>
            <w:pPr>
              <w:jc w:val="center"/>
              <w:rPr>
                <w:color w:val="auto"/>
                <w:szCs w:val="21"/>
                <w:highlight w:val="none"/>
              </w:rPr>
            </w:pPr>
            <w:r>
              <w:rPr>
                <w:color w:val="auto"/>
                <w:szCs w:val="21"/>
                <w:highlight w:val="none"/>
              </w:rPr>
              <w:t>符合环保要求</w:t>
            </w:r>
          </w:p>
        </w:tc>
      </w:tr>
    </w:tbl>
    <w:p>
      <w:pPr>
        <w:spacing w:line="360" w:lineRule="auto"/>
        <w:jc w:val="center"/>
        <w:rPr>
          <w:b/>
          <w:color w:val="auto"/>
          <w:sz w:val="24"/>
          <w:highlight w:val="none"/>
          <w:lang w:val="en-GB"/>
        </w:rPr>
      </w:pPr>
      <w:r>
        <w:rPr>
          <w:b/>
          <w:color w:val="auto"/>
          <w:sz w:val="24"/>
          <w:highlight w:val="none"/>
          <w:lang w:val="en-GB"/>
        </w:rPr>
        <w:t>表</w:t>
      </w:r>
      <w:r>
        <w:rPr>
          <w:b/>
          <w:color w:val="auto"/>
          <w:sz w:val="24"/>
          <w:highlight w:val="none"/>
        </w:rPr>
        <w:t>1</w:t>
      </w:r>
      <w:r>
        <w:rPr>
          <w:b/>
          <w:color w:val="auto"/>
          <w:sz w:val="24"/>
          <w:highlight w:val="none"/>
          <w:lang w:val="en-GB"/>
        </w:rPr>
        <w:t>.7-2  运营期污染控制内容与目标</w:t>
      </w:r>
    </w:p>
    <w:tbl>
      <w:tblPr>
        <w:tblStyle w:val="55"/>
        <w:tblW w:w="8299"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13"/>
        <w:gridCol w:w="1313"/>
        <w:gridCol w:w="2534"/>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671" w:type="dxa"/>
            <w:vAlign w:val="center"/>
          </w:tcPr>
          <w:p>
            <w:pPr>
              <w:jc w:val="center"/>
              <w:rPr>
                <w:b/>
                <w:color w:val="auto"/>
                <w:szCs w:val="21"/>
                <w:highlight w:val="none"/>
              </w:rPr>
            </w:pPr>
            <w:r>
              <w:rPr>
                <w:b/>
                <w:color w:val="auto"/>
                <w:szCs w:val="21"/>
                <w:highlight w:val="none"/>
              </w:rPr>
              <w:t>污染</w:t>
            </w:r>
          </w:p>
          <w:p>
            <w:pPr>
              <w:jc w:val="center"/>
              <w:rPr>
                <w:b/>
                <w:color w:val="auto"/>
                <w:szCs w:val="21"/>
                <w:highlight w:val="none"/>
              </w:rPr>
            </w:pPr>
            <w:r>
              <w:rPr>
                <w:b/>
                <w:color w:val="auto"/>
                <w:szCs w:val="21"/>
                <w:highlight w:val="none"/>
              </w:rPr>
              <w:t>类型</w:t>
            </w:r>
          </w:p>
        </w:tc>
        <w:tc>
          <w:tcPr>
            <w:tcW w:w="1313" w:type="dxa"/>
            <w:vAlign w:val="center"/>
          </w:tcPr>
          <w:p>
            <w:pPr>
              <w:jc w:val="center"/>
              <w:rPr>
                <w:b/>
                <w:color w:val="auto"/>
                <w:szCs w:val="21"/>
                <w:highlight w:val="none"/>
              </w:rPr>
            </w:pPr>
            <w:r>
              <w:rPr>
                <w:b/>
                <w:color w:val="auto"/>
                <w:szCs w:val="21"/>
                <w:highlight w:val="none"/>
              </w:rPr>
              <w:t>主要</w:t>
            </w:r>
          </w:p>
          <w:p>
            <w:pPr>
              <w:jc w:val="center"/>
              <w:rPr>
                <w:b/>
                <w:color w:val="auto"/>
                <w:szCs w:val="21"/>
                <w:highlight w:val="none"/>
              </w:rPr>
            </w:pPr>
            <w:r>
              <w:rPr>
                <w:b/>
                <w:color w:val="auto"/>
                <w:szCs w:val="21"/>
                <w:highlight w:val="none"/>
              </w:rPr>
              <w:t>污染源</w:t>
            </w:r>
          </w:p>
        </w:tc>
        <w:tc>
          <w:tcPr>
            <w:tcW w:w="1313" w:type="dxa"/>
            <w:vAlign w:val="center"/>
          </w:tcPr>
          <w:p>
            <w:pPr>
              <w:jc w:val="center"/>
              <w:rPr>
                <w:b/>
                <w:color w:val="auto"/>
                <w:szCs w:val="21"/>
                <w:highlight w:val="none"/>
              </w:rPr>
            </w:pPr>
            <w:r>
              <w:rPr>
                <w:b/>
                <w:color w:val="auto"/>
                <w:szCs w:val="21"/>
                <w:highlight w:val="none"/>
              </w:rPr>
              <w:t>主要污染物</w:t>
            </w:r>
          </w:p>
        </w:tc>
        <w:tc>
          <w:tcPr>
            <w:tcW w:w="2534" w:type="dxa"/>
            <w:vAlign w:val="center"/>
          </w:tcPr>
          <w:p>
            <w:pPr>
              <w:jc w:val="center"/>
              <w:rPr>
                <w:b/>
                <w:color w:val="auto"/>
                <w:szCs w:val="21"/>
                <w:highlight w:val="none"/>
              </w:rPr>
            </w:pPr>
            <w:r>
              <w:rPr>
                <w:b/>
                <w:color w:val="auto"/>
                <w:szCs w:val="21"/>
                <w:highlight w:val="none"/>
              </w:rPr>
              <w:t>主要控制措施</w:t>
            </w:r>
          </w:p>
        </w:tc>
        <w:tc>
          <w:tcPr>
            <w:tcW w:w="2468" w:type="dxa"/>
            <w:vAlign w:val="center"/>
          </w:tcPr>
          <w:p>
            <w:pPr>
              <w:jc w:val="center"/>
              <w:rPr>
                <w:b/>
                <w:color w:val="auto"/>
                <w:szCs w:val="21"/>
                <w:highlight w:val="none"/>
              </w:rPr>
            </w:pPr>
            <w:r>
              <w:rPr>
                <w:b/>
                <w:color w:val="auto"/>
                <w:szCs w:val="21"/>
                <w:highlight w:val="none"/>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pPr>
              <w:tabs>
                <w:tab w:val="left" w:pos="8820"/>
              </w:tabs>
              <w:jc w:val="center"/>
              <w:textAlignment w:val="baseline"/>
              <w:rPr>
                <w:color w:val="auto"/>
                <w:kern w:val="0"/>
                <w:szCs w:val="20"/>
                <w:highlight w:val="none"/>
              </w:rPr>
            </w:pPr>
            <w:r>
              <w:rPr>
                <w:color w:val="auto"/>
                <w:kern w:val="0"/>
                <w:szCs w:val="20"/>
                <w:highlight w:val="none"/>
              </w:rPr>
              <w:t>废气</w:t>
            </w:r>
          </w:p>
        </w:tc>
        <w:tc>
          <w:tcPr>
            <w:tcW w:w="1313" w:type="dxa"/>
            <w:vAlign w:val="center"/>
          </w:tcPr>
          <w:p>
            <w:pPr>
              <w:jc w:val="center"/>
              <w:rPr>
                <w:color w:val="auto"/>
                <w:kern w:val="0"/>
                <w:szCs w:val="21"/>
                <w:highlight w:val="none"/>
              </w:rPr>
            </w:pPr>
            <w:r>
              <w:rPr>
                <w:rFonts w:hint="eastAsia"/>
                <w:color w:val="auto"/>
                <w:kern w:val="0"/>
                <w:szCs w:val="21"/>
                <w:highlight w:val="none"/>
                <w:lang w:val="en-US" w:eastAsia="zh-CN"/>
              </w:rPr>
              <w:t>注塑</w:t>
            </w:r>
            <w:r>
              <w:rPr>
                <w:color w:val="auto"/>
                <w:kern w:val="0"/>
                <w:szCs w:val="21"/>
                <w:highlight w:val="none"/>
              </w:rPr>
              <w:t>废气</w:t>
            </w:r>
          </w:p>
        </w:tc>
        <w:tc>
          <w:tcPr>
            <w:tcW w:w="1313" w:type="dxa"/>
            <w:vAlign w:val="center"/>
          </w:tcPr>
          <w:p>
            <w:pPr>
              <w:jc w:val="center"/>
              <w:rPr>
                <w:color w:val="auto"/>
                <w:szCs w:val="21"/>
                <w:highlight w:val="none"/>
              </w:rPr>
            </w:pPr>
            <w:r>
              <w:rPr>
                <w:color w:val="auto"/>
                <w:kern w:val="0"/>
                <w:szCs w:val="21"/>
                <w:highlight w:val="none"/>
              </w:rPr>
              <w:t>非甲烷总烃、臭气浓度</w:t>
            </w:r>
          </w:p>
        </w:tc>
        <w:tc>
          <w:tcPr>
            <w:tcW w:w="2534" w:type="dxa"/>
            <w:vAlign w:val="center"/>
          </w:tcPr>
          <w:p>
            <w:pPr>
              <w:rPr>
                <w:color w:val="auto"/>
                <w:szCs w:val="21"/>
                <w:highlight w:val="none"/>
              </w:rPr>
            </w:pPr>
            <w:r>
              <w:rPr>
                <w:color w:val="auto"/>
                <w:szCs w:val="21"/>
                <w:highlight w:val="none"/>
              </w:rPr>
              <w:t>在</w:t>
            </w:r>
            <w:r>
              <w:rPr>
                <w:rFonts w:hint="eastAsia"/>
                <w:color w:val="auto"/>
                <w:szCs w:val="21"/>
                <w:highlight w:val="none"/>
                <w:lang w:val="en-US" w:eastAsia="zh-CN"/>
              </w:rPr>
              <w:t>每台注塑机废气排放点设置集气罩，收集废气经“三级活性炭吸附装置”处理后，经15m高排气筒排放</w:t>
            </w:r>
          </w:p>
        </w:tc>
        <w:tc>
          <w:tcPr>
            <w:tcW w:w="2468" w:type="dxa"/>
            <w:vMerge w:val="restart"/>
            <w:vAlign w:val="center"/>
          </w:tcPr>
          <w:p>
            <w:pPr>
              <w:jc w:val="center"/>
              <w:rPr>
                <w:color w:val="auto"/>
                <w:highlight w:val="none"/>
              </w:rPr>
            </w:pPr>
            <w:r>
              <w:rPr>
                <w:color w:val="auto"/>
                <w:szCs w:val="21"/>
                <w:highlight w:val="none"/>
              </w:rPr>
              <w:t>非甲烷总烃、颗粒物执行《合成树脂工业污染物排放标准》（GB31572-2015）表4规定的大气污染物排放限值和表9规定的企业边界大气污染物浓度限值；臭气浓度执行《恶臭污染物排放标准》（GB14554-93）相关标准限值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tabs>
                <w:tab w:val="left" w:pos="8820"/>
              </w:tabs>
              <w:jc w:val="center"/>
              <w:textAlignment w:val="baseline"/>
              <w:rPr>
                <w:color w:val="auto"/>
                <w:kern w:val="0"/>
                <w:szCs w:val="20"/>
                <w:highlight w:val="none"/>
              </w:rPr>
            </w:pPr>
          </w:p>
        </w:tc>
        <w:tc>
          <w:tcPr>
            <w:tcW w:w="1313" w:type="dxa"/>
            <w:vAlign w:val="center"/>
          </w:tcPr>
          <w:p>
            <w:pPr>
              <w:jc w:val="center"/>
              <w:rPr>
                <w:rFonts w:hint="default"/>
                <w:color w:val="auto"/>
                <w:kern w:val="0"/>
                <w:szCs w:val="21"/>
                <w:highlight w:val="none"/>
                <w:lang w:val="en-US" w:eastAsia="zh-CN"/>
              </w:rPr>
            </w:pPr>
            <w:r>
              <w:rPr>
                <w:rFonts w:hint="eastAsia"/>
                <w:color w:val="auto"/>
                <w:kern w:val="0"/>
                <w:szCs w:val="21"/>
                <w:highlight w:val="none"/>
                <w:lang w:val="en-US" w:eastAsia="zh-CN"/>
              </w:rPr>
              <w:t>拌料</w:t>
            </w:r>
          </w:p>
        </w:tc>
        <w:tc>
          <w:tcPr>
            <w:tcW w:w="1313" w:type="dxa"/>
            <w:vAlign w:val="center"/>
          </w:tcPr>
          <w:p>
            <w:pPr>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粉尘</w:t>
            </w:r>
          </w:p>
        </w:tc>
        <w:tc>
          <w:tcPr>
            <w:tcW w:w="2534" w:type="dxa"/>
            <w:vAlign w:val="center"/>
          </w:tcPr>
          <w:p>
            <w:pPr>
              <w:rPr>
                <w:rFonts w:hint="default" w:eastAsia="宋体"/>
                <w:color w:val="auto"/>
                <w:szCs w:val="21"/>
                <w:highlight w:val="none"/>
                <w:lang w:val="en-US" w:eastAsia="zh-CN"/>
              </w:rPr>
            </w:pPr>
            <w:r>
              <w:rPr>
                <w:rFonts w:hint="eastAsia"/>
                <w:color w:val="auto"/>
                <w:szCs w:val="21"/>
                <w:highlight w:val="none"/>
                <w:lang w:val="en-US" w:eastAsia="zh-CN"/>
              </w:rPr>
              <w:t>搅拌机为半封闭式，仅预留进料和出料口，规范生产操作</w:t>
            </w:r>
          </w:p>
        </w:tc>
        <w:tc>
          <w:tcPr>
            <w:tcW w:w="246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tabs>
                <w:tab w:val="left" w:pos="8820"/>
              </w:tabs>
              <w:jc w:val="center"/>
              <w:textAlignment w:val="baseline"/>
              <w:rPr>
                <w:color w:val="auto"/>
                <w:kern w:val="0"/>
                <w:szCs w:val="20"/>
                <w:highlight w:val="none"/>
              </w:rPr>
            </w:pPr>
          </w:p>
        </w:tc>
        <w:tc>
          <w:tcPr>
            <w:tcW w:w="1313" w:type="dxa"/>
            <w:vAlign w:val="center"/>
          </w:tcPr>
          <w:p>
            <w:pPr>
              <w:jc w:val="center"/>
              <w:rPr>
                <w:color w:val="auto"/>
                <w:kern w:val="0"/>
                <w:szCs w:val="21"/>
                <w:highlight w:val="none"/>
              </w:rPr>
            </w:pPr>
            <w:r>
              <w:rPr>
                <w:color w:val="auto"/>
                <w:kern w:val="0"/>
                <w:szCs w:val="21"/>
                <w:highlight w:val="none"/>
              </w:rPr>
              <w:t>破碎</w:t>
            </w:r>
          </w:p>
        </w:tc>
        <w:tc>
          <w:tcPr>
            <w:tcW w:w="1313" w:type="dxa"/>
            <w:vAlign w:val="center"/>
          </w:tcPr>
          <w:p>
            <w:pPr>
              <w:jc w:val="center"/>
              <w:rPr>
                <w:color w:val="auto"/>
                <w:kern w:val="0"/>
                <w:szCs w:val="21"/>
                <w:highlight w:val="none"/>
              </w:rPr>
            </w:pPr>
            <w:r>
              <w:rPr>
                <w:color w:val="auto"/>
                <w:kern w:val="0"/>
                <w:szCs w:val="21"/>
                <w:highlight w:val="none"/>
              </w:rPr>
              <w:t>粉尘</w:t>
            </w:r>
          </w:p>
        </w:tc>
        <w:tc>
          <w:tcPr>
            <w:tcW w:w="2534" w:type="dxa"/>
            <w:vAlign w:val="center"/>
          </w:tcPr>
          <w:p>
            <w:pPr>
              <w:jc w:val="center"/>
              <w:rPr>
                <w:rFonts w:hint="default" w:eastAsia="宋体"/>
                <w:color w:val="auto"/>
                <w:highlight w:val="none"/>
                <w:lang w:val="en-US" w:eastAsia="zh-CN"/>
              </w:rPr>
            </w:pPr>
            <w:r>
              <w:rPr>
                <w:rFonts w:hint="eastAsia"/>
                <w:color w:val="auto"/>
                <w:highlight w:val="none"/>
                <w:lang w:val="en-US" w:eastAsia="zh-CN"/>
              </w:rPr>
              <w:t>干法破碎，破碎过程全密闭，</w:t>
            </w:r>
            <w:r>
              <w:rPr>
                <w:color w:val="auto"/>
                <w:spacing w:val="-4"/>
                <w:szCs w:val="21"/>
                <w:highlight w:val="none"/>
              </w:rPr>
              <w:t>规范生产操作</w:t>
            </w:r>
          </w:p>
        </w:tc>
        <w:tc>
          <w:tcPr>
            <w:tcW w:w="246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pPr>
              <w:jc w:val="center"/>
              <w:rPr>
                <w:color w:val="auto"/>
                <w:szCs w:val="21"/>
                <w:highlight w:val="none"/>
              </w:rPr>
            </w:pPr>
            <w:r>
              <w:rPr>
                <w:color w:val="auto"/>
                <w:szCs w:val="21"/>
                <w:highlight w:val="none"/>
              </w:rPr>
              <w:t>废水</w:t>
            </w:r>
          </w:p>
        </w:tc>
        <w:tc>
          <w:tcPr>
            <w:tcW w:w="1313" w:type="dxa"/>
            <w:vAlign w:val="center"/>
          </w:tcPr>
          <w:p>
            <w:pPr>
              <w:jc w:val="center"/>
              <w:rPr>
                <w:color w:val="auto"/>
                <w:kern w:val="0"/>
                <w:szCs w:val="21"/>
                <w:highlight w:val="none"/>
              </w:rPr>
            </w:pPr>
            <w:r>
              <w:rPr>
                <w:color w:val="auto"/>
                <w:kern w:val="0"/>
                <w:szCs w:val="21"/>
                <w:highlight w:val="none"/>
              </w:rPr>
              <w:t>生产废水</w:t>
            </w:r>
          </w:p>
        </w:tc>
        <w:tc>
          <w:tcPr>
            <w:tcW w:w="1313" w:type="dxa"/>
            <w:vAlign w:val="center"/>
          </w:tcPr>
          <w:p>
            <w:pPr>
              <w:jc w:val="center"/>
              <w:rPr>
                <w:color w:val="auto"/>
                <w:kern w:val="0"/>
                <w:szCs w:val="21"/>
                <w:highlight w:val="none"/>
              </w:rPr>
            </w:pPr>
            <w:r>
              <w:rPr>
                <w:color w:val="auto"/>
                <w:highlight w:val="none"/>
              </w:rPr>
              <w:t>COD、</w:t>
            </w:r>
            <w:r>
              <w:rPr>
                <w:color w:val="auto"/>
                <w:kern w:val="0"/>
                <w:szCs w:val="21"/>
                <w:highlight w:val="none"/>
              </w:rPr>
              <w:t>SS</w:t>
            </w:r>
          </w:p>
        </w:tc>
        <w:tc>
          <w:tcPr>
            <w:tcW w:w="2534" w:type="dxa"/>
            <w:vAlign w:val="center"/>
          </w:tcPr>
          <w:p>
            <w:pPr>
              <w:rPr>
                <w:color w:val="auto"/>
                <w:kern w:val="0"/>
                <w:szCs w:val="21"/>
                <w:highlight w:val="none"/>
              </w:rPr>
            </w:pPr>
            <w:r>
              <w:rPr>
                <w:rFonts w:hint="eastAsia"/>
                <w:color w:val="auto"/>
                <w:spacing w:val="-4"/>
                <w:szCs w:val="21"/>
                <w:highlight w:val="none"/>
                <w:lang w:val="en-US" w:eastAsia="zh-CN"/>
              </w:rPr>
              <w:t>冷却水循环使用，不外排；车间地面清洗废水经化粪池收集后与生活污水一同处理</w:t>
            </w:r>
            <w:r>
              <w:rPr>
                <w:color w:val="auto"/>
                <w:spacing w:val="-4"/>
                <w:szCs w:val="21"/>
                <w:highlight w:val="none"/>
              </w:rPr>
              <w:t>。</w:t>
            </w:r>
          </w:p>
        </w:tc>
        <w:tc>
          <w:tcPr>
            <w:tcW w:w="2468" w:type="dxa"/>
            <w:vMerge w:val="restart"/>
            <w:vAlign w:val="center"/>
          </w:tcPr>
          <w:p>
            <w:pPr>
              <w:jc w:val="center"/>
              <w:rPr>
                <w:rFonts w:hint="default" w:eastAsia="宋体"/>
                <w:color w:val="auto"/>
                <w:highlight w:val="none"/>
                <w:lang w:val="en-US" w:eastAsia="zh-CN"/>
              </w:rPr>
            </w:pPr>
            <w:r>
              <w:rPr>
                <w:rFonts w:hint="eastAsia" w:ascii="Times New Roman" w:hAnsi="Times New Roman" w:eastAsia="宋体" w:cs="Times New Roman"/>
                <w:color w:val="auto"/>
                <w:szCs w:val="21"/>
                <w:highlight w:val="none"/>
                <w:lang w:val="en-US" w:eastAsia="zh-CN"/>
              </w:rPr>
              <w:t>经化粪池处理达到《污水排入城镇下水道水质标准》（GB/T31962-2015）B等级标准</w:t>
            </w:r>
            <w:r>
              <w:rPr>
                <w:rFonts w:hint="eastAsia"/>
                <w:color w:val="auto"/>
                <w:spacing w:val="-4"/>
                <w:szCs w:val="21"/>
                <w:highlight w:val="none"/>
                <w:lang w:val="en-US" w:eastAsia="zh-CN"/>
              </w:rPr>
              <w:t>及</w:t>
            </w:r>
            <w:r>
              <w:rPr>
                <w:rFonts w:hint="eastAsia" w:cs="Times New Roman"/>
                <w:color w:val="auto"/>
                <w:highlight w:val="none"/>
                <w:vertAlign w:val="baseline"/>
                <w:lang w:val="en-US" w:eastAsia="zh-CN"/>
              </w:rPr>
              <w:t>生活废水委托处理合同商定的排放协议标准</w:t>
            </w:r>
            <w:r>
              <w:rPr>
                <w:rFonts w:hint="eastAsia" w:ascii="Times New Roman" w:hAnsi="Times New Roman" w:eastAsia="宋体" w:cs="Times New Roman"/>
                <w:color w:val="auto"/>
                <w:szCs w:val="21"/>
                <w:highlight w:val="none"/>
                <w:lang w:val="en-US" w:eastAsia="zh-CN"/>
              </w:rPr>
              <w:t>后，由</w:t>
            </w:r>
            <w:r>
              <w:rPr>
                <w:rFonts w:hint="eastAsia" w:cs="Times New Roman"/>
                <w:color w:val="auto"/>
                <w:szCs w:val="21"/>
                <w:highlight w:val="none"/>
                <w:lang w:val="en-US" w:eastAsia="zh-CN"/>
              </w:rPr>
              <w:t>建设单位</w:t>
            </w:r>
            <w:r>
              <w:rPr>
                <w:rFonts w:hint="eastAsia" w:ascii="Times New Roman" w:hAnsi="Times New Roman" w:eastAsia="宋体" w:cs="Times New Roman"/>
                <w:color w:val="auto"/>
                <w:szCs w:val="21"/>
                <w:highlight w:val="none"/>
                <w:lang w:val="en-US" w:eastAsia="zh-CN"/>
              </w:rPr>
              <w:t>定期清运至寻甸县</w:t>
            </w:r>
            <w:r>
              <w:rPr>
                <w:rFonts w:hint="eastAsia" w:cs="Times New Roman"/>
                <w:color w:val="auto"/>
                <w:szCs w:val="21"/>
                <w:highlight w:val="none"/>
                <w:lang w:val="en-US" w:eastAsia="zh-CN"/>
              </w:rPr>
              <w:t>水质净化厂</w:t>
            </w:r>
            <w:r>
              <w:rPr>
                <w:rFonts w:hint="eastAsia" w:ascii="Times New Roman" w:hAnsi="Times New Roman" w:eastAsia="宋体" w:cs="Times New Roman"/>
                <w:color w:val="auto"/>
                <w:szCs w:val="21"/>
                <w:highlight w:val="none"/>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jc w:val="center"/>
              <w:rPr>
                <w:color w:val="auto"/>
                <w:szCs w:val="21"/>
                <w:highlight w:val="none"/>
              </w:rPr>
            </w:pPr>
          </w:p>
        </w:tc>
        <w:tc>
          <w:tcPr>
            <w:tcW w:w="1313" w:type="dxa"/>
            <w:vAlign w:val="center"/>
          </w:tcPr>
          <w:p>
            <w:pPr>
              <w:jc w:val="center"/>
              <w:rPr>
                <w:color w:val="auto"/>
                <w:kern w:val="0"/>
                <w:szCs w:val="21"/>
                <w:highlight w:val="none"/>
              </w:rPr>
            </w:pPr>
            <w:r>
              <w:rPr>
                <w:color w:val="auto"/>
                <w:kern w:val="0"/>
                <w:szCs w:val="21"/>
                <w:highlight w:val="none"/>
              </w:rPr>
              <w:t>生活污水</w:t>
            </w:r>
          </w:p>
        </w:tc>
        <w:tc>
          <w:tcPr>
            <w:tcW w:w="1313" w:type="dxa"/>
            <w:vAlign w:val="center"/>
          </w:tcPr>
          <w:p>
            <w:pPr>
              <w:jc w:val="center"/>
              <w:rPr>
                <w:color w:val="auto"/>
                <w:szCs w:val="21"/>
                <w:highlight w:val="none"/>
              </w:rPr>
            </w:pPr>
            <w:r>
              <w:rPr>
                <w:color w:val="auto"/>
                <w:szCs w:val="21"/>
                <w:highlight w:val="none"/>
              </w:rPr>
              <w:t>COD</w:t>
            </w:r>
          </w:p>
          <w:p>
            <w:pPr>
              <w:jc w:val="center"/>
              <w:rPr>
                <w:color w:val="auto"/>
                <w:szCs w:val="21"/>
                <w:highlight w:val="none"/>
              </w:rPr>
            </w:pPr>
            <w:r>
              <w:rPr>
                <w:rFonts w:hint="eastAsia"/>
                <w:color w:val="auto"/>
                <w:szCs w:val="21"/>
                <w:highlight w:val="none"/>
                <w:lang w:val="en-US" w:eastAsia="zh-CN"/>
              </w:rPr>
              <w:t>氨氮</w:t>
            </w:r>
            <w:r>
              <w:rPr>
                <w:color w:val="auto"/>
                <w:szCs w:val="21"/>
                <w:highlight w:val="none"/>
              </w:rPr>
              <w:t>、总磷、SS</w:t>
            </w:r>
          </w:p>
          <w:p>
            <w:pPr>
              <w:jc w:val="center"/>
              <w:rPr>
                <w:rFonts w:hint="default" w:eastAsia="宋体"/>
                <w:color w:val="auto"/>
                <w:kern w:val="0"/>
                <w:szCs w:val="21"/>
                <w:highlight w:val="none"/>
                <w:lang w:val="en-US" w:eastAsia="zh-CN"/>
              </w:rPr>
            </w:pPr>
            <w:r>
              <w:rPr>
                <w:rFonts w:hint="eastAsia"/>
                <w:color w:val="auto"/>
                <w:kern w:val="0"/>
                <w:szCs w:val="21"/>
                <w:highlight w:val="none"/>
                <w:lang w:eastAsia="zh-CN"/>
              </w:rPr>
              <w:t>、</w:t>
            </w:r>
            <w:r>
              <w:rPr>
                <w:rFonts w:hint="eastAsia"/>
                <w:color w:val="auto"/>
                <w:kern w:val="0"/>
                <w:szCs w:val="21"/>
                <w:highlight w:val="none"/>
                <w:lang w:val="en-US" w:eastAsia="zh-CN"/>
              </w:rPr>
              <w:t>BOD</w:t>
            </w:r>
            <w:r>
              <w:rPr>
                <w:rFonts w:hint="eastAsia"/>
                <w:color w:val="auto"/>
                <w:kern w:val="0"/>
                <w:szCs w:val="21"/>
                <w:highlight w:val="none"/>
                <w:vertAlign w:val="subscript"/>
                <w:lang w:val="en-US" w:eastAsia="zh-CN"/>
              </w:rPr>
              <w:t>5</w:t>
            </w:r>
          </w:p>
        </w:tc>
        <w:tc>
          <w:tcPr>
            <w:tcW w:w="2534" w:type="dxa"/>
            <w:vAlign w:val="center"/>
          </w:tcPr>
          <w:p>
            <w:pPr>
              <w:rPr>
                <w:rFonts w:hint="default" w:eastAsia="宋体"/>
                <w:color w:val="auto"/>
                <w:kern w:val="0"/>
                <w:szCs w:val="21"/>
                <w:highlight w:val="none"/>
                <w:lang w:val="en-US" w:eastAsia="zh-CN"/>
              </w:rPr>
            </w:pPr>
            <w:r>
              <w:rPr>
                <w:color w:val="auto"/>
                <w:spacing w:val="-4"/>
                <w:szCs w:val="21"/>
                <w:highlight w:val="none"/>
              </w:rPr>
              <w:t>生活污水</w:t>
            </w:r>
            <w:r>
              <w:rPr>
                <w:rFonts w:hint="eastAsia"/>
                <w:color w:val="auto"/>
                <w:spacing w:val="-4"/>
                <w:szCs w:val="21"/>
                <w:highlight w:val="none"/>
                <w:lang w:val="en-US" w:eastAsia="zh-CN"/>
              </w:rPr>
              <w:t>排入已有化粪池处理后，由建设单位定期清运至寻甸县水质净化厂处理</w:t>
            </w:r>
          </w:p>
        </w:tc>
        <w:tc>
          <w:tcPr>
            <w:tcW w:w="2468"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1" w:type="dxa"/>
            <w:vAlign w:val="center"/>
          </w:tcPr>
          <w:p>
            <w:pPr>
              <w:jc w:val="center"/>
              <w:rPr>
                <w:color w:val="auto"/>
                <w:szCs w:val="21"/>
                <w:highlight w:val="none"/>
              </w:rPr>
            </w:pPr>
            <w:r>
              <w:rPr>
                <w:color w:val="auto"/>
                <w:szCs w:val="21"/>
                <w:highlight w:val="none"/>
              </w:rPr>
              <w:t>噪声</w:t>
            </w:r>
          </w:p>
        </w:tc>
        <w:tc>
          <w:tcPr>
            <w:tcW w:w="1313" w:type="dxa"/>
            <w:vAlign w:val="center"/>
          </w:tcPr>
          <w:p>
            <w:pPr>
              <w:rPr>
                <w:color w:val="auto"/>
                <w:kern w:val="0"/>
                <w:szCs w:val="21"/>
                <w:highlight w:val="none"/>
              </w:rPr>
            </w:pPr>
            <w:r>
              <w:rPr>
                <w:rFonts w:hint="eastAsia"/>
                <w:color w:val="auto"/>
                <w:szCs w:val="21"/>
                <w:highlight w:val="none"/>
                <w:lang w:val="en-US" w:eastAsia="zh-CN"/>
              </w:rPr>
              <w:t>上料机、搅拌机、注塑机、破碎机</w:t>
            </w:r>
            <w:r>
              <w:rPr>
                <w:color w:val="auto"/>
                <w:szCs w:val="21"/>
                <w:highlight w:val="none"/>
              </w:rPr>
              <w:t>水泵、风机等</w:t>
            </w:r>
          </w:p>
        </w:tc>
        <w:tc>
          <w:tcPr>
            <w:tcW w:w="1313" w:type="dxa"/>
            <w:vAlign w:val="center"/>
          </w:tcPr>
          <w:p>
            <w:pPr>
              <w:jc w:val="center"/>
              <w:rPr>
                <w:color w:val="auto"/>
                <w:szCs w:val="21"/>
                <w:highlight w:val="none"/>
              </w:rPr>
            </w:pPr>
            <w:r>
              <w:rPr>
                <w:color w:val="auto"/>
                <w:szCs w:val="21"/>
                <w:highlight w:val="none"/>
              </w:rPr>
              <w:t>机械噪声</w:t>
            </w:r>
          </w:p>
        </w:tc>
        <w:tc>
          <w:tcPr>
            <w:tcW w:w="2534" w:type="dxa"/>
            <w:vAlign w:val="center"/>
          </w:tcPr>
          <w:p>
            <w:pPr>
              <w:jc w:val="center"/>
              <w:rPr>
                <w:color w:val="auto"/>
                <w:highlight w:val="none"/>
              </w:rPr>
            </w:pPr>
            <w:r>
              <w:rPr>
                <w:color w:val="auto"/>
                <w:kern w:val="0"/>
                <w:szCs w:val="21"/>
                <w:highlight w:val="none"/>
              </w:rPr>
              <w:t>采用减振、隔声及消声等措施</w:t>
            </w:r>
          </w:p>
        </w:tc>
        <w:tc>
          <w:tcPr>
            <w:tcW w:w="2468" w:type="dxa"/>
            <w:vAlign w:val="center"/>
          </w:tcPr>
          <w:p>
            <w:pPr>
              <w:jc w:val="center"/>
              <w:rPr>
                <w:color w:val="auto"/>
                <w:szCs w:val="21"/>
                <w:highlight w:val="none"/>
              </w:rPr>
            </w:pPr>
            <w:r>
              <w:rPr>
                <w:color w:val="auto"/>
                <w:szCs w:val="21"/>
                <w:highlight w:val="none"/>
              </w:rPr>
              <w:t>《工业企业厂界环境噪声排放标准》</w:t>
            </w:r>
            <w:r>
              <w:rPr>
                <w:color w:val="auto"/>
                <w:kern w:val="0"/>
                <w:szCs w:val="21"/>
                <w:highlight w:val="none"/>
              </w:rPr>
              <w:t>（GB12348-2008）</w:t>
            </w:r>
            <w:r>
              <w:rPr>
                <w:color w:val="auto"/>
                <w:szCs w:val="21"/>
                <w:highlight w:val="none"/>
              </w:rPr>
              <w:t>中的</w:t>
            </w:r>
            <w:r>
              <w:rPr>
                <w:rFonts w:hint="eastAsia"/>
                <w:color w:val="auto"/>
                <w:szCs w:val="21"/>
                <w:highlight w:val="none"/>
                <w:lang w:val="en-US" w:eastAsia="zh-CN"/>
              </w:rPr>
              <w:t>2</w:t>
            </w:r>
            <w:r>
              <w:rPr>
                <w:color w:val="auto"/>
                <w:szCs w:val="21"/>
                <w:highlight w:val="none"/>
              </w:rPr>
              <w:t>类</w:t>
            </w:r>
            <w:r>
              <w:rPr>
                <w:rFonts w:hint="eastAsia"/>
                <w:color w:val="auto"/>
                <w:szCs w:val="21"/>
                <w:highlight w:val="none"/>
                <w:lang w:val="en-US" w:eastAsia="zh-CN"/>
              </w:rPr>
              <w:t>和4类</w:t>
            </w:r>
            <w:r>
              <w:rPr>
                <w:color w:val="auto"/>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1" w:type="dxa"/>
            <w:vMerge w:val="restart"/>
            <w:vAlign w:val="center"/>
          </w:tcPr>
          <w:p>
            <w:pPr>
              <w:jc w:val="center"/>
              <w:rPr>
                <w:color w:val="auto"/>
                <w:szCs w:val="21"/>
                <w:highlight w:val="none"/>
              </w:rPr>
            </w:pPr>
            <w:r>
              <w:rPr>
                <w:color w:val="auto"/>
                <w:szCs w:val="21"/>
                <w:highlight w:val="none"/>
              </w:rPr>
              <w:t>固废</w:t>
            </w:r>
          </w:p>
        </w:tc>
        <w:tc>
          <w:tcPr>
            <w:tcW w:w="1313" w:type="dxa"/>
            <w:vAlign w:val="center"/>
          </w:tcPr>
          <w:p>
            <w:pPr>
              <w:jc w:val="center"/>
              <w:rPr>
                <w:rFonts w:hint="default" w:eastAsia="宋体"/>
                <w:color w:val="auto"/>
                <w:highlight w:val="none"/>
                <w:lang w:val="en-US" w:eastAsia="zh-CN"/>
              </w:rPr>
            </w:pPr>
            <w:r>
              <w:rPr>
                <w:rFonts w:hint="eastAsia"/>
                <w:color w:val="auto"/>
                <w:highlight w:val="none"/>
                <w:lang w:val="en-US" w:eastAsia="zh-CN"/>
              </w:rPr>
              <w:t>原辅料拆包</w:t>
            </w:r>
          </w:p>
        </w:tc>
        <w:tc>
          <w:tcPr>
            <w:tcW w:w="1313" w:type="dxa"/>
            <w:vAlign w:val="center"/>
          </w:tcPr>
          <w:p>
            <w:pPr>
              <w:jc w:val="center"/>
              <w:rPr>
                <w:rFonts w:hint="default" w:eastAsia="宋体"/>
                <w:color w:val="auto"/>
                <w:highlight w:val="none"/>
                <w:lang w:val="en-US" w:eastAsia="zh-CN"/>
              </w:rPr>
            </w:pPr>
            <w:r>
              <w:rPr>
                <w:rFonts w:hint="eastAsia"/>
                <w:color w:val="auto"/>
                <w:highlight w:val="none"/>
                <w:lang w:val="en-US" w:eastAsia="zh-CN"/>
              </w:rPr>
              <w:t>废包装材料</w:t>
            </w:r>
          </w:p>
        </w:tc>
        <w:tc>
          <w:tcPr>
            <w:tcW w:w="2534" w:type="dxa"/>
            <w:vAlign w:val="center"/>
          </w:tcPr>
          <w:p>
            <w:pPr>
              <w:rPr>
                <w:rFonts w:hint="default" w:eastAsia="宋体"/>
                <w:color w:val="auto"/>
                <w:highlight w:val="none"/>
                <w:lang w:val="en-US" w:eastAsia="zh-CN"/>
              </w:rPr>
            </w:pPr>
            <w:r>
              <w:rPr>
                <w:rFonts w:hint="eastAsia"/>
                <w:color w:val="auto"/>
                <w:highlight w:val="none"/>
                <w:lang w:val="en-US" w:eastAsia="zh-CN"/>
              </w:rPr>
              <w:t>集中收集后外售废品回收站</w:t>
            </w:r>
          </w:p>
        </w:tc>
        <w:tc>
          <w:tcPr>
            <w:tcW w:w="2468" w:type="dxa"/>
            <w:vMerge w:val="restart"/>
            <w:vAlign w:val="center"/>
          </w:tcPr>
          <w:p>
            <w:pPr>
              <w:jc w:val="center"/>
              <w:rPr>
                <w:color w:val="auto"/>
                <w:szCs w:val="21"/>
                <w:highlight w:val="none"/>
              </w:rPr>
            </w:pPr>
            <w:r>
              <w:rPr>
                <w:color w:val="auto"/>
                <w:szCs w:val="21"/>
                <w:highlight w:val="none"/>
              </w:rPr>
              <w:t>一般工业固废执行《一般工业固体废物贮存和填埋污染控制标准》（GB18599-2020）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71" w:type="dxa"/>
            <w:vMerge w:val="continue"/>
            <w:vAlign w:val="center"/>
          </w:tcPr>
          <w:p>
            <w:pPr>
              <w:jc w:val="center"/>
              <w:rPr>
                <w:color w:val="auto"/>
                <w:szCs w:val="21"/>
                <w:highlight w:val="none"/>
              </w:rPr>
            </w:pPr>
          </w:p>
        </w:tc>
        <w:tc>
          <w:tcPr>
            <w:tcW w:w="1313" w:type="dxa"/>
            <w:vAlign w:val="center"/>
          </w:tcPr>
          <w:p>
            <w:pPr>
              <w:jc w:val="center"/>
              <w:rPr>
                <w:rFonts w:hint="default" w:eastAsia="宋体"/>
                <w:color w:val="auto"/>
                <w:highlight w:val="none"/>
                <w:lang w:val="en-US" w:eastAsia="zh-CN"/>
              </w:rPr>
            </w:pPr>
            <w:r>
              <w:rPr>
                <w:rFonts w:hint="eastAsia"/>
                <w:color w:val="auto"/>
                <w:szCs w:val="21"/>
                <w:highlight w:val="none"/>
                <w:lang w:val="en-US" w:eastAsia="zh-CN"/>
              </w:rPr>
              <w:t>注塑工序</w:t>
            </w:r>
          </w:p>
        </w:tc>
        <w:tc>
          <w:tcPr>
            <w:tcW w:w="1313" w:type="dxa"/>
            <w:vAlign w:val="center"/>
          </w:tcPr>
          <w:p>
            <w:pPr>
              <w:jc w:val="center"/>
              <w:rPr>
                <w:rFonts w:hint="default" w:eastAsia="宋体"/>
                <w:color w:val="auto"/>
                <w:highlight w:val="none"/>
                <w:lang w:val="en-US" w:eastAsia="zh-CN"/>
              </w:rPr>
            </w:pPr>
            <w:r>
              <w:rPr>
                <w:rFonts w:hint="eastAsia"/>
                <w:color w:val="auto"/>
                <w:highlight w:val="none"/>
                <w:lang w:val="en-US" w:eastAsia="zh-CN"/>
              </w:rPr>
              <w:t>不合格产品</w:t>
            </w:r>
          </w:p>
        </w:tc>
        <w:tc>
          <w:tcPr>
            <w:tcW w:w="2534" w:type="dxa"/>
            <w:vMerge w:val="restart"/>
            <w:vAlign w:val="center"/>
          </w:tcPr>
          <w:p>
            <w:pPr>
              <w:rPr>
                <w:rFonts w:hint="default" w:eastAsia="宋体"/>
                <w:color w:val="auto"/>
                <w:szCs w:val="21"/>
                <w:highlight w:val="none"/>
                <w:lang w:val="en-US" w:eastAsia="zh-CN"/>
              </w:rPr>
            </w:pPr>
            <w:r>
              <w:rPr>
                <w:rFonts w:hint="eastAsia"/>
                <w:color w:val="auto"/>
                <w:szCs w:val="21"/>
                <w:highlight w:val="none"/>
                <w:lang w:val="en-US" w:eastAsia="zh-CN"/>
              </w:rPr>
              <w:t>收集破碎后重新作为原料回用于生产线</w:t>
            </w:r>
          </w:p>
        </w:tc>
        <w:tc>
          <w:tcPr>
            <w:tcW w:w="246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71" w:type="dxa"/>
            <w:vMerge w:val="continue"/>
            <w:vAlign w:val="center"/>
          </w:tcPr>
          <w:p>
            <w:pPr>
              <w:jc w:val="center"/>
              <w:rPr>
                <w:color w:val="auto"/>
                <w:highlight w:val="none"/>
              </w:rPr>
            </w:pPr>
          </w:p>
        </w:tc>
        <w:tc>
          <w:tcPr>
            <w:tcW w:w="1313"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修边工序</w:t>
            </w:r>
          </w:p>
        </w:tc>
        <w:tc>
          <w:tcPr>
            <w:tcW w:w="1313"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边角料</w:t>
            </w:r>
          </w:p>
        </w:tc>
        <w:tc>
          <w:tcPr>
            <w:tcW w:w="2534" w:type="dxa"/>
            <w:vMerge w:val="continue"/>
            <w:vAlign w:val="center"/>
          </w:tcPr>
          <w:p>
            <w:pPr>
              <w:jc w:val="center"/>
              <w:rPr>
                <w:rFonts w:hint="eastAsia"/>
                <w:color w:val="auto"/>
                <w:szCs w:val="21"/>
                <w:highlight w:val="none"/>
                <w:lang w:val="en-US" w:eastAsia="zh-CN"/>
              </w:rPr>
            </w:pPr>
          </w:p>
        </w:tc>
        <w:tc>
          <w:tcPr>
            <w:tcW w:w="2468" w:type="dxa"/>
            <w:vMerge w:val="continue"/>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1" w:type="dxa"/>
            <w:vMerge w:val="continue"/>
            <w:vAlign w:val="center"/>
          </w:tcPr>
          <w:p>
            <w:pPr>
              <w:jc w:val="center"/>
              <w:rPr>
                <w:color w:val="auto"/>
                <w:szCs w:val="21"/>
                <w:highlight w:val="none"/>
              </w:rPr>
            </w:pPr>
          </w:p>
        </w:tc>
        <w:tc>
          <w:tcPr>
            <w:tcW w:w="1313" w:type="dxa"/>
            <w:vAlign w:val="center"/>
          </w:tcPr>
          <w:p>
            <w:pPr>
              <w:jc w:val="center"/>
              <w:rPr>
                <w:color w:val="auto"/>
                <w:highlight w:val="none"/>
              </w:rPr>
            </w:pPr>
            <w:r>
              <w:rPr>
                <w:rFonts w:hint="eastAsia"/>
                <w:color w:val="auto"/>
                <w:highlight w:val="none"/>
                <w:lang w:val="en-US" w:eastAsia="zh-CN"/>
              </w:rPr>
              <w:t>三级</w:t>
            </w:r>
            <w:r>
              <w:rPr>
                <w:color w:val="auto"/>
                <w:highlight w:val="none"/>
              </w:rPr>
              <w:t>活性炭吸附装置</w:t>
            </w:r>
          </w:p>
        </w:tc>
        <w:tc>
          <w:tcPr>
            <w:tcW w:w="1313" w:type="dxa"/>
            <w:vAlign w:val="center"/>
          </w:tcPr>
          <w:p>
            <w:pPr>
              <w:jc w:val="center"/>
              <w:rPr>
                <w:color w:val="auto"/>
                <w:highlight w:val="none"/>
              </w:rPr>
            </w:pPr>
            <w:r>
              <w:rPr>
                <w:color w:val="auto"/>
                <w:highlight w:val="none"/>
              </w:rPr>
              <w:t>废活性炭</w:t>
            </w:r>
          </w:p>
        </w:tc>
        <w:tc>
          <w:tcPr>
            <w:tcW w:w="2534" w:type="dxa"/>
            <w:vMerge w:val="restart"/>
            <w:vAlign w:val="center"/>
          </w:tcPr>
          <w:p>
            <w:pPr>
              <w:rPr>
                <w:color w:val="auto"/>
                <w:kern w:val="0"/>
                <w:szCs w:val="21"/>
                <w:highlight w:val="none"/>
              </w:rPr>
            </w:pPr>
            <w:r>
              <w:rPr>
                <w:color w:val="auto"/>
                <w:kern w:val="0"/>
                <w:szCs w:val="21"/>
                <w:highlight w:val="none"/>
              </w:rPr>
              <w:t>分类暂存在危废贮存间，最终交由有资质单位处置</w:t>
            </w:r>
          </w:p>
        </w:tc>
        <w:tc>
          <w:tcPr>
            <w:tcW w:w="2468" w:type="dxa"/>
            <w:vMerge w:val="restart"/>
            <w:vAlign w:val="center"/>
          </w:tcPr>
          <w:p>
            <w:pPr>
              <w:jc w:val="center"/>
              <w:rPr>
                <w:color w:val="auto"/>
                <w:szCs w:val="21"/>
                <w:highlight w:val="none"/>
              </w:rPr>
            </w:pPr>
            <w:r>
              <w:rPr>
                <w:color w:val="auto"/>
                <w:szCs w:val="21"/>
                <w:highlight w:val="none"/>
              </w:rPr>
              <w:t>《危险废物贮存污染控制标准》（GB18597-20</w:t>
            </w:r>
            <w:r>
              <w:rPr>
                <w:rFonts w:hint="eastAsia"/>
                <w:color w:val="auto"/>
                <w:szCs w:val="21"/>
                <w:highlight w:val="none"/>
                <w:lang w:val="en-US" w:eastAsia="zh-CN"/>
              </w:rPr>
              <w:t>23</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1" w:type="dxa"/>
            <w:vMerge w:val="continue"/>
            <w:vAlign w:val="center"/>
          </w:tcPr>
          <w:p>
            <w:pPr>
              <w:jc w:val="center"/>
              <w:rPr>
                <w:color w:val="auto"/>
                <w:szCs w:val="21"/>
                <w:highlight w:val="none"/>
              </w:rPr>
            </w:pPr>
          </w:p>
        </w:tc>
        <w:tc>
          <w:tcPr>
            <w:tcW w:w="1313" w:type="dxa"/>
            <w:vMerge w:val="restart"/>
            <w:vAlign w:val="center"/>
          </w:tcPr>
          <w:p>
            <w:pPr>
              <w:jc w:val="center"/>
              <w:rPr>
                <w:color w:val="auto"/>
                <w:highlight w:val="none"/>
              </w:rPr>
            </w:pPr>
            <w:r>
              <w:rPr>
                <w:color w:val="auto"/>
                <w:highlight w:val="none"/>
              </w:rPr>
              <w:t>设备维修保养</w:t>
            </w:r>
          </w:p>
        </w:tc>
        <w:tc>
          <w:tcPr>
            <w:tcW w:w="1313" w:type="dxa"/>
            <w:vAlign w:val="center"/>
          </w:tcPr>
          <w:p>
            <w:pPr>
              <w:jc w:val="center"/>
              <w:rPr>
                <w:color w:val="auto"/>
                <w:highlight w:val="none"/>
              </w:rPr>
            </w:pPr>
            <w:r>
              <w:rPr>
                <w:color w:val="auto"/>
                <w:highlight w:val="none"/>
              </w:rPr>
              <w:t>废机油、废油桶</w:t>
            </w:r>
          </w:p>
        </w:tc>
        <w:tc>
          <w:tcPr>
            <w:tcW w:w="2534" w:type="dxa"/>
            <w:vMerge w:val="continue"/>
            <w:vAlign w:val="center"/>
          </w:tcPr>
          <w:p>
            <w:pPr>
              <w:jc w:val="center"/>
              <w:rPr>
                <w:color w:val="auto"/>
                <w:kern w:val="0"/>
                <w:szCs w:val="21"/>
                <w:highlight w:val="none"/>
              </w:rPr>
            </w:pPr>
          </w:p>
        </w:tc>
        <w:tc>
          <w:tcPr>
            <w:tcW w:w="246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1" w:type="dxa"/>
            <w:vMerge w:val="continue"/>
            <w:vAlign w:val="center"/>
          </w:tcPr>
          <w:p>
            <w:pPr>
              <w:jc w:val="center"/>
              <w:rPr>
                <w:color w:val="auto"/>
                <w:szCs w:val="21"/>
                <w:highlight w:val="none"/>
              </w:rPr>
            </w:pPr>
          </w:p>
        </w:tc>
        <w:tc>
          <w:tcPr>
            <w:tcW w:w="1313" w:type="dxa"/>
            <w:vMerge w:val="continue"/>
            <w:vAlign w:val="center"/>
          </w:tcPr>
          <w:p>
            <w:pPr>
              <w:jc w:val="center"/>
              <w:rPr>
                <w:color w:val="auto"/>
                <w:highlight w:val="none"/>
              </w:rPr>
            </w:pPr>
          </w:p>
        </w:tc>
        <w:tc>
          <w:tcPr>
            <w:tcW w:w="1313" w:type="dxa"/>
            <w:vAlign w:val="center"/>
          </w:tcPr>
          <w:p>
            <w:pPr>
              <w:jc w:val="center"/>
              <w:rPr>
                <w:color w:val="auto"/>
                <w:highlight w:val="none"/>
              </w:rPr>
            </w:pPr>
            <w:r>
              <w:rPr>
                <w:color w:val="auto"/>
                <w:highlight w:val="none"/>
              </w:rPr>
              <w:t>含油废手套、废抹布</w:t>
            </w:r>
          </w:p>
        </w:tc>
        <w:tc>
          <w:tcPr>
            <w:tcW w:w="2534" w:type="dxa"/>
            <w:vMerge w:val="continue"/>
            <w:vAlign w:val="center"/>
          </w:tcPr>
          <w:p>
            <w:pPr>
              <w:rPr>
                <w:color w:val="auto"/>
                <w:kern w:val="0"/>
                <w:szCs w:val="21"/>
                <w:highlight w:val="none"/>
              </w:rPr>
            </w:pPr>
          </w:p>
        </w:tc>
        <w:tc>
          <w:tcPr>
            <w:tcW w:w="2468"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671" w:type="dxa"/>
            <w:vMerge w:val="continue"/>
            <w:vAlign w:val="center"/>
          </w:tcPr>
          <w:p>
            <w:pPr>
              <w:jc w:val="center"/>
              <w:rPr>
                <w:color w:val="auto"/>
                <w:szCs w:val="21"/>
                <w:highlight w:val="none"/>
              </w:rPr>
            </w:pPr>
          </w:p>
        </w:tc>
        <w:tc>
          <w:tcPr>
            <w:tcW w:w="1313" w:type="dxa"/>
            <w:vAlign w:val="center"/>
          </w:tcPr>
          <w:p>
            <w:pPr>
              <w:jc w:val="center"/>
              <w:rPr>
                <w:color w:val="auto"/>
                <w:kern w:val="0"/>
                <w:szCs w:val="21"/>
                <w:highlight w:val="none"/>
              </w:rPr>
            </w:pPr>
            <w:r>
              <w:rPr>
                <w:color w:val="auto"/>
                <w:kern w:val="0"/>
                <w:szCs w:val="21"/>
                <w:highlight w:val="none"/>
              </w:rPr>
              <w:t>办公生活</w:t>
            </w:r>
          </w:p>
        </w:tc>
        <w:tc>
          <w:tcPr>
            <w:tcW w:w="1313" w:type="dxa"/>
            <w:vAlign w:val="center"/>
          </w:tcPr>
          <w:p>
            <w:pPr>
              <w:jc w:val="center"/>
              <w:rPr>
                <w:color w:val="auto"/>
                <w:highlight w:val="none"/>
              </w:rPr>
            </w:pPr>
            <w:r>
              <w:rPr>
                <w:color w:val="auto"/>
                <w:kern w:val="0"/>
                <w:szCs w:val="21"/>
                <w:highlight w:val="none"/>
              </w:rPr>
              <w:t>生活垃圾</w:t>
            </w:r>
          </w:p>
        </w:tc>
        <w:tc>
          <w:tcPr>
            <w:tcW w:w="2534" w:type="dxa"/>
            <w:vAlign w:val="center"/>
          </w:tcPr>
          <w:p>
            <w:pPr>
              <w:rPr>
                <w:rFonts w:hint="eastAsia" w:eastAsia="宋体"/>
                <w:color w:val="auto"/>
                <w:highlight w:val="none"/>
                <w:lang w:eastAsia="zh-CN"/>
              </w:rPr>
            </w:pPr>
            <w:r>
              <w:rPr>
                <w:color w:val="auto"/>
                <w:szCs w:val="21"/>
                <w:highlight w:val="none"/>
              </w:rPr>
              <w:t>统一</w:t>
            </w:r>
            <w:r>
              <w:rPr>
                <w:rFonts w:ascii="Times New Roman" w:hAnsi="Times New Roman" w:eastAsia="宋体" w:cs="Times New Roman"/>
                <w:color w:val="auto"/>
                <w:kern w:val="0"/>
                <w:szCs w:val="21"/>
                <w:highlight w:val="none"/>
              </w:rPr>
              <w:t>收集后定期运往指定地点由环卫部门集中处置</w:t>
            </w:r>
          </w:p>
        </w:tc>
        <w:tc>
          <w:tcPr>
            <w:tcW w:w="2468" w:type="dxa"/>
            <w:vAlign w:val="center"/>
          </w:tcPr>
          <w:p>
            <w:pPr>
              <w:jc w:val="center"/>
              <w:rPr>
                <w:color w:val="auto"/>
                <w:szCs w:val="21"/>
                <w:highlight w:val="none"/>
              </w:rPr>
            </w:pPr>
            <w:r>
              <w:rPr>
                <w:color w:val="auto"/>
                <w:szCs w:val="21"/>
                <w:highlight w:val="none"/>
              </w:rPr>
              <w:t>符合环保要求</w:t>
            </w:r>
          </w:p>
        </w:tc>
      </w:tr>
      <w:bookmarkEnd w:id="297"/>
      <w:bookmarkEnd w:id="298"/>
      <w:bookmarkEnd w:id="299"/>
      <w:bookmarkEnd w:id="300"/>
      <w:bookmarkEnd w:id="301"/>
    </w:tbl>
    <w:p>
      <w:pPr>
        <w:pStyle w:val="3"/>
        <w:spacing w:before="0" w:after="0" w:line="360" w:lineRule="auto"/>
        <w:ind w:left="0"/>
        <w:textAlignment w:val="baseline"/>
        <w:rPr>
          <w:rFonts w:ascii="Times New Roman" w:hAnsi="Times New Roman" w:eastAsia="宋体"/>
          <w:color w:val="auto"/>
          <w:sz w:val="28"/>
          <w:szCs w:val="20"/>
          <w:highlight w:val="none"/>
        </w:rPr>
      </w:pPr>
      <w:bookmarkStart w:id="302" w:name="_Toc20026"/>
      <w:bookmarkStart w:id="303" w:name="_Toc75908618"/>
      <w:bookmarkStart w:id="304" w:name="_Toc341369388"/>
      <w:bookmarkStart w:id="305" w:name="_Toc367282006"/>
      <w:bookmarkStart w:id="306" w:name="_Toc367281423"/>
      <w:r>
        <w:rPr>
          <w:rFonts w:ascii="Times New Roman" w:hAnsi="Times New Roman" w:eastAsia="宋体"/>
          <w:color w:val="auto"/>
          <w:sz w:val="28"/>
          <w:szCs w:val="20"/>
          <w:highlight w:val="none"/>
        </w:rPr>
        <w:t>1.8环境保护目标</w:t>
      </w:r>
      <w:bookmarkEnd w:id="302"/>
      <w:bookmarkEnd w:id="303"/>
      <w:bookmarkEnd w:id="304"/>
      <w:bookmarkEnd w:id="305"/>
      <w:bookmarkEnd w:id="306"/>
    </w:p>
    <w:p>
      <w:pPr>
        <w:spacing w:line="360" w:lineRule="auto"/>
        <w:ind w:firstLine="480" w:firstLineChars="200"/>
        <w:rPr>
          <w:bCs/>
          <w:color w:val="auto"/>
          <w:kern w:val="0"/>
          <w:sz w:val="24"/>
          <w:highlight w:val="none"/>
          <w:lang w:bidi="en-US"/>
        </w:rPr>
      </w:pPr>
      <w:r>
        <w:rPr>
          <w:bCs/>
          <w:color w:val="auto"/>
          <w:kern w:val="0"/>
          <w:sz w:val="24"/>
          <w:highlight w:val="none"/>
          <w:lang w:bidi="en-US"/>
        </w:rPr>
        <w:t>根据敏感因素的界定原则，项目区范围内无特殊保护区、生态脆弱区和特殊地貌景观区，区内没有发现国家及省重点保护植物、动物等，也无文物古迹等人文景观。</w:t>
      </w:r>
    </w:p>
    <w:p>
      <w:pPr>
        <w:spacing w:line="360" w:lineRule="auto"/>
        <w:ind w:firstLine="480" w:firstLineChars="200"/>
        <w:rPr>
          <w:bCs/>
          <w:color w:val="auto"/>
          <w:kern w:val="0"/>
          <w:sz w:val="24"/>
          <w:highlight w:val="none"/>
          <w:lang w:bidi="en-US"/>
        </w:rPr>
      </w:pPr>
      <w:r>
        <w:rPr>
          <w:bCs/>
          <w:color w:val="auto"/>
          <w:kern w:val="0"/>
          <w:sz w:val="24"/>
          <w:highlight w:val="none"/>
          <w:lang w:bidi="en-US"/>
        </w:rPr>
        <w:t>根据对本项目产排污状况的分析，结合对拟建厂址周围环境状况的现场踏勘，确定项目评价范围内主要环境保护目标见表1.8-1。</w:t>
      </w:r>
    </w:p>
    <w:p>
      <w:pPr>
        <w:spacing w:line="360" w:lineRule="auto"/>
        <w:jc w:val="center"/>
        <w:rPr>
          <w:b/>
          <w:bCs/>
          <w:color w:val="auto"/>
          <w:sz w:val="24"/>
          <w:highlight w:val="none"/>
        </w:rPr>
      </w:pPr>
      <w:r>
        <w:rPr>
          <w:b/>
          <w:bCs/>
          <w:color w:val="auto"/>
          <w:sz w:val="24"/>
          <w:highlight w:val="none"/>
        </w:rPr>
        <w:t>表1.8-1  项目主要环境保护目标</w:t>
      </w:r>
    </w:p>
    <w:tbl>
      <w:tblPr>
        <w:tblStyle w:val="5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900"/>
        <w:gridCol w:w="1276"/>
        <w:gridCol w:w="1261"/>
        <w:gridCol w:w="1012"/>
        <w:gridCol w:w="1706"/>
        <w:gridCol w:w="656"/>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环境</w:t>
            </w:r>
          </w:p>
          <w:p>
            <w:pPr>
              <w:pStyle w:val="496"/>
              <w:rPr>
                <w:rFonts w:ascii="Times New Roman" w:hAnsi="Times New Roman"/>
                <w:color w:val="auto"/>
                <w:sz w:val="21"/>
                <w:highlight w:val="none"/>
              </w:rPr>
            </w:pPr>
            <w:r>
              <w:rPr>
                <w:rFonts w:ascii="Times New Roman" w:hAnsi="Times New Roman"/>
                <w:color w:val="auto"/>
                <w:sz w:val="21"/>
                <w:highlight w:val="none"/>
              </w:rPr>
              <w:t>要素</w:t>
            </w:r>
          </w:p>
        </w:tc>
        <w:tc>
          <w:tcPr>
            <w:tcW w:w="900"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保护</w:t>
            </w:r>
          </w:p>
          <w:p>
            <w:pPr>
              <w:pStyle w:val="496"/>
              <w:rPr>
                <w:rFonts w:ascii="Times New Roman" w:hAnsi="Times New Roman"/>
                <w:color w:val="auto"/>
                <w:sz w:val="21"/>
                <w:highlight w:val="none"/>
              </w:rPr>
            </w:pPr>
            <w:r>
              <w:rPr>
                <w:rFonts w:ascii="Times New Roman" w:hAnsi="Times New Roman"/>
                <w:color w:val="auto"/>
                <w:sz w:val="21"/>
                <w:highlight w:val="none"/>
              </w:rPr>
              <w:t>对象</w:t>
            </w:r>
          </w:p>
        </w:tc>
        <w:tc>
          <w:tcPr>
            <w:tcW w:w="2537" w:type="dxa"/>
            <w:gridSpan w:val="2"/>
            <w:vAlign w:val="center"/>
          </w:tcPr>
          <w:p>
            <w:pPr>
              <w:pStyle w:val="496"/>
              <w:rPr>
                <w:rFonts w:hint="default" w:ascii="Times New Roman" w:hAnsi="Times New Roman" w:eastAsia="宋体"/>
                <w:color w:val="auto"/>
                <w:sz w:val="21"/>
                <w:highlight w:val="none"/>
                <w:lang w:val="en-US" w:eastAsia="zh-CN"/>
              </w:rPr>
            </w:pPr>
            <w:r>
              <w:rPr>
                <w:rFonts w:ascii="Times New Roman" w:hAnsi="Times New Roman"/>
                <w:color w:val="auto"/>
                <w:sz w:val="21"/>
                <w:highlight w:val="none"/>
              </w:rPr>
              <w:t>坐标</w:t>
            </w:r>
            <w:r>
              <w:rPr>
                <w:rFonts w:hint="eastAsia" w:ascii="Times New Roman" w:hAnsi="Times New Roman"/>
                <w:color w:val="auto"/>
                <w:sz w:val="21"/>
                <w:highlight w:val="none"/>
                <w:lang w:val="en-US" w:eastAsia="zh-CN"/>
              </w:rPr>
              <w:t>/°</w:t>
            </w:r>
          </w:p>
        </w:tc>
        <w:tc>
          <w:tcPr>
            <w:tcW w:w="1012"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保护</w:t>
            </w:r>
          </w:p>
          <w:p>
            <w:pPr>
              <w:pStyle w:val="496"/>
              <w:rPr>
                <w:rFonts w:ascii="Times New Roman" w:hAnsi="Times New Roman"/>
                <w:color w:val="auto"/>
                <w:sz w:val="21"/>
                <w:highlight w:val="none"/>
              </w:rPr>
            </w:pPr>
            <w:r>
              <w:rPr>
                <w:rFonts w:ascii="Times New Roman" w:hAnsi="Times New Roman"/>
                <w:color w:val="auto"/>
                <w:sz w:val="21"/>
                <w:highlight w:val="none"/>
              </w:rPr>
              <w:t>内容</w:t>
            </w:r>
          </w:p>
        </w:tc>
        <w:tc>
          <w:tcPr>
            <w:tcW w:w="1706"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保护</w:t>
            </w:r>
          </w:p>
          <w:p>
            <w:pPr>
              <w:pStyle w:val="496"/>
              <w:rPr>
                <w:rFonts w:ascii="Times New Roman" w:hAnsi="Times New Roman"/>
                <w:color w:val="auto"/>
                <w:sz w:val="21"/>
                <w:highlight w:val="none"/>
              </w:rPr>
            </w:pPr>
            <w:r>
              <w:rPr>
                <w:rFonts w:ascii="Times New Roman" w:hAnsi="Times New Roman"/>
                <w:color w:val="auto"/>
                <w:sz w:val="21"/>
                <w:highlight w:val="none"/>
              </w:rPr>
              <w:t>级别</w:t>
            </w:r>
          </w:p>
        </w:tc>
        <w:tc>
          <w:tcPr>
            <w:tcW w:w="656"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相对厂址方位</w:t>
            </w:r>
          </w:p>
        </w:tc>
        <w:tc>
          <w:tcPr>
            <w:tcW w:w="885"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相对厂</w:t>
            </w:r>
          </w:p>
          <w:p>
            <w:pPr>
              <w:pStyle w:val="496"/>
              <w:rPr>
                <w:rFonts w:ascii="Times New Roman" w:hAnsi="Times New Roman"/>
                <w:color w:val="auto"/>
                <w:sz w:val="21"/>
                <w:highlight w:val="none"/>
              </w:rPr>
            </w:pPr>
            <w:r>
              <w:rPr>
                <w:rFonts w:ascii="Times New Roman" w:hAnsi="Times New Roman"/>
                <w:color w:val="auto"/>
                <w:sz w:val="21"/>
                <w:highlight w:val="none"/>
              </w:rPr>
              <w:t>界距离</w:t>
            </w:r>
          </w:p>
          <w:p>
            <w:pPr>
              <w:pStyle w:val="496"/>
              <w:rPr>
                <w:rFonts w:ascii="Times New Roman" w:hAnsi="Times New Roman"/>
                <w:color w:val="auto"/>
                <w:sz w:val="21"/>
                <w:highlight w:val="none"/>
              </w:rPr>
            </w:pPr>
            <w:r>
              <w:rPr>
                <w:rFonts w:ascii="Times New Roman" w:hAnsi="Times New Roman"/>
                <w:color w:val="auto"/>
                <w:sz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widowControl/>
              <w:jc w:val="center"/>
              <w:rPr>
                <w:color w:val="auto"/>
                <w:szCs w:val="21"/>
                <w:highlight w:val="none"/>
              </w:rPr>
            </w:pPr>
          </w:p>
        </w:tc>
        <w:tc>
          <w:tcPr>
            <w:tcW w:w="900" w:type="dxa"/>
            <w:vMerge w:val="continue"/>
            <w:vAlign w:val="center"/>
          </w:tcPr>
          <w:p>
            <w:pPr>
              <w:pStyle w:val="496"/>
              <w:rPr>
                <w:rFonts w:ascii="Times New Roman" w:hAnsi="Times New Roman"/>
                <w:color w:val="auto"/>
                <w:sz w:val="21"/>
                <w:highlight w:val="none"/>
              </w:rPr>
            </w:pPr>
          </w:p>
        </w:tc>
        <w:tc>
          <w:tcPr>
            <w:tcW w:w="1276" w:type="dxa"/>
            <w:vAlign w:val="center"/>
          </w:tcPr>
          <w:p>
            <w:pPr>
              <w:pStyle w:val="496"/>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东经</w:t>
            </w:r>
          </w:p>
        </w:tc>
        <w:tc>
          <w:tcPr>
            <w:tcW w:w="1261" w:type="dxa"/>
            <w:vAlign w:val="center"/>
          </w:tcPr>
          <w:p>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北纬</w:t>
            </w:r>
          </w:p>
        </w:tc>
        <w:tc>
          <w:tcPr>
            <w:tcW w:w="1012" w:type="dxa"/>
            <w:vMerge w:val="continue"/>
            <w:vAlign w:val="center"/>
          </w:tcPr>
          <w:p>
            <w:pPr>
              <w:widowControl/>
              <w:rPr>
                <w:color w:val="auto"/>
                <w:szCs w:val="21"/>
                <w:highlight w:val="none"/>
              </w:rPr>
            </w:pPr>
          </w:p>
        </w:tc>
        <w:tc>
          <w:tcPr>
            <w:tcW w:w="1706" w:type="dxa"/>
            <w:vMerge w:val="continue"/>
            <w:vAlign w:val="center"/>
          </w:tcPr>
          <w:p>
            <w:pPr>
              <w:widowControl/>
              <w:jc w:val="center"/>
              <w:rPr>
                <w:color w:val="auto"/>
                <w:szCs w:val="21"/>
                <w:highlight w:val="none"/>
              </w:rPr>
            </w:pPr>
          </w:p>
        </w:tc>
        <w:tc>
          <w:tcPr>
            <w:tcW w:w="656" w:type="dxa"/>
            <w:vMerge w:val="continue"/>
            <w:vAlign w:val="center"/>
          </w:tcPr>
          <w:p>
            <w:pPr>
              <w:widowControl/>
              <w:rPr>
                <w:color w:val="auto"/>
                <w:szCs w:val="21"/>
                <w:highlight w:val="none"/>
              </w:rPr>
            </w:pPr>
          </w:p>
        </w:tc>
        <w:tc>
          <w:tcPr>
            <w:tcW w:w="885" w:type="dxa"/>
            <w:vMerge w:val="continue"/>
            <w:vAlign w:val="center"/>
          </w:tcPr>
          <w:p>
            <w:pPr>
              <w:widowControl/>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大气环境</w:t>
            </w:r>
          </w:p>
        </w:tc>
        <w:tc>
          <w:tcPr>
            <w:tcW w:w="900"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三月三散户</w:t>
            </w:r>
          </w:p>
        </w:tc>
        <w:tc>
          <w:tcPr>
            <w:tcW w:w="1276" w:type="dxa"/>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103.230393</w:t>
            </w:r>
          </w:p>
        </w:tc>
        <w:tc>
          <w:tcPr>
            <w:tcW w:w="1261" w:type="dxa"/>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25.544060</w:t>
            </w:r>
          </w:p>
        </w:tc>
        <w:tc>
          <w:tcPr>
            <w:tcW w:w="101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2人</w:t>
            </w:r>
          </w:p>
        </w:tc>
        <w:tc>
          <w:tcPr>
            <w:tcW w:w="1706"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GB3095-2012《环境空气质量标准》二级标准</w:t>
            </w:r>
          </w:p>
        </w:tc>
        <w:tc>
          <w:tcPr>
            <w:tcW w:w="65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东侧</w:t>
            </w:r>
          </w:p>
        </w:tc>
        <w:tc>
          <w:tcPr>
            <w:tcW w:w="88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三月三</w:t>
            </w:r>
          </w:p>
        </w:tc>
        <w:tc>
          <w:tcPr>
            <w:tcW w:w="1276"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103.233671</w:t>
            </w:r>
          </w:p>
        </w:tc>
        <w:tc>
          <w:tcPr>
            <w:tcW w:w="1261"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25.544195</w:t>
            </w:r>
          </w:p>
        </w:tc>
        <w:tc>
          <w:tcPr>
            <w:tcW w:w="101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1000人</w:t>
            </w: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东侧</w:t>
            </w:r>
          </w:p>
        </w:tc>
        <w:tc>
          <w:tcPr>
            <w:tcW w:w="88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哨上</w:t>
            </w:r>
          </w:p>
        </w:tc>
        <w:tc>
          <w:tcPr>
            <w:tcW w:w="1276"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103.216231</w:t>
            </w:r>
          </w:p>
        </w:tc>
        <w:tc>
          <w:tcPr>
            <w:tcW w:w="1261"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25.549618</w:t>
            </w:r>
          </w:p>
        </w:tc>
        <w:tc>
          <w:tcPr>
            <w:tcW w:w="101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1500人</w:t>
            </w: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西北侧</w:t>
            </w:r>
          </w:p>
        </w:tc>
        <w:tc>
          <w:tcPr>
            <w:tcW w:w="88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回龙村</w:t>
            </w:r>
          </w:p>
        </w:tc>
        <w:tc>
          <w:tcPr>
            <w:tcW w:w="1276"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103.253556</w:t>
            </w:r>
          </w:p>
        </w:tc>
        <w:tc>
          <w:tcPr>
            <w:tcW w:w="1261"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25.543556</w:t>
            </w:r>
          </w:p>
        </w:tc>
        <w:tc>
          <w:tcPr>
            <w:tcW w:w="101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2500人</w:t>
            </w: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东侧</w:t>
            </w:r>
          </w:p>
        </w:tc>
        <w:tc>
          <w:tcPr>
            <w:tcW w:w="88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pStyle w:val="496"/>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val="en-US" w:eastAsia="zh-CN"/>
              </w:rPr>
              <w:t>海会寺</w:t>
            </w:r>
          </w:p>
        </w:tc>
        <w:tc>
          <w:tcPr>
            <w:tcW w:w="1276"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103.236905</w:t>
            </w:r>
          </w:p>
        </w:tc>
        <w:tc>
          <w:tcPr>
            <w:tcW w:w="1261"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25.537827</w:t>
            </w:r>
          </w:p>
        </w:tc>
        <w:tc>
          <w:tcPr>
            <w:tcW w:w="101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50人</w:t>
            </w: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东南侧</w:t>
            </w:r>
          </w:p>
        </w:tc>
        <w:tc>
          <w:tcPr>
            <w:tcW w:w="88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pStyle w:val="496"/>
              <w:rPr>
                <w:rFonts w:hint="default"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建设社区</w:t>
            </w:r>
          </w:p>
        </w:tc>
        <w:tc>
          <w:tcPr>
            <w:tcW w:w="1276"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103.255584</w:t>
            </w:r>
          </w:p>
        </w:tc>
        <w:tc>
          <w:tcPr>
            <w:tcW w:w="1261" w:type="dxa"/>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25.540252</w:t>
            </w:r>
          </w:p>
        </w:tc>
        <w:tc>
          <w:tcPr>
            <w:tcW w:w="101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4000人</w:t>
            </w: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东南侧</w:t>
            </w:r>
          </w:p>
        </w:tc>
        <w:tc>
          <w:tcPr>
            <w:tcW w:w="88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pStyle w:val="496"/>
              <w:rPr>
                <w:rFonts w:hint="default"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月甲村</w:t>
            </w:r>
          </w:p>
        </w:tc>
        <w:tc>
          <w:tcPr>
            <w:tcW w:w="1276" w:type="dxa"/>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103.254061</w:t>
            </w:r>
          </w:p>
        </w:tc>
        <w:tc>
          <w:tcPr>
            <w:tcW w:w="1261" w:type="dxa"/>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25.551603</w:t>
            </w:r>
          </w:p>
        </w:tc>
        <w:tc>
          <w:tcPr>
            <w:tcW w:w="101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1500人</w:t>
            </w: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东北侧</w:t>
            </w:r>
          </w:p>
        </w:tc>
        <w:tc>
          <w:tcPr>
            <w:tcW w:w="885"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2490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pStyle w:val="496"/>
              <w:rPr>
                <w:rFonts w:hint="default"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三板桥</w:t>
            </w:r>
          </w:p>
        </w:tc>
        <w:tc>
          <w:tcPr>
            <w:tcW w:w="1276" w:type="dxa"/>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103.253503</w:t>
            </w:r>
          </w:p>
        </w:tc>
        <w:tc>
          <w:tcPr>
            <w:tcW w:w="1261" w:type="dxa"/>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25.538213</w:t>
            </w:r>
          </w:p>
        </w:tc>
        <w:tc>
          <w:tcPr>
            <w:tcW w:w="101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600人</w:t>
            </w: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东南侧</w:t>
            </w:r>
          </w:p>
        </w:tc>
        <w:tc>
          <w:tcPr>
            <w:tcW w:w="885"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2479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声环境</w:t>
            </w:r>
          </w:p>
        </w:tc>
        <w:tc>
          <w:tcPr>
            <w:tcW w:w="900" w:type="dxa"/>
            <w:vAlign w:val="center"/>
          </w:tcPr>
          <w:p>
            <w:pPr>
              <w:pStyle w:val="496"/>
              <w:rPr>
                <w:rFonts w:hint="default"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三月三散户</w:t>
            </w:r>
          </w:p>
        </w:tc>
        <w:tc>
          <w:tcPr>
            <w:tcW w:w="127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103.230393</w:t>
            </w:r>
          </w:p>
        </w:tc>
        <w:tc>
          <w:tcPr>
            <w:tcW w:w="1261"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25.544060</w:t>
            </w:r>
          </w:p>
        </w:tc>
        <w:tc>
          <w:tcPr>
            <w:tcW w:w="1012" w:type="dxa"/>
            <w:vAlign w:val="center"/>
          </w:tcPr>
          <w:p>
            <w:pPr>
              <w:jc w:val="center"/>
              <w:rPr>
                <w:color w:val="auto"/>
                <w:szCs w:val="21"/>
                <w:highlight w:val="none"/>
              </w:rPr>
            </w:pPr>
            <w:r>
              <w:rPr>
                <w:rFonts w:hint="eastAsia"/>
                <w:color w:val="auto"/>
                <w:szCs w:val="21"/>
                <w:highlight w:val="none"/>
                <w:lang w:val="en-US" w:eastAsia="zh-CN"/>
              </w:rPr>
              <w:t>5人</w:t>
            </w:r>
          </w:p>
        </w:tc>
        <w:tc>
          <w:tcPr>
            <w:tcW w:w="1706" w:type="dxa"/>
            <w:vMerge w:val="restart"/>
            <w:vAlign w:val="center"/>
          </w:tcPr>
          <w:p>
            <w:pPr>
              <w:pStyle w:val="496"/>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eastAsia="zh-CN"/>
              </w:rPr>
              <w:t>《</w:t>
            </w:r>
            <w:r>
              <w:rPr>
                <w:rFonts w:hint="eastAsia" w:ascii="Times New Roman" w:hAnsi="Times New Roman"/>
                <w:color w:val="auto"/>
                <w:sz w:val="21"/>
                <w:highlight w:val="none"/>
                <w:lang w:val="en-US" w:eastAsia="zh-CN"/>
              </w:rPr>
              <w:t>声环境质量标准</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lang w:val="en-US" w:eastAsia="zh-CN"/>
              </w:rPr>
              <w:t>GB3096-2008</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lang w:val="en-US" w:eastAsia="zh-CN"/>
              </w:rPr>
              <w:t>2类区和4a类区标准</w:t>
            </w:r>
          </w:p>
        </w:tc>
        <w:tc>
          <w:tcPr>
            <w:tcW w:w="656" w:type="dxa"/>
            <w:vAlign w:val="center"/>
          </w:tcPr>
          <w:p>
            <w:pPr>
              <w:jc w:val="center"/>
              <w:rPr>
                <w:color w:val="auto"/>
                <w:szCs w:val="21"/>
                <w:highlight w:val="none"/>
              </w:rPr>
            </w:pPr>
            <w:r>
              <w:rPr>
                <w:rFonts w:hint="eastAsia"/>
                <w:color w:val="auto"/>
                <w:szCs w:val="21"/>
                <w:highlight w:val="none"/>
                <w:lang w:val="en-US" w:eastAsia="zh-CN"/>
              </w:rPr>
              <w:t>东侧</w:t>
            </w:r>
          </w:p>
        </w:tc>
        <w:tc>
          <w:tcPr>
            <w:tcW w:w="885" w:type="dxa"/>
            <w:vAlign w:val="center"/>
          </w:tcPr>
          <w:p>
            <w:pPr>
              <w:jc w:val="center"/>
              <w:rPr>
                <w:color w:val="auto"/>
                <w:szCs w:val="21"/>
                <w:highlight w:val="none"/>
              </w:rPr>
            </w:pPr>
            <w:r>
              <w:rPr>
                <w:rFonts w:hint="eastAsia"/>
                <w:color w:val="auto"/>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Merge w:val="continue"/>
            <w:vAlign w:val="center"/>
          </w:tcPr>
          <w:p>
            <w:pPr>
              <w:pStyle w:val="496"/>
              <w:rPr>
                <w:rFonts w:ascii="Times New Roman" w:hAnsi="Times New Roman"/>
                <w:color w:val="auto"/>
                <w:sz w:val="21"/>
                <w:highlight w:val="none"/>
              </w:rPr>
            </w:pPr>
          </w:p>
        </w:tc>
        <w:tc>
          <w:tcPr>
            <w:tcW w:w="900" w:type="dxa"/>
            <w:vAlign w:val="center"/>
          </w:tcPr>
          <w:p>
            <w:pPr>
              <w:jc w:val="center"/>
              <w:rPr>
                <w:rFonts w:hint="eastAsia" w:ascii="Times New Roman" w:hAnsi="Times New Roman"/>
                <w:color w:val="auto"/>
                <w:sz w:val="21"/>
                <w:highlight w:val="none"/>
                <w:lang w:val="en-US" w:eastAsia="zh-CN"/>
              </w:rPr>
            </w:pPr>
            <w:r>
              <w:rPr>
                <w:rFonts w:hint="eastAsia"/>
                <w:color w:val="auto"/>
                <w:szCs w:val="21"/>
                <w:highlight w:val="none"/>
                <w:lang w:val="en-US" w:eastAsia="zh-CN"/>
              </w:rPr>
              <w:t>三月三</w:t>
            </w:r>
          </w:p>
        </w:tc>
        <w:tc>
          <w:tcPr>
            <w:tcW w:w="1276" w:type="dxa"/>
            <w:vAlign w:val="center"/>
          </w:tcPr>
          <w:p>
            <w:pPr>
              <w:widowControl/>
              <w:jc w:val="center"/>
              <w:textAlignment w:val="center"/>
              <w:rPr>
                <w:color w:val="auto"/>
                <w:kern w:val="0"/>
                <w:szCs w:val="21"/>
                <w:highlight w:val="none"/>
                <w:lang w:bidi="ar"/>
              </w:rPr>
            </w:pPr>
            <w:r>
              <w:rPr>
                <w:rFonts w:hint="eastAsia"/>
                <w:color w:val="auto"/>
                <w:szCs w:val="21"/>
                <w:highlight w:val="none"/>
                <w:lang w:val="en-US" w:eastAsia="zh-CN"/>
              </w:rPr>
              <w:t>103.233671</w:t>
            </w:r>
          </w:p>
        </w:tc>
        <w:tc>
          <w:tcPr>
            <w:tcW w:w="1261" w:type="dxa"/>
            <w:vAlign w:val="center"/>
          </w:tcPr>
          <w:p>
            <w:pPr>
              <w:widowControl/>
              <w:jc w:val="center"/>
              <w:textAlignment w:val="center"/>
              <w:rPr>
                <w:color w:val="auto"/>
                <w:kern w:val="0"/>
                <w:szCs w:val="21"/>
                <w:highlight w:val="none"/>
                <w:lang w:bidi="ar"/>
              </w:rPr>
            </w:pPr>
            <w:r>
              <w:rPr>
                <w:rFonts w:hint="eastAsia"/>
                <w:color w:val="auto"/>
                <w:szCs w:val="21"/>
                <w:highlight w:val="none"/>
                <w:lang w:val="en-US" w:eastAsia="zh-CN"/>
              </w:rPr>
              <w:t>25.544195</w:t>
            </w:r>
          </w:p>
        </w:tc>
        <w:tc>
          <w:tcPr>
            <w:tcW w:w="1012" w:type="dxa"/>
            <w:vAlign w:val="center"/>
          </w:tcPr>
          <w:p>
            <w:pPr>
              <w:jc w:val="center"/>
              <w:rPr>
                <w:color w:val="auto"/>
                <w:szCs w:val="21"/>
                <w:highlight w:val="none"/>
              </w:rPr>
            </w:pPr>
            <w:r>
              <w:rPr>
                <w:rFonts w:hint="eastAsia"/>
                <w:color w:val="auto"/>
                <w:szCs w:val="21"/>
                <w:highlight w:val="none"/>
                <w:lang w:val="en-US" w:eastAsia="zh-CN"/>
              </w:rPr>
              <w:t>1000人</w:t>
            </w:r>
          </w:p>
        </w:tc>
        <w:tc>
          <w:tcPr>
            <w:tcW w:w="1706" w:type="dxa"/>
            <w:vMerge w:val="continue"/>
            <w:vAlign w:val="center"/>
          </w:tcPr>
          <w:p>
            <w:pPr>
              <w:pStyle w:val="496"/>
              <w:rPr>
                <w:rFonts w:hint="default" w:ascii="Times New Roman" w:hAnsi="Times New Roman" w:eastAsia="宋体"/>
                <w:color w:val="auto"/>
                <w:sz w:val="21"/>
                <w:highlight w:val="none"/>
                <w:lang w:val="en-US" w:eastAsia="zh-CN"/>
              </w:rPr>
            </w:pPr>
          </w:p>
        </w:tc>
        <w:tc>
          <w:tcPr>
            <w:tcW w:w="656" w:type="dxa"/>
            <w:vAlign w:val="center"/>
          </w:tcPr>
          <w:p>
            <w:pPr>
              <w:jc w:val="center"/>
              <w:rPr>
                <w:color w:val="auto"/>
                <w:szCs w:val="21"/>
                <w:highlight w:val="none"/>
              </w:rPr>
            </w:pPr>
            <w:r>
              <w:rPr>
                <w:rFonts w:hint="eastAsia"/>
                <w:color w:val="auto"/>
                <w:szCs w:val="21"/>
                <w:highlight w:val="none"/>
                <w:lang w:val="en-US" w:eastAsia="zh-CN"/>
              </w:rPr>
              <w:t>东侧</w:t>
            </w:r>
          </w:p>
        </w:tc>
        <w:tc>
          <w:tcPr>
            <w:tcW w:w="885" w:type="dxa"/>
            <w:vAlign w:val="center"/>
          </w:tcPr>
          <w:p>
            <w:pPr>
              <w:jc w:val="center"/>
              <w:rPr>
                <w:color w:val="auto"/>
                <w:szCs w:val="21"/>
                <w:highlight w:val="none"/>
              </w:rPr>
            </w:pPr>
            <w:r>
              <w:rPr>
                <w:rFonts w:hint="eastAsia"/>
                <w:color w:val="auto"/>
                <w:szCs w:val="21"/>
                <w:highlight w:val="none"/>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3"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地表水</w:t>
            </w:r>
          </w:p>
          <w:p>
            <w:pPr>
              <w:pStyle w:val="496"/>
              <w:rPr>
                <w:rFonts w:ascii="Times New Roman" w:hAnsi="Times New Roman"/>
                <w:color w:val="auto"/>
                <w:sz w:val="21"/>
                <w:highlight w:val="none"/>
              </w:rPr>
            </w:pPr>
            <w:r>
              <w:rPr>
                <w:rFonts w:ascii="Times New Roman" w:hAnsi="Times New Roman"/>
                <w:color w:val="auto"/>
                <w:sz w:val="21"/>
                <w:highlight w:val="none"/>
              </w:rPr>
              <w:t>环境</w:t>
            </w:r>
          </w:p>
        </w:tc>
        <w:tc>
          <w:tcPr>
            <w:tcW w:w="2176" w:type="dxa"/>
            <w:gridSpan w:val="2"/>
            <w:vAlign w:val="center"/>
          </w:tcPr>
          <w:p>
            <w:pPr>
              <w:widowControl/>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三月三水库</w:t>
            </w:r>
          </w:p>
        </w:tc>
        <w:tc>
          <w:tcPr>
            <w:tcW w:w="2273" w:type="dxa"/>
            <w:gridSpan w:val="2"/>
            <w:vMerge w:val="restart"/>
            <w:vAlign w:val="center"/>
          </w:tcPr>
          <w:p>
            <w:pPr>
              <w:widowControl/>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三月三水库汇入前进河，最终进入牛栏江</w:t>
            </w:r>
          </w:p>
        </w:tc>
        <w:tc>
          <w:tcPr>
            <w:tcW w:w="1706" w:type="dxa"/>
            <w:vMerge w:val="restart"/>
            <w:vAlign w:val="center"/>
          </w:tcPr>
          <w:p>
            <w:pPr>
              <w:pStyle w:val="496"/>
              <w:rPr>
                <w:rFonts w:ascii="Times New Roman" w:hAnsi="Times New Roman"/>
                <w:color w:val="auto"/>
                <w:sz w:val="21"/>
                <w:highlight w:val="none"/>
              </w:rPr>
            </w:pPr>
            <w:r>
              <w:rPr>
                <w:rFonts w:ascii="Times New Roman" w:hAnsi="Times New Roman"/>
                <w:color w:val="auto"/>
                <w:sz w:val="21"/>
                <w:highlight w:val="none"/>
              </w:rPr>
              <w:t>《地表水环境质量标准》</w:t>
            </w:r>
            <w:r>
              <w:rPr>
                <w:rFonts w:hint="eastAsia" w:ascii="Times New Roman" w:hAnsi="Times New Roman"/>
                <w:color w:val="auto"/>
                <w:sz w:val="21"/>
                <w:highlight w:val="none"/>
              </w:rPr>
              <w:t>（</w:t>
            </w:r>
            <w:r>
              <w:rPr>
                <w:rFonts w:ascii="Times New Roman" w:hAnsi="Times New Roman"/>
                <w:color w:val="auto"/>
                <w:sz w:val="21"/>
                <w:highlight w:val="none"/>
              </w:rPr>
              <w:t>GB3838-2002</w:t>
            </w:r>
            <w:r>
              <w:rPr>
                <w:rFonts w:hint="eastAsia" w:ascii="Times New Roman" w:hAnsi="Times New Roman"/>
                <w:color w:val="auto"/>
                <w:sz w:val="21"/>
                <w:highlight w:val="none"/>
              </w:rPr>
              <w:t>）</w:t>
            </w:r>
            <w:r>
              <w:rPr>
                <w:rFonts w:ascii="Times New Roman" w:hAnsi="Times New Roman"/>
                <w:color w:val="auto"/>
                <w:sz w:val="21"/>
                <w:highlight w:val="none"/>
              </w:rPr>
              <w:t>Ⅲ类标准</w:t>
            </w:r>
          </w:p>
        </w:tc>
        <w:tc>
          <w:tcPr>
            <w:tcW w:w="656" w:type="dxa"/>
            <w:vAlign w:val="center"/>
          </w:tcPr>
          <w:p>
            <w:pPr>
              <w:widowControl/>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东侧</w:t>
            </w:r>
          </w:p>
        </w:tc>
        <w:tc>
          <w:tcPr>
            <w:tcW w:w="885" w:type="dxa"/>
            <w:vAlign w:val="center"/>
          </w:tcPr>
          <w:p>
            <w:pPr>
              <w:widowControl/>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3" w:type="dxa"/>
            <w:vMerge w:val="continue"/>
            <w:vAlign w:val="center"/>
          </w:tcPr>
          <w:p>
            <w:pPr>
              <w:pStyle w:val="496"/>
              <w:rPr>
                <w:color w:val="auto"/>
                <w:highlight w:val="none"/>
              </w:rPr>
            </w:pPr>
          </w:p>
        </w:tc>
        <w:tc>
          <w:tcPr>
            <w:tcW w:w="2176" w:type="dxa"/>
            <w:gridSpan w:val="2"/>
            <w:vAlign w:val="center"/>
          </w:tcPr>
          <w:p>
            <w:pPr>
              <w:widowControl/>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前进河</w:t>
            </w:r>
          </w:p>
        </w:tc>
        <w:tc>
          <w:tcPr>
            <w:tcW w:w="2273" w:type="dxa"/>
            <w:gridSpan w:val="2"/>
            <w:vMerge w:val="continue"/>
            <w:vAlign w:val="center"/>
          </w:tcPr>
          <w:p>
            <w:pPr>
              <w:widowControl/>
              <w:jc w:val="center"/>
              <w:textAlignment w:val="center"/>
              <w:rPr>
                <w:rFonts w:hint="eastAsia" w:ascii="Times New Roman" w:hAnsi="Times New Roman" w:eastAsia="宋体" w:cs="Times New Roman"/>
                <w:b w:val="0"/>
                <w:bCs w:val="0"/>
                <w:color w:val="auto"/>
                <w:szCs w:val="21"/>
                <w:highlight w:val="none"/>
                <w:lang w:val="en-US" w:eastAsia="zh-CN"/>
              </w:rPr>
            </w:pPr>
          </w:p>
        </w:tc>
        <w:tc>
          <w:tcPr>
            <w:tcW w:w="1706" w:type="dxa"/>
            <w:vMerge w:val="continue"/>
            <w:vAlign w:val="center"/>
          </w:tcPr>
          <w:p>
            <w:pPr>
              <w:pStyle w:val="496"/>
              <w:rPr>
                <w:rFonts w:ascii="Times New Roman" w:hAnsi="Times New Roman"/>
                <w:color w:val="auto"/>
                <w:sz w:val="21"/>
                <w:highlight w:val="none"/>
              </w:rPr>
            </w:pPr>
          </w:p>
        </w:tc>
        <w:tc>
          <w:tcPr>
            <w:tcW w:w="656" w:type="dxa"/>
            <w:vAlign w:val="center"/>
          </w:tcPr>
          <w:p>
            <w:pPr>
              <w:widowControl/>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东侧</w:t>
            </w:r>
          </w:p>
        </w:tc>
        <w:tc>
          <w:tcPr>
            <w:tcW w:w="885" w:type="dxa"/>
            <w:vAlign w:val="center"/>
          </w:tcPr>
          <w:p>
            <w:pPr>
              <w:widowControl/>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Align w:val="center"/>
          </w:tcPr>
          <w:p>
            <w:pPr>
              <w:pStyle w:val="496"/>
              <w:rPr>
                <w:rFonts w:ascii="Times New Roman" w:hAnsi="Times New Roman"/>
                <w:color w:val="auto"/>
                <w:sz w:val="21"/>
                <w:highlight w:val="none"/>
              </w:rPr>
            </w:pPr>
            <w:r>
              <w:rPr>
                <w:rFonts w:ascii="Times New Roman" w:hAnsi="Times New Roman"/>
                <w:color w:val="auto"/>
                <w:sz w:val="21"/>
                <w:highlight w:val="none"/>
              </w:rPr>
              <w:t>生态</w:t>
            </w:r>
          </w:p>
          <w:p>
            <w:pPr>
              <w:pStyle w:val="496"/>
              <w:rPr>
                <w:rFonts w:ascii="Times New Roman" w:hAnsi="Times New Roman"/>
                <w:color w:val="auto"/>
                <w:sz w:val="21"/>
                <w:highlight w:val="none"/>
              </w:rPr>
            </w:pPr>
            <w:r>
              <w:rPr>
                <w:rFonts w:ascii="Times New Roman" w:hAnsi="Times New Roman"/>
                <w:color w:val="auto"/>
                <w:sz w:val="21"/>
                <w:highlight w:val="none"/>
              </w:rPr>
              <w:t>环境</w:t>
            </w:r>
          </w:p>
        </w:tc>
        <w:tc>
          <w:tcPr>
            <w:tcW w:w="7696" w:type="dxa"/>
            <w:gridSpan w:val="7"/>
            <w:vAlign w:val="center"/>
          </w:tcPr>
          <w:p>
            <w:pPr>
              <w:pStyle w:val="496"/>
              <w:jc w:val="both"/>
              <w:rPr>
                <w:rFonts w:ascii="Times New Roman" w:hAnsi="Times New Roman"/>
                <w:color w:val="auto"/>
                <w:sz w:val="21"/>
                <w:highlight w:val="none"/>
              </w:rPr>
            </w:pPr>
            <w:r>
              <w:rPr>
                <w:rFonts w:ascii="Times New Roman" w:hAnsi="Times New Roman"/>
                <w:color w:val="auto"/>
                <w:sz w:val="21"/>
                <w:highlight w:val="none"/>
              </w:rPr>
              <w:t>项目占地范围内土壤、植被、水土流失等，保护项目拟建区域内的生态环境，防止水土流失，避免项目建设及运行对周边植被及土壤造成破坏，不改变周边生态环境原有功能。</w:t>
            </w:r>
          </w:p>
        </w:tc>
      </w:tr>
    </w:tbl>
    <w:p>
      <w:pPr>
        <w:pStyle w:val="3"/>
        <w:spacing w:before="0" w:after="0" w:line="360" w:lineRule="auto"/>
        <w:ind w:left="0"/>
        <w:textAlignment w:val="baseline"/>
        <w:rPr>
          <w:rFonts w:ascii="Times New Roman" w:hAnsi="Times New Roman" w:eastAsia="宋体"/>
          <w:color w:val="auto"/>
          <w:sz w:val="28"/>
          <w:szCs w:val="20"/>
          <w:highlight w:val="none"/>
        </w:rPr>
      </w:pPr>
      <w:bookmarkStart w:id="307" w:name="_Toc5173"/>
      <w:r>
        <w:rPr>
          <w:rFonts w:ascii="Times New Roman" w:hAnsi="Times New Roman" w:eastAsia="宋体"/>
          <w:color w:val="auto"/>
          <w:sz w:val="28"/>
          <w:szCs w:val="20"/>
          <w:highlight w:val="none"/>
        </w:rPr>
        <w:t>1.9环评工作程序</w:t>
      </w:r>
      <w:bookmarkEnd w:id="307"/>
    </w:p>
    <w:p>
      <w:pPr>
        <w:pStyle w:val="539"/>
        <w:spacing w:line="360" w:lineRule="auto"/>
        <w:ind w:firstLine="480"/>
        <w:rPr>
          <w:snapToGrid w:val="0"/>
          <w:color w:val="auto"/>
          <w:sz w:val="24"/>
          <w:highlight w:val="none"/>
        </w:rPr>
      </w:pPr>
      <w:r>
        <w:rPr>
          <w:snapToGrid w:val="0"/>
          <w:color w:val="auto"/>
          <w:sz w:val="24"/>
          <w:highlight w:val="none"/>
        </w:rPr>
        <w:t>环境影响评价工作程序见下图1.9-1。</w:t>
      </w:r>
    </w:p>
    <w:p>
      <w:pPr>
        <w:spacing w:line="360" w:lineRule="auto"/>
        <w:jc w:val="center"/>
        <w:rPr>
          <w:color w:val="auto"/>
          <w:highlight w:val="none"/>
        </w:rPr>
      </w:pPr>
      <w:r>
        <w:rPr>
          <w:color w:val="auto"/>
          <w:highlight w:val="none"/>
        </w:rPr>
        <w:drawing>
          <wp:inline distT="0" distB="0" distL="114300" distR="114300">
            <wp:extent cx="5274945" cy="6672580"/>
            <wp:effectExtent l="0" t="0" r="1905" b="1397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3"/>
                    <a:stretch>
                      <a:fillRect/>
                    </a:stretch>
                  </pic:blipFill>
                  <pic:spPr>
                    <a:xfrm>
                      <a:off x="0" y="0"/>
                      <a:ext cx="5274945" cy="6672580"/>
                    </a:xfrm>
                    <a:prstGeom prst="rect">
                      <a:avLst/>
                    </a:prstGeom>
                    <a:noFill/>
                    <a:ln>
                      <a:noFill/>
                    </a:ln>
                  </pic:spPr>
                </pic:pic>
              </a:graphicData>
            </a:graphic>
          </wp:inline>
        </w:drawing>
      </w:r>
    </w:p>
    <w:p>
      <w:pPr>
        <w:pStyle w:val="539"/>
        <w:spacing w:line="360" w:lineRule="auto"/>
        <w:ind w:firstLine="482"/>
        <w:jc w:val="center"/>
        <w:rPr>
          <w:b/>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b/>
          <w:color w:val="auto"/>
          <w:sz w:val="24"/>
          <w:highlight w:val="none"/>
        </w:rPr>
        <w:t>图1.</w:t>
      </w:r>
      <w:r>
        <w:rPr>
          <w:rFonts w:hint="eastAsia"/>
          <w:b/>
          <w:color w:val="auto"/>
          <w:sz w:val="24"/>
          <w:highlight w:val="none"/>
          <w:lang w:val="en-US" w:eastAsia="zh-CN"/>
        </w:rPr>
        <w:t>9</w:t>
      </w:r>
      <w:r>
        <w:rPr>
          <w:b/>
          <w:color w:val="auto"/>
          <w:sz w:val="24"/>
          <w:highlight w:val="none"/>
        </w:rPr>
        <w:t>-1  环境影响评价工作程序图</w:t>
      </w:r>
    </w:p>
    <w:p>
      <w:pPr>
        <w:pStyle w:val="2"/>
        <w:spacing w:before="0" w:after="0" w:line="360" w:lineRule="auto"/>
        <w:rPr>
          <w:color w:val="auto"/>
          <w:highlight w:val="none"/>
        </w:rPr>
      </w:pPr>
      <w:bookmarkStart w:id="308" w:name="_Toc591"/>
      <w:r>
        <w:rPr>
          <w:color w:val="auto"/>
          <w:sz w:val="32"/>
          <w:szCs w:val="32"/>
          <w:highlight w:val="none"/>
        </w:rPr>
        <w:fldChar w:fldCharType="begin"/>
      </w:r>
      <w:r>
        <w:rPr>
          <w:color w:val="auto"/>
          <w:sz w:val="32"/>
          <w:szCs w:val="32"/>
          <w:highlight w:val="none"/>
        </w:rPr>
        <w:instrText xml:space="preserve"> HYPERLINK "file:///H:\\2015环评报告\\2015-01平利县龙洞湾重晶石矿\\环评正文\\平利县龙洞湾重晶石矿采矿项目送审稿\\l" </w:instrText>
      </w:r>
      <w:r>
        <w:rPr>
          <w:color w:val="auto"/>
          <w:sz w:val="32"/>
          <w:szCs w:val="32"/>
          <w:highlight w:val="none"/>
        </w:rPr>
        <w:fldChar w:fldCharType="separate"/>
      </w:r>
      <w:bookmarkStart w:id="309" w:name="_Toc75908619"/>
      <w:r>
        <w:rPr>
          <w:color w:val="auto"/>
          <w:sz w:val="32"/>
          <w:szCs w:val="32"/>
          <w:highlight w:val="none"/>
        </w:rPr>
        <w:t>2、项目概况</w:t>
      </w:r>
      <w:bookmarkEnd w:id="309"/>
      <w:r>
        <w:rPr>
          <w:color w:val="auto"/>
          <w:sz w:val="32"/>
          <w:szCs w:val="32"/>
          <w:highlight w:val="none"/>
        </w:rPr>
        <w:fldChar w:fldCharType="end"/>
      </w:r>
      <w:bookmarkEnd w:id="308"/>
    </w:p>
    <w:p>
      <w:pPr>
        <w:keepNext/>
        <w:keepLines/>
        <w:spacing w:line="360" w:lineRule="auto"/>
        <w:outlineLvl w:val="1"/>
        <w:rPr>
          <w:b/>
          <w:color w:val="auto"/>
          <w:sz w:val="28"/>
          <w:szCs w:val="32"/>
          <w:highlight w:val="none"/>
        </w:rPr>
      </w:pPr>
      <w:bookmarkStart w:id="310" w:name="_Toc75908620"/>
      <w:bookmarkStart w:id="311" w:name="_Toc12234"/>
      <w:r>
        <w:rPr>
          <w:b/>
          <w:color w:val="auto"/>
          <w:sz w:val="28"/>
          <w:szCs w:val="32"/>
          <w:highlight w:val="none"/>
        </w:rPr>
        <w:t>2.</w:t>
      </w:r>
      <w:r>
        <w:rPr>
          <w:rFonts w:hint="eastAsia"/>
          <w:b/>
          <w:color w:val="auto"/>
          <w:sz w:val="28"/>
          <w:szCs w:val="32"/>
          <w:highlight w:val="none"/>
          <w:lang w:val="en-US" w:eastAsia="zh-CN"/>
        </w:rPr>
        <w:t>1</w:t>
      </w:r>
      <w:r>
        <w:rPr>
          <w:b/>
          <w:color w:val="auto"/>
          <w:sz w:val="28"/>
          <w:szCs w:val="32"/>
          <w:highlight w:val="none"/>
        </w:rPr>
        <w:t>项目基本情况</w:t>
      </w:r>
      <w:bookmarkEnd w:id="310"/>
      <w:bookmarkEnd w:id="311"/>
    </w:p>
    <w:p>
      <w:pPr>
        <w:spacing w:line="360" w:lineRule="auto"/>
        <w:ind w:firstLine="480" w:firstLineChars="200"/>
        <w:rPr>
          <w:color w:val="auto"/>
          <w:sz w:val="24"/>
          <w:highlight w:val="none"/>
        </w:rPr>
      </w:pPr>
      <w:r>
        <w:rPr>
          <w:color w:val="auto"/>
          <w:sz w:val="24"/>
          <w:highlight w:val="none"/>
        </w:rPr>
        <w:t>（1）项目名称：</w:t>
      </w:r>
      <w:r>
        <w:rPr>
          <w:rFonts w:hint="eastAsia"/>
          <w:color w:val="auto"/>
          <w:sz w:val="24"/>
          <w:highlight w:val="none"/>
          <w:lang w:val="en-US" w:eastAsia="zh-CN"/>
        </w:rPr>
        <w:t>寻甸县蜀滇塑料制品经营部蔬菜框生产</w:t>
      </w:r>
      <w:r>
        <w:rPr>
          <w:color w:val="auto"/>
          <w:sz w:val="24"/>
          <w:highlight w:val="none"/>
        </w:rPr>
        <w:t>项目</w:t>
      </w:r>
    </w:p>
    <w:p>
      <w:pPr>
        <w:spacing w:line="360" w:lineRule="auto"/>
        <w:ind w:firstLine="480" w:firstLineChars="200"/>
        <w:rPr>
          <w:color w:val="auto"/>
          <w:sz w:val="24"/>
          <w:highlight w:val="none"/>
        </w:rPr>
      </w:pPr>
      <w:r>
        <w:rPr>
          <w:color w:val="auto"/>
          <w:sz w:val="24"/>
          <w:highlight w:val="none"/>
        </w:rPr>
        <w:t>（2）建设单位：</w:t>
      </w:r>
      <w:r>
        <w:rPr>
          <w:rFonts w:hint="eastAsia"/>
          <w:color w:val="auto"/>
          <w:sz w:val="24"/>
          <w:highlight w:val="none"/>
          <w:lang w:val="en-US" w:eastAsia="zh-CN"/>
        </w:rPr>
        <w:t>寻甸县蜀滇塑料制品经营部</w:t>
      </w:r>
    </w:p>
    <w:p>
      <w:pPr>
        <w:widowControl/>
        <w:spacing w:line="360" w:lineRule="auto"/>
        <w:ind w:firstLine="480" w:firstLineChars="200"/>
        <w:jc w:val="left"/>
        <w:rPr>
          <w:color w:val="auto"/>
          <w:sz w:val="24"/>
          <w:highlight w:val="none"/>
        </w:rPr>
      </w:pPr>
      <w:r>
        <w:rPr>
          <w:color w:val="auto"/>
          <w:sz w:val="24"/>
          <w:highlight w:val="none"/>
        </w:rPr>
        <w:t>（3）建设性质：新建</w:t>
      </w:r>
    </w:p>
    <w:p>
      <w:pPr>
        <w:spacing w:line="360" w:lineRule="auto"/>
        <w:ind w:firstLine="480" w:firstLineChars="200"/>
        <w:rPr>
          <w:rFonts w:hint="default" w:eastAsia="宋体"/>
          <w:color w:val="auto"/>
          <w:sz w:val="24"/>
          <w:highlight w:val="none"/>
          <w:lang w:val="en-US" w:eastAsia="zh-CN"/>
        </w:rPr>
      </w:pPr>
      <w:r>
        <w:rPr>
          <w:color w:val="auto"/>
          <w:sz w:val="24"/>
          <w:highlight w:val="none"/>
        </w:rPr>
        <w:t>（4）建设地点：</w:t>
      </w:r>
      <w:r>
        <w:rPr>
          <w:rFonts w:hint="eastAsia"/>
          <w:color w:val="auto"/>
          <w:sz w:val="24"/>
          <w:highlight w:val="none"/>
          <w:lang w:val="en-US" w:eastAsia="zh-CN"/>
        </w:rPr>
        <w:t>寻甸县仁德街道建设社区三月三村</w:t>
      </w:r>
    </w:p>
    <w:p>
      <w:pPr>
        <w:spacing w:line="360" w:lineRule="auto"/>
        <w:ind w:firstLine="480" w:firstLineChars="200"/>
        <w:rPr>
          <w:rFonts w:hint="default"/>
          <w:color w:val="auto"/>
          <w:sz w:val="24"/>
          <w:highlight w:val="none"/>
          <w:lang w:val="en-US" w:eastAsia="zh-CN"/>
        </w:rPr>
      </w:pPr>
      <w:r>
        <w:rPr>
          <w:color w:val="auto"/>
          <w:sz w:val="24"/>
          <w:highlight w:val="none"/>
        </w:rPr>
        <w:t>（5）建设规模及内容：</w:t>
      </w:r>
      <w:r>
        <w:rPr>
          <w:rFonts w:hint="eastAsia"/>
          <w:color w:val="auto"/>
          <w:sz w:val="24"/>
          <w:highlight w:val="none"/>
        </w:rPr>
        <w:t>项目总用地</w:t>
      </w:r>
      <w:r>
        <w:rPr>
          <w:rFonts w:hint="eastAsia"/>
          <w:color w:val="auto"/>
          <w:sz w:val="24"/>
          <w:highlight w:val="none"/>
          <w:lang w:val="en-US" w:eastAsia="zh-CN"/>
        </w:rPr>
        <w:t>1994.56平方米，建筑面积约1060平方米， 其中生产车间500平方米，仓库270平方米，综合辅助设施290平方米，项目建成后预计年生产50万只蔬菜框。</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color w:val="auto"/>
          <w:sz w:val="24"/>
          <w:highlight w:val="none"/>
        </w:rPr>
        <w:t>（</w:t>
      </w:r>
      <w:r>
        <w:rPr>
          <w:rFonts w:hint="eastAsia"/>
          <w:color w:val="auto"/>
          <w:sz w:val="24"/>
          <w:highlight w:val="none"/>
        </w:rPr>
        <w:t>6</w:t>
      </w:r>
      <w:r>
        <w:rPr>
          <w:color w:val="auto"/>
          <w:sz w:val="24"/>
          <w:highlight w:val="none"/>
        </w:rPr>
        <w:t>）投资规模：总投资</w:t>
      </w:r>
      <w:r>
        <w:rPr>
          <w:rFonts w:hint="eastAsia"/>
          <w:color w:val="auto"/>
          <w:sz w:val="24"/>
          <w:highlight w:val="none"/>
          <w:lang w:val="en-US" w:eastAsia="zh-CN"/>
        </w:rPr>
        <w:t>50</w:t>
      </w:r>
      <w:r>
        <w:rPr>
          <w:rFonts w:hint="eastAsia" w:ascii="Times New Roman" w:hAnsi="Times New Roman" w:eastAsia="宋体" w:cs="Times New Roman"/>
          <w:color w:val="auto"/>
          <w:kern w:val="0"/>
          <w:sz w:val="24"/>
          <w:highlight w:val="none"/>
          <w:lang w:val="en-US" w:eastAsia="zh-CN"/>
        </w:rPr>
        <w:t>0万元，其中环保投资为4</w:t>
      </w:r>
      <w:r>
        <w:rPr>
          <w:rFonts w:hint="eastAsia"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.8万元，占总投资的8.</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6%。</w:t>
      </w:r>
    </w:p>
    <w:p>
      <w:pPr>
        <w:keepNext/>
        <w:keepLines/>
        <w:spacing w:line="360" w:lineRule="auto"/>
        <w:outlineLvl w:val="1"/>
        <w:rPr>
          <w:b/>
          <w:color w:val="auto"/>
          <w:sz w:val="28"/>
          <w:szCs w:val="32"/>
          <w:highlight w:val="none"/>
        </w:rPr>
      </w:pPr>
      <w:bookmarkStart w:id="312" w:name="_Toc75908621"/>
      <w:bookmarkStart w:id="313" w:name="_Toc22577"/>
      <w:r>
        <w:rPr>
          <w:b/>
          <w:color w:val="auto"/>
          <w:sz w:val="28"/>
          <w:szCs w:val="32"/>
          <w:highlight w:val="none"/>
        </w:rPr>
        <w:t>2.</w:t>
      </w:r>
      <w:r>
        <w:rPr>
          <w:rFonts w:hint="eastAsia"/>
          <w:b/>
          <w:color w:val="auto"/>
          <w:sz w:val="28"/>
          <w:szCs w:val="32"/>
          <w:highlight w:val="none"/>
          <w:lang w:val="en-US" w:eastAsia="zh-CN"/>
        </w:rPr>
        <w:t>2</w:t>
      </w:r>
      <w:r>
        <w:rPr>
          <w:b/>
          <w:color w:val="auto"/>
          <w:sz w:val="28"/>
          <w:szCs w:val="32"/>
          <w:highlight w:val="none"/>
        </w:rPr>
        <w:t>项目</w:t>
      </w:r>
      <w:bookmarkEnd w:id="312"/>
      <w:r>
        <w:rPr>
          <w:b/>
          <w:color w:val="auto"/>
          <w:sz w:val="28"/>
          <w:szCs w:val="32"/>
          <w:highlight w:val="none"/>
        </w:rPr>
        <w:t>建设内容</w:t>
      </w:r>
      <w:bookmarkEnd w:id="313"/>
    </w:p>
    <w:p>
      <w:pPr>
        <w:spacing w:line="360" w:lineRule="auto"/>
        <w:ind w:firstLine="480" w:firstLineChars="200"/>
        <w:rPr>
          <w:color w:val="auto"/>
          <w:sz w:val="24"/>
          <w:highlight w:val="none"/>
        </w:rPr>
      </w:pPr>
      <w:r>
        <w:rPr>
          <w:rFonts w:hint="eastAsia" w:ascii="Times New Roman" w:hAnsi="Times New Roman" w:eastAsia="宋体" w:cs="Times New Roman"/>
          <w:color w:val="auto"/>
          <w:kern w:val="0"/>
          <w:sz w:val="24"/>
          <w:highlight w:val="none"/>
          <w:lang w:val="en-US" w:eastAsia="zh-CN"/>
        </w:rPr>
        <w:t>项目租用昆明市寻甸县仁德街道建设社区三月三原铸造厂的厂房，对现有厂房进行改造，配备注塑设备及其他附属设施，建设6条塑料制品加工生产线，年产50万只塑料蔬菜框，本项目管理人员、工作人员均为附近村民，不在项目区内食宿，厂区内不设置食堂、不设住宿区。根据现场踏勘，厂房内目前为空置，由于多年未使用，本项目</w:t>
      </w:r>
      <w:r>
        <w:rPr>
          <w:rFonts w:ascii="Times New Roman" w:hAnsi="Times New Roman" w:eastAsia="宋体" w:cs="Times New Roman"/>
          <w:color w:val="auto"/>
          <w:kern w:val="0"/>
          <w:sz w:val="24"/>
          <w:highlight w:val="none"/>
        </w:rPr>
        <w:t>建设单位主要对租用厂房进行</w:t>
      </w:r>
      <w:r>
        <w:rPr>
          <w:color w:val="auto"/>
          <w:sz w:val="24"/>
          <w:highlight w:val="none"/>
        </w:rPr>
        <w:t>装修，合理布局生产设施设备，新建生产线，同时</w:t>
      </w:r>
      <w:r>
        <w:rPr>
          <w:color w:val="auto"/>
          <w:kern w:val="0"/>
          <w:sz w:val="24"/>
          <w:highlight w:val="none"/>
        </w:rPr>
        <w:t>配套相应的辅助设施和环保设施。</w:t>
      </w:r>
    </w:p>
    <w:p>
      <w:pPr>
        <w:spacing w:line="360" w:lineRule="auto"/>
        <w:ind w:firstLine="480" w:firstLineChars="200"/>
        <w:rPr>
          <w:color w:val="auto"/>
          <w:kern w:val="0"/>
          <w:sz w:val="24"/>
          <w:highlight w:val="none"/>
        </w:rPr>
      </w:pPr>
      <w:r>
        <w:rPr>
          <w:color w:val="auto"/>
          <w:kern w:val="0"/>
          <w:sz w:val="24"/>
          <w:highlight w:val="none"/>
        </w:rPr>
        <w:t>本项目主要建设内容分为主体工程、辅助工程、公用工程、储运工程、环保工程。</w:t>
      </w:r>
    </w:p>
    <w:p>
      <w:pPr>
        <w:spacing w:line="360" w:lineRule="auto"/>
        <w:jc w:val="center"/>
        <w:rPr>
          <w:b/>
          <w:color w:val="auto"/>
          <w:kern w:val="0"/>
          <w:sz w:val="24"/>
          <w:highlight w:val="none"/>
        </w:rPr>
      </w:pPr>
      <w:r>
        <w:rPr>
          <w:b/>
          <w:color w:val="auto"/>
          <w:kern w:val="0"/>
          <w:sz w:val="24"/>
          <w:highlight w:val="none"/>
        </w:rPr>
        <w:t>表2.</w:t>
      </w:r>
      <w:r>
        <w:rPr>
          <w:rFonts w:hint="eastAsia"/>
          <w:b/>
          <w:color w:val="auto"/>
          <w:kern w:val="0"/>
          <w:sz w:val="24"/>
          <w:highlight w:val="none"/>
          <w:lang w:val="en-US" w:eastAsia="zh-CN"/>
        </w:rPr>
        <w:t>2</w:t>
      </w:r>
      <w:r>
        <w:rPr>
          <w:b/>
          <w:color w:val="auto"/>
          <w:kern w:val="0"/>
          <w:sz w:val="24"/>
          <w:highlight w:val="none"/>
        </w:rPr>
        <w:t>-1  建设项目组成及主要建设内容一览表</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961"/>
        <w:gridCol w:w="1132"/>
        <w:gridCol w:w="404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jc w:val="center"/>
              <w:rPr>
                <w:b/>
                <w:snapToGrid w:val="0"/>
                <w:color w:val="auto"/>
                <w:szCs w:val="21"/>
                <w:highlight w:val="none"/>
              </w:rPr>
            </w:pPr>
            <w:r>
              <w:rPr>
                <w:b/>
                <w:snapToGrid w:val="0"/>
                <w:color w:val="auto"/>
                <w:szCs w:val="21"/>
                <w:highlight w:val="none"/>
              </w:rPr>
              <w:t>工程</w:t>
            </w:r>
          </w:p>
          <w:p>
            <w:pPr>
              <w:jc w:val="center"/>
              <w:rPr>
                <w:b/>
                <w:snapToGrid w:val="0"/>
                <w:color w:val="auto"/>
                <w:szCs w:val="21"/>
                <w:highlight w:val="none"/>
              </w:rPr>
            </w:pPr>
            <w:r>
              <w:rPr>
                <w:b/>
                <w:snapToGrid w:val="0"/>
                <w:color w:val="auto"/>
                <w:szCs w:val="21"/>
                <w:highlight w:val="none"/>
              </w:rPr>
              <w:t>类别</w:t>
            </w:r>
          </w:p>
        </w:tc>
        <w:tc>
          <w:tcPr>
            <w:tcW w:w="961" w:type="dxa"/>
            <w:vAlign w:val="center"/>
          </w:tcPr>
          <w:p>
            <w:pPr>
              <w:jc w:val="center"/>
              <w:rPr>
                <w:b/>
                <w:snapToGrid w:val="0"/>
                <w:color w:val="auto"/>
                <w:szCs w:val="21"/>
                <w:highlight w:val="none"/>
              </w:rPr>
            </w:pPr>
            <w:r>
              <w:rPr>
                <w:b/>
                <w:snapToGrid w:val="0"/>
                <w:color w:val="auto"/>
                <w:szCs w:val="21"/>
                <w:highlight w:val="none"/>
              </w:rPr>
              <w:t>工程</w:t>
            </w:r>
          </w:p>
          <w:p>
            <w:pPr>
              <w:jc w:val="center"/>
              <w:rPr>
                <w:b/>
                <w:snapToGrid w:val="0"/>
                <w:color w:val="auto"/>
                <w:szCs w:val="21"/>
                <w:highlight w:val="none"/>
              </w:rPr>
            </w:pPr>
            <w:r>
              <w:rPr>
                <w:b/>
                <w:snapToGrid w:val="0"/>
                <w:color w:val="auto"/>
                <w:szCs w:val="21"/>
                <w:highlight w:val="none"/>
              </w:rPr>
              <w:t>名称</w:t>
            </w:r>
          </w:p>
        </w:tc>
        <w:tc>
          <w:tcPr>
            <w:tcW w:w="5172" w:type="dxa"/>
            <w:gridSpan w:val="2"/>
            <w:vAlign w:val="center"/>
          </w:tcPr>
          <w:p>
            <w:pPr>
              <w:jc w:val="center"/>
              <w:rPr>
                <w:b/>
                <w:snapToGrid w:val="0"/>
                <w:color w:val="auto"/>
                <w:szCs w:val="21"/>
                <w:highlight w:val="none"/>
              </w:rPr>
            </w:pPr>
            <w:r>
              <w:rPr>
                <w:b/>
                <w:snapToGrid w:val="0"/>
                <w:color w:val="auto"/>
                <w:szCs w:val="21"/>
                <w:highlight w:val="none"/>
              </w:rPr>
              <w:t>主要建设内容</w:t>
            </w:r>
          </w:p>
        </w:tc>
        <w:tc>
          <w:tcPr>
            <w:tcW w:w="1559" w:type="dxa"/>
            <w:vAlign w:val="center"/>
          </w:tcPr>
          <w:p>
            <w:pPr>
              <w:jc w:val="center"/>
              <w:rPr>
                <w:b/>
                <w:color w:val="auto"/>
                <w:szCs w:val="21"/>
                <w:highlight w:val="none"/>
              </w:rPr>
            </w:pPr>
            <w:r>
              <w:rPr>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vAlign w:val="center"/>
          </w:tcPr>
          <w:p>
            <w:pPr>
              <w:jc w:val="center"/>
              <w:rPr>
                <w:color w:val="auto"/>
                <w:szCs w:val="21"/>
                <w:highlight w:val="none"/>
              </w:rPr>
            </w:pPr>
            <w:r>
              <w:rPr>
                <w:color w:val="auto"/>
                <w:szCs w:val="21"/>
                <w:highlight w:val="none"/>
              </w:rPr>
              <w:t>主体</w:t>
            </w:r>
          </w:p>
          <w:p>
            <w:pPr>
              <w:jc w:val="center"/>
              <w:rPr>
                <w:b/>
                <w:snapToGrid w:val="0"/>
                <w:color w:val="auto"/>
                <w:szCs w:val="21"/>
                <w:highlight w:val="none"/>
              </w:rPr>
            </w:pPr>
            <w:r>
              <w:rPr>
                <w:color w:val="auto"/>
                <w:szCs w:val="21"/>
                <w:highlight w:val="none"/>
              </w:rPr>
              <w:t>工程</w:t>
            </w:r>
          </w:p>
        </w:tc>
        <w:tc>
          <w:tcPr>
            <w:tcW w:w="961" w:type="dxa"/>
            <w:vAlign w:val="center"/>
          </w:tcPr>
          <w:p>
            <w:pPr>
              <w:jc w:val="center"/>
              <w:rPr>
                <w:snapToGrid w:val="0"/>
                <w:color w:val="auto"/>
                <w:szCs w:val="21"/>
                <w:highlight w:val="none"/>
              </w:rPr>
            </w:pPr>
            <w:r>
              <w:rPr>
                <w:snapToGrid w:val="0"/>
                <w:color w:val="auto"/>
                <w:szCs w:val="21"/>
                <w:highlight w:val="none"/>
              </w:rPr>
              <w:t>生产车间</w:t>
            </w:r>
          </w:p>
        </w:tc>
        <w:tc>
          <w:tcPr>
            <w:tcW w:w="5172" w:type="dxa"/>
            <w:gridSpan w:val="2"/>
            <w:vAlign w:val="center"/>
          </w:tcPr>
          <w:p>
            <w:pPr>
              <w:rPr>
                <w:rFonts w:hint="default" w:eastAsia="宋体"/>
                <w:b/>
                <w:snapToGrid w:val="0"/>
                <w:color w:val="auto"/>
                <w:szCs w:val="21"/>
                <w:highlight w:val="none"/>
                <w:lang w:val="en-US" w:eastAsia="zh-CN"/>
              </w:rPr>
            </w:pPr>
            <w:r>
              <w:rPr>
                <w:rFonts w:hint="eastAsia" w:cs="Times New Roman"/>
                <w:color w:val="auto"/>
                <w:highlight w:val="none"/>
                <w:lang w:val="en-US" w:eastAsia="zh-CN"/>
              </w:rPr>
              <w:t>位于厂区东南侧，建筑面积500m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，为单层钢架结构，</w:t>
            </w:r>
            <w:r>
              <w:rPr>
                <w:rFonts w:hint="eastAsia"/>
                <w:color w:val="auto"/>
                <w:highlight w:val="none"/>
                <w:lang w:val="en-US" w:eastAsia="zh-CN"/>
              </w:rPr>
              <w:t>高度约为7m，</w:t>
            </w:r>
            <w:r>
              <w:rPr>
                <w:rFonts w:hint="eastAsia" w:cs="Times New Roman"/>
                <w:color w:val="auto"/>
                <w:highlight w:val="none"/>
                <w:lang w:val="en-US" w:eastAsia="zh-CN"/>
              </w:rPr>
              <w:t>三面封闭，内设拌料、注塑、修边、检验、破碎等工段，设有6条塑料框生产线，其中搅拌、破碎、修边、检验工段为共用。</w:t>
            </w:r>
          </w:p>
        </w:tc>
        <w:tc>
          <w:tcPr>
            <w:tcW w:w="1559" w:type="dxa"/>
            <w:vAlign w:val="center"/>
          </w:tcPr>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新建，</w:t>
            </w:r>
            <w:r>
              <w:rPr>
                <w:rFonts w:hint="eastAsia" w:ascii="Times New Roman" w:hAnsi="Times New Roman" w:eastAsia="宋体" w:cs="Times New Roman"/>
                <w:color w:val="auto"/>
                <w:szCs w:val="21"/>
                <w:highlight w:val="none"/>
              </w:rPr>
              <w:t>依托现有厂房进行装修建设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Align w:val="center"/>
          </w:tcPr>
          <w:p>
            <w:pPr>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原料仓库</w:t>
            </w:r>
          </w:p>
        </w:tc>
        <w:tc>
          <w:tcPr>
            <w:tcW w:w="5172" w:type="dxa"/>
            <w:gridSpan w:val="2"/>
            <w:vAlign w:val="center"/>
          </w:tcPr>
          <w:p>
            <w:pPr>
              <w:rPr>
                <w:rFonts w:hint="default" w:eastAsia="宋体"/>
                <w:color w:val="auto"/>
                <w:szCs w:val="21"/>
                <w:highlight w:val="none"/>
                <w:lang w:val="en-US" w:eastAsia="zh-CN"/>
              </w:rPr>
            </w:pPr>
            <w:r>
              <w:rPr>
                <w:rFonts w:hint="eastAsia"/>
                <w:color w:val="auto"/>
                <w:szCs w:val="21"/>
                <w:highlight w:val="none"/>
                <w:lang w:val="en-US" w:eastAsia="zh-CN"/>
              </w:rPr>
              <w:t>在生产车间北侧设1个原料仓库，高度约为7m，建筑面积130m</w:t>
            </w:r>
            <w:r>
              <w:rPr>
                <w:rFonts w:hint="eastAsia"/>
                <w:color w:val="auto"/>
                <w:szCs w:val="21"/>
                <w:highlight w:val="none"/>
                <w:vertAlign w:val="superscript"/>
                <w:lang w:val="en-US" w:eastAsia="zh-CN"/>
              </w:rPr>
              <w:t>2</w:t>
            </w:r>
            <w:r>
              <w:rPr>
                <w:rFonts w:hint="eastAsia"/>
                <w:color w:val="auto"/>
                <w:szCs w:val="21"/>
                <w:highlight w:val="none"/>
                <w:lang w:val="en-US" w:eastAsia="zh-CN"/>
              </w:rPr>
              <w:t>，主要用于堆放聚丙烯树脂颗粒（新料、再生料）等原辅料。</w:t>
            </w:r>
          </w:p>
        </w:tc>
        <w:tc>
          <w:tcPr>
            <w:tcW w:w="1559" w:type="dxa"/>
            <w:vAlign w:val="center"/>
          </w:tcPr>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新建，</w:t>
            </w:r>
            <w:r>
              <w:rPr>
                <w:rFonts w:hint="eastAsia" w:ascii="Times New Roman" w:hAnsi="Times New Roman" w:eastAsia="宋体" w:cs="Times New Roman"/>
                <w:color w:val="auto"/>
                <w:szCs w:val="21"/>
                <w:highlight w:val="none"/>
              </w:rPr>
              <w:t>依托现有厂房进行装修建设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Align w:val="center"/>
          </w:tcPr>
          <w:p>
            <w:pPr>
              <w:jc w:val="center"/>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成品堆存区</w:t>
            </w:r>
          </w:p>
        </w:tc>
        <w:tc>
          <w:tcPr>
            <w:tcW w:w="5172" w:type="dxa"/>
            <w:gridSpan w:val="2"/>
            <w:vAlign w:val="center"/>
          </w:tcPr>
          <w:p>
            <w:pPr>
              <w:rPr>
                <w:rFonts w:hint="default" w:eastAsia="宋体"/>
                <w:color w:val="auto"/>
                <w:szCs w:val="21"/>
                <w:highlight w:val="none"/>
                <w:lang w:val="en-US" w:eastAsia="zh-CN"/>
              </w:rPr>
            </w:pPr>
            <w:r>
              <w:rPr>
                <w:rFonts w:hint="eastAsia"/>
                <w:color w:val="auto"/>
                <w:szCs w:val="21"/>
                <w:highlight w:val="none"/>
                <w:lang w:val="en-US" w:eastAsia="zh-CN"/>
              </w:rPr>
              <w:t>在生产车间西侧设1个成品堆存区，占地面积140m</w:t>
            </w:r>
            <w:r>
              <w:rPr>
                <w:rFonts w:hint="eastAsia"/>
                <w:color w:val="auto"/>
                <w:szCs w:val="21"/>
                <w:highlight w:val="none"/>
                <w:vertAlign w:val="superscript"/>
                <w:lang w:val="en-US" w:eastAsia="zh-CN"/>
              </w:rPr>
              <w:t>2</w:t>
            </w:r>
            <w:r>
              <w:rPr>
                <w:rFonts w:hint="eastAsia"/>
                <w:color w:val="auto"/>
                <w:szCs w:val="21"/>
                <w:highlight w:val="none"/>
                <w:lang w:val="en-US" w:eastAsia="zh-CN"/>
              </w:rPr>
              <w:t>，主要用于堆放塑料框成品。</w:t>
            </w:r>
          </w:p>
        </w:tc>
        <w:tc>
          <w:tcPr>
            <w:tcW w:w="1559"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vAlign w:val="center"/>
          </w:tcPr>
          <w:p>
            <w:pPr>
              <w:jc w:val="center"/>
              <w:rPr>
                <w:color w:val="auto"/>
                <w:szCs w:val="21"/>
                <w:highlight w:val="none"/>
              </w:rPr>
            </w:pPr>
            <w:r>
              <w:rPr>
                <w:color w:val="auto"/>
                <w:szCs w:val="21"/>
                <w:highlight w:val="none"/>
              </w:rPr>
              <w:t>辅助</w:t>
            </w:r>
          </w:p>
          <w:p>
            <w:pPr>
              <w:jc w:val="center"/>
              <w:rPr>
                <w:color w:val="auto"/>
                <w:szCs w:val="21"/>
                <w:highlight w:val="none"/>
              </w:rPr>
            </w:pPr>
            <w:r>
              <w:rPr>
                <w:color w:val="auto"/>
                <w:szCs w:val="21"/>
                <w:highlight w:val="none"/>
              </w:rPr>
              <w:t>工程</w:t>
            </w:r>
          </w:p>
        </w:tc>
        <w:tc>
          <w:tcPr>
            <w:tcW w:w="961" w:type="dxa"/>
            <w:vAlign w:val="center"/>
          </w:tcPr>
          <w:p>
            <w:pPr>
              <w:jc w:val="center"/>
              <w:rPr>
                <w:color w:val="auto"/>
                <w:szCs w:val="21"/>
                <w:highlight w:val="none"/>
              </w:rPr>
            </w:pPr>
            <w:r>
              <w:rPr>
                <w:color w:val="auto"/>
                <w:szCs w:val="21"/>
                <w:highlight w:val="none"/>
              </w:rPr>
              <w:t>办公区</w:t>
            </w:r>
          </w:p>
        </w:tc>
        <w:tc>
          <w:tcPr>
            <w:tcW w:w="5172" w:type="dxa"/>
            <w:gridSpan w:val="2"/>
            <w:vAlign w:val="center"/>
          </w:tcPr>
          <w:p>
            <w:pPr>
              <w:rPr>
                <w:color w:val="auto"/>
                <w:szCs w:val="21"/>
                <w:highlight w:val="none"/>
              </w:rPr>
            </w:pPr>
            <w:r>
              <w:rPr>
                <w:rFonts w:hint="eastAsia"/>
                <w:color w:val="auto"/>
                <w:szCs w:val="21"/>
                <w:highlight w:val="none"/>
                <w:lang w:val="en-US" w:eastAsia="zh-CN"/>
              </w:rPr>
              <w:t>将厂区东北侧2层高房屋作为项目办公区，高度约6m，建筑面积约150m</w:t>
            </w:r>
            <w:r>
              <w:rPr>
                <w:rFonts w:hint="eastAsia"/>
                <w:color w:val="auto"/>
                <w:szCs w:val="21"/>
                <w:highlight w:val="none"/>
                <w:vertAlign w:val="superscript"/>
                <w:lang w:val="en-US" w:eastAsia="zh-CN"/>
              </w:rPr>
              <w:t>2</w:t>
            </w:r>
            <w:r>
              <w:rPr>
                <w:rFonts w:hint="eastAsia"/>
                <w:color w:val="auto"/>
                <w:szCs w:val="21"/>
                <w:highlight w:val="none"/>
                <w:lang w:val="en-US" w:eastAsia="zh-CN"/>
              </w:rPr>
              <w:t>，布置有</w:t>
            </w:r>
            <w:r>
              <w:rPr>
                <w:color w:val="auto"/>
                <w:szCs w:val="21"/>
                <w:highlight w:val="none"/>
              </w:rPr>
              <w:t>办公</w:t>
            </w:r>
            <w:r>
              <w:rPr>
                <w:rFonts w:hint="eastAsia"/>
                <w:color w:val="auto"/>
                <w:szCs w:val="21"/>
                <w:highlight w:val="none"/>
                <w:lang w:val="en-US" w:eastAsia="zh-CN"/>
              </w:rPr>
              <w:t>室</w:t>
            </w:r>
            <w:r>
              <w:rPr>
                <w:color w:val="auto"/>
                <w:szCs w:val="21"/>
                <w:highlight w:val="none"/>
              </w:rPr>
              <w:t>、会议室</w:t>
            </w:r>
            <w:r>
              <w:rPr>
                <w:rFonts w:hint="eastAsia"/>
                <w:color w:val="auto"/>
                <w:szCs w:val="21"/>
                <w:highlight w:val="none"/>
                <w:lang w:val="en-US" w:eastAsia="zh-CN"/>
              </w:rPr>
              <w:t>等</w:t>
            </w:r>
            <w:r>
              <w:rPr>
                <w:color w:val="auto"/>
                <w:szCs w:val="21"/>
                <w:highlight w:val="none"/>
              </w:rPr>
              <w:t>。</w:t>
            </w:r>
            <w:r>
              <w:rPr>
                <w:rFonts w:hint="eastAsia"/>
                <w:color w:val="auto"/>
                <w:szCs w:val="21"/>
                <w:highlight w:val="none"/>
              </w:rPr>
              <w:t xml:space="preserve"> </w:t>
            </w:r>
          </w:p>
        </w:tc>
        <w:tc>
          <w:tcPr>
            <w:tcW w:w="1559" w:type="dxa"/>
            <w:vAlign w:val="center"/>
          </w:tcPr>
          <w:p>
            <w:pP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冷却水池</w:t>
            </w:r>
          </w:p>
        </w:tc>
        <w:tc>
          <w:tcPr>
            <w:tcW w:w="5172" w:type="dxa"/>
            <w:gridSpan w:val="2"/>
            <w:vAlign w:val="center"/>
          </w:tcPr>
          <w:p>
            <w:pPr>
              <w:rPr>
                <w:rFonts w:hint="default" w:eastAsia="宋体"/>
                <w:color w:val="auto"/>
                <w:szCs w:val="21"/>
                <w:highlight w:val="none"/>
                <w:lang w:val="en-US" w:eastAsia="zh-CN"/>
              </w:rPr>
            </w:pPr>
            <w:r>
              <w:rPr>
                <w:rFonts w:hint="eastAsia"/>
                <w:color w:val="auto"/>
                <w:szCs w:val="21"/>
                <w:highlight w:val="none"/>
                <w:lang w:val="en-US" w:eastAsia="zh-CN"/>
              </w:rPr>
              <w:t>设置1个冷却循环水池，位于生产车间旁，总容积31m</w:t>
            </w:r>
            <w:r>
              <w:rPr>
                <w:rFonts w:hint="eastAsia"/>
                <w:color w:val="auto"/>
                <w:szCs w:val="21"/>
                <w:highlight w:val="none"/>
                <w:vertAlign w:val="superscript"/>
                <w:lang w:val="en-US" w:eastAsia="zh-CN"/>
              </w:rPr>
              <w:t>3</w:t>
            </w:r>
          </w:p>
        </w:tc>
        <w:tc>
          <w:tcPr>
            <w:tcW w:w="1559"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vAlign w:val="center"/>
          </w:tcPr>
          <w:p>
            <w:pPr>
              <w:jc w:val="center"/>
              <w:rPr>
                <w:color w:val="auto"/>
                <w:szCs w:val="21"/>
                <w:highlight w:val="none"/>
              </w:rPr>
            </w:pPr>
            <w:r>
              <w:rPr>
                <w:color w:val="auto"/>
                <w:szCs w:val="21"/>
                <w:highlight w:val="none"/>
              </w:rPr>
              <w:t>公用</w:t>
            </w:r>
          </w:p>
          <w:p>
            <w:pPr>
              <w:jc w:val="center"/>
              <w:rPr>
                <w:color w:val="auto"/>
                <w:szCs w:val="21"/>
                <w:highlight w:val="none"/>
              </w:rPr>
            </w:pPr>
            <w:r>
              <w:rPr>
                <w:color w:val="auto"/>
                <w:szCs w:val="21"/>
                <w:highlight w:val="none"/>
              </w:rPr>
              <w:t>工程</w:t>
            </w:r>
          </w:p>
        </w:tc>
        <w:tc>
          <w:tcPr>
            <w:tcW w:w="961" w:type="dxa"/>
            <w:vAlign w:val="center"/>
          </w:tcPr>
          <w:p>
            <w:pPr>
              <w:jc w:val="center"/>
              <w:rPr>
                <w:color w:val="auto"/>
                <w:szCs w:val="21"/>
                <w:highlight w:val="none"/>
              </w:rPr>
            </w:pPr>
            <w:r>
              <w:rPr>
                <w:color w:val="auto"/>
                <w:szCs w:val="21"/>
                <w:highlight w:val="none"/>
              </w:rPr>
              <w:t>给水</w:t>
            </w:r>
          </w:p>
        </w:tc>
        <w:tc>
          <w:tcPr>
            <w:tcW w:w="5172" w:type="dxa"/>
            <w:gridSpan w:val="2"/>
            <w:vAlign w:val="center"/>
          </w:tcPr>
          <w:p>
            <w:pPr>
              <w:rPr>
                <w:color w:val="auto"/>
                <w:szCs w:val="21"/>
                <w:highlight w:val="none"/>
              </w:rPr>
            </w:pPr>
            <w:r>
              <w:rPr>
                <w:color w:val="auto"/>
                <w:szCs w:val="21"/>
                <w:highlight w:val="none"/>
              </w:rPr>
              <w:t>项目生产生活用水均来自市政供水，依托</w:t>
            </w:r>
            <w:r>
              <w:rPr>
                <w:rFonts w:hint="eastAsia"/>
                <w:color w:val="auto"/>
                <w:szCs w:val="21"/>
                <w:highlight w:val="none"/>
                <w:lang w:val="en-US" w:eastAsia="zh-CN"/>
              </w:rPr>
              <w:t>原有</w:t>
            </w:r>
            <w:r>
              <w:rPr>
                <w:color w:val="auto"/>
                <w:szCs w:val="21"/>
                <w:highlight w:val="none"/>
              </w:rPr>
              <w:t>供水系统进行供水。</w:t>
            </w:r>
          </w:p>
        </w:tc>
        <w:tc>
          <w:tcPr>
            <w:tcW w:w="1559" w:type="dxa"/>
            <w:vAlign w:val="center"/>
          </w:tcPr>
          <w:p>
            <w:pPr>
              <w:jc w:val="center"/>
              <w:rPr>
                <w:color w:val="auto"/>
                <w:szCs w:val="21"/>
                <w:highlight w:val="none"/>
              </w:rPr>
            </w:pPr>
            <w:r>
              <w:rPr>
                <w:color w:val="auto"/>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Merge w:val="restart"/>
            <w:vAlign w:val="center"/>
          </w:tcPr>
          <w:p>
            <w:pPr>
              <w:jc w:val="center"/>
              <w:rPr>
                <w:color w:val="auto"/>
                <w:szCs w:val="21"/>
                <w:highlight w:val="none"/>
              </w:rPr>
            </w:pPr>
            <w:r>
              <w:rPr>
                <w:color w:val="auto"/>
                <w:szCs w:val="21"/>
                <w:highlight w:val="none"/>
              </w:rPr>
              <w:t>排水</w:t>
            </w:r>
          </w:p>
        </w:tc>
        <w:tc>
          <w:tcPr>
            <w:tcW w:w="5172" w:type="dxa"/>
            <w:gridSpan w:val="2"/>
            <w:vAlign w:val="center"/>
          </w:tcPr>
          <w:p>
            <w:pPr>
              <w:rPr>
                <w:rFonts w:hint="default" w:eastAsia="宋体"/>
                <w:color w:val="auto"/>
                <w:szCs w:val="21"/>
                <w:highlight w:val="none"/>
                <w:lang w:val="en-US" w:eastAsia="zh-CN"/>
              </w:rPr>
            </w:pPr>
            <w:r>
              <w:rPr>
                <w:color w:val="auto"/>
                <w:szCs w:val="21"/>
                <w:highlight w:val="none"/>
              </w:rPr>
              <w:t>项目严格执行雨污分流</w:t>
            </w:r>
            <w:r>
              <w:rPr>
                <w:rFonts w:hint="eastAsia"/>
                <w:color w:val="auto"/>
                <w:szCs w:val="21"/>
                <w:highlight w:val="none"/>
                <w:lang w:eastAsia="zh-CN"/>
              </w:rPr>
              <w:t>制度</w:t>
            </w:r>
            <w:r>
              <w:rPr>
                <w:color w:val="auto"/>
                <w:szCs w:val="21"/>
                <w:highlight w:val="none"/>
              </w:rPr>
              <w:t>，厂房建筑物屋面雨水与厂房周边地面雨水经厂房配套设置的雨水沟排入</w:t>
            </w:r>
            <w:r>
              <w:rPr>
                <w:rFonts w:hint="eastAsia"/>
                <w:color w:val="auto"/>
                <w:szCs w:val="21"/>
                <w:highlight w:val="none"/>
                <w:lang w:val="en-US" w:eastAsia="zh-CN"/>
              </w:rPr>
              <w:t>附近自然排水沟。</w:t>
            </w:r>
          </w:p>
        </w:tc>
        <w:tc>
          <w:tcPr>
            <w:tcW w:w="1559" w:type="dxa"/>
            <w:vAlign w:val="center"/>
          </w:tcPr>
          <w:p>
            <w:pPr>
              <w:jc w:val="center"/>
              <w:rPr>
                <w:color w:val="auto"/>
                <w:szCs w:val="21"/>
                <w:highlight w:val="none"/>
              </w:rPr>
            </w:pPr>
            <w:r>
              <w:rPr>
                <w:color w:val="auto"/>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57" w:type="dxa"/>
            <w:vMerge w:val="continue"/>
            <w:vAlign w:val="center"/>
          </w:tcPr>
          <w:p>
            <w:pPr>
              <w:jc w:val="center"/>
              <w:rPr>
                <w:color w:val="auto"/>
                <w:szCs w:val="21"/>
                <w:highlight w:val="none"/>
              </w:rPr>
            </w:pPr>
          </w:p>
        </w:tc>
        <w:tc>
          <w:tcPr>
            <w:tcW w:w="961" w:type="dxa"/>
            <w:vMerge w:val="continue"/>
            <w:vAlign w:val="center"/>
          </w:tcPr>
          <w:p>
            <w:pPr>
              <w:jc w:val="center"/>
              <w:rPr>
                <w:color w:val="auto"/>
                <w:szCs w:val="21"/>
                <w:highlight w:val="none"/>
              </w:rPr>
            </w:pPr>
          </w:p>
        </w:tc>
        <w:tc>
          <w:tcPr>
            <w:tcW w:w="5172" w:type="dxa"/>
            <w:gridSpan w:val="2"/>
            <w:vAlign w:val="center"/>
          </w:tcPr>
          <w:p>
            <w:pPr>
              <w:rPr>
                <w:color w:val="auto"/>
                <w:szCs w:val="21"/>
                <w:highlight w:val="none"/>
              </w:rPr>
            </w:pPr>
            <w:r>
              <w:rPr>
                <w:rFonts w:hint="eastAsia"/>
                <w:color w:val="auto"/>
                <w:szCs w:val="21"/>
                <w:highlight w:val="none"/>
                <w:lang w:val="en-US" w:eastAsia="zh-CN"/>
              </w:rPr>
              <w:t>注塑后冷却工段</w:t>
            </w:r>
            <w:r>
              <w:rPr>
                <w:color w:val="auto"/>
                <w:szCs w:val="21"/>
                <w:highlight w:val="none"/>
              </w:rPr>
              <w:t>冷却水经冷却水池收集后，全部循环使用，不外排。</w:t>
            </w:r>
          </w:p>
        </w:tc>
        <w:tc>
          <w:tcPr>
            <w:tcW w:w="1559" w:type="dxa"/>
            <w:vAlign w:val="center"/>
          </w:tcPr>
          <w:p>
            <w:pPr>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857" w:type="dxa"/>
            <w:vMerge w:val="continue"/>
            <w:vAlign w:val="center"/>
          </w:tcPr>
          <w:p>
            <w:pPr>
              <w:jc w:val="center"/>
              <w:rPr>
                <w:color w:val="auto"/>
                <w:szCs w:val="21"/>
                <w:highlight w:val="none"/>
              </w:rPr>
            </w:pPr>
          </w:p>
        </w:tc>
        <w:tc>
          <w:tcPr>
            <w:tcW w:w="961" w:type="dxa"/>
            <w:vMerge w:val="continue"/>
            <w:vAlign w:val="center"/>
          </w:tcPr>
          <w:p>
            <w:pPr>
              <w:jc w:val="center"/>
              <w:rPr>
                <w:color w:val="auto"/>
                <w:szCs w:val="21"/>
                <w:highlight w:val="none"/>
              </w:rPr>
            </w:pPr>
          </w:p>
        </w:tc>
        <w:tc>
          <w:tcPr>
            <w:tcW w:w="5172" w:type="dxa"/>
            <w:gridSpan w:val="2"/>
            <w:vAlign w:val="center"/>
          </w:tcPr>
          <w:p>
            <w:pPr>
              <w:rPr>
                <w:color w:val="auto"/>
                <w:szCs w:val="21"/>
                <w:highlight w:val="none"/>
              </w:rPr>
            </w:pPr>
            <w:r>
              <w:rPr>
                <w:rFonts w:hint="eastAsia"/>
                <w:color w:val="auto"/>
                <w:szCs w:val="21"/>
                <w:highlight w:val="none"/>
                <w:lang w:val="en-US" w:eastAsia="zh-CN"/>
              </w:rPr>
              <w:t>车间地面清洗废水和</w:t>
            </w:r>
            <w:r>
              <w:rPr>
                <w:color w:val="auto"/>
                <w:szCs w:val="21"/>
                <w:highlight w:val="none"/>
              </w:rPr>
              <w:t>生活污水排入</w:t>
            </w:r>
            <w:r>
              <w:rPr>
                <w:rFonts w:hint="eastAsia"/>
                <w:color w:val="auto"/>
                <w:szCs w:val="21"/>
                <w:highlight w:val="none"/>
                <w:lang w:val="en-US" w:eastAsia="zh-CN"/>
              </w:rPr>
              <w:t>已有化粪池收集处理后，由建设单位定期清运至寻甸县水质净化厂</w:t>
            </w:r>
            <w:r>
              <w:rPr>
                <w:color w:val="auto"/>
                <w:szCs w:val="21"/>
                <w:highlight w:val="none"/>
              </w:rPr>
              <w:t>。</w:t>
            </w:r>
          </w:p>
        </w:tc>
        <w:tc>
          <w:tcPr>
            <w:tcW w:w="1559" w:type="dxa"/>
            <w:vAlign w:val="center"/>
          </w:tcPr>
          <w:p>
            <w:pPr>
              <w:jc w:val="center"/>
              <w:rPr>
                <w:color w:val="auto"/>
                <w:szCs w:val="21"/>
                <w:highlight w:val="none"/>
              </w:rPr>
            </w:pPr>
            <w:r>
              <w:rPr>
                <w:color w:val="auto"/>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Align w:val="center"/>
          </w:tcPr>
          <w:p>
            <w:pPr>
              <w:jc w:val="center"/>
              <w:rPr>
                <w:color w:val="auto"/>
                <w:szCs w:val="21"/>
                <w:highlight w:val="none"/>
              </w:rPr>
            </w:pPr>
            <w:r>
              <w:rPr>
                <w:color w:val="auto"/>
                <w:szCs w:val="21"/>
                <w:highlight w:val="none"/>
              </w:rPr>
              <w:t>供电</w:t>
            </w:r>
          </w:p>
        </w:tc>
        <w:tc>
          <w:tcPr>
            <w:tcW w:w="5172" w:type="dxa"/>
            <w:gridSpan w:val="2"/>
            <w:vAlign w:val="center"/>
          </w:tcPr>
          <w:p>
            <w:pPr>
              <w:rPr>
                <w:color w:val="auto"/>
                <w:szCs w:val="21"/>
                <w:highlight w:val="none"/>
              </w:rPr>
            </w:pPr>
            <w:r>
              <w:rPr>
                <w:color w:val="auto"/>
                <w:szCs w:val="21"/>
                <w:highlight w:val="none"/>
              </w:rPr>
              <w:t>项目用电来自于市政供电，厂内供电依托</w:t>
            </w:r>
            <w:r>
              <w:rPr>
                <w:rFonts w:hint="eastAsia"/>
                <w:color w:val="auto"/>
                <w:szCs w:val="21"/>
                <w:highlight w:val="none"/>
                <w:lang w:val="en-US" w:eastAsia="zh-CN"/>
              </w:rPr>
              <w:t>原有</w:t>
            </w:r>
            <w:r>
              <w:rPr>
                <w:color w:val="auto"/>
                <w:szCs w:val="21"/>
                <w:highlight w:val="none"/>
              </w:rPr>
              <w:t>供电系统。</w:t>
            </w:r>
          </w:p>
        </w:tc>
        <w:tc>
          <w:tcPr>
            <w:tcW w:w="1559" w:type="dxa"/>
            <w:vAlign w:val="center"/>
          </w:tcPr>
          <w:p>
            <w:pPr>
              <w:jc w:val="center"/>
              <w:rPr>
                <w:color w:val="auto"/>
                <w:szCs w:val="21"/>
                <w:highlight w:val="none"/>
              </w:rPr>
            </w:pPr>
            <w:r>
              <w:rPr>
                <w:color w:val="auto"/>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Align w:val="center"/>
          </w:tcPr>
          <w:p>
            <w:pPr>
              <w:jc w:val="center"/>
              <w:rPr>
                <w:color w:val="auto"/>
                <w:szCs w:val="21"/>
                <w:highlight w:val="none"/>
              </w:rPr>
            </w:pPr>
            <w:r>
              <w:rPr>
                <w:color w:val="auto"/>
                <w:szCs w:val="21"/>
                <w:highlight w:val="none"/>
              </w:rPr>
              <w:t>供热</w:t>
            </w:r>
          </w:p>
        </w:tc>
        <w:tc>
          <w:tcPr>
            <w:tcW w:w="5172" w:type="dxa"/>
            <w:gridSpan w:val="2"/>
            <w:vAlign w:val="center"/>
          </w:tcPr>
          <w:p>
            <w:pPr>
              <w:rPr>
                <w:color w:val="auto"/>
                <w:szCs w:val="21"/>
                <w:highlight w:val="none"/>
              </w:rPr>
            </w:pPr>
            <w:r>
              <w:rPr>
                <w:color w:val="auto"/>
                <w:szCs w:val="21"/>
                <w:highlight w:val="none"/>
              </w:rPr>
              <w:t>原料</w:t>
            </w:r>
            <w:r>
              <w:rPr>
                <w:rFonts w:hint="eastAsia"/>
                <w:color w:val="auto"/>
                <w:szCs w:val="21"/>
                <w:highlight w:val="none"/>
                <w:lang w:val="en-US" w:eastAsia="zh-CN"/>
              </w:rPr>
              <w:t>热熔注塑</w:t>
            </w:r>
            <w:r>
              <w:rPr>
                <w:color w:val="auto"/>
                <w:szCs w:val="21"/>
                <w:highlight w:val="none"/>
              </w:rPr>
              <w:t>工序采用电加热（温度在180-200℃之间）。</w:t>
            </w:r>
          </w:p>
        </w:tc>
        <w:tc>
          <w:tcPr>
            <w:tcW w:w="1559" w:type="dxa"/>
            <w:vAlign w:val="center"/>
          </w:tcPr>
          <w:p>
            <w:pPr>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vAlign w:val="center"/>
          </w:tcPr>
          <w:p>
            <w:pPr>
              <w:jc w:val="center"/>
              <w:rPr>
                <w:color w:val="auto"/>
                <w:szCs w:val="21"/>
                <w:highlight w:val="none"/>
              </w:rPr>
            </w:pPr>
            <w:r>
              <w:rPr>
                <w:color w:val="auto"/>
                <w:szCs w:val="21"/>
                <w:highlight w:val="none"/>
              </w:rPr>
              <w:t>环保</w:t>
            </w:r>
          </w:p>
          <w:p>
            <w:pPr>
              <w:jc w:val="center"/>
              <w:rPr>
                <w:color w:val="auto"/>
                <w:szCs w:val="21"/>
                <w:highlight w:val="none"/>
              </w:rPr>
            </w:pPr>
            <w:r>
              <w:rPr>
                <w:color w:val="auto"/>
                <w:szCs w:val="21"/>
                <w:highlight w:val="none"/>
              </w:rPr>
              <w:t>工程</w:t>
            </w:r>
          </w:p>
        </w:tc>
        <w:tc>
          <w:tcPr>
            <w:tcW w:w="961" w:type="dxa"/>
            <w:vMerge w:val="restart"/>
            <w:vAlign w:val="center"/>
          </w:tcPr>
          <w:p>
            <w:pPr>
              <w:jc w:val="center"/>
              <w:rPr>
                <w:color w:val="auto"/>
                <w:szCs w:val="21"/>
                <w:highlight w:val="none"/>
              </w:rPr>
            </w:pPr>
            <w:r>
              <w:rPr>
                <w:snapToGrid w:val="0"/>
                <w:color w:val="auto"/>
                <w:szCs w:val="21"/>
                <w:highlight w:val="none"/>
              </w:rPr>
              <w:t>废气处理设施</w:t>
            </w:r>
          </w:p>
        </w:tc>
        <w:tc>
          <w:tcPr>
            <w:tcW w:w="5172" w:type="dxa"/>
            <w:gridSpan w:val="2"/>
            <w:vAlign w:val="center"/>
          </w:tcPr>
          <w:p>
            <w:pPr>
              <w:rPr>
                <w:color w:val="auto"/>
                <w:szCs w:val="21"/>
                <w:highlight w:val="none"/>
              </w:rPr>
            </w:pPr>
            <w:r>
              <w:rPr>
                <w:color w:val="auto"/>
                <w:kern w:val="0"/>
                <w:szCs w:val="21"/>
                <w:highlight w:val="none"/>
              </w:rPr>
              <w:t>共设置1套废气处理装置，</w:t>
            </w:r>
            <w:r>
              <w:rPr>
                <w:color w:val="auto"/>
                <w:szCs w:val="21"/>
                <w:highlight w:val="none"/>
              </w:rPr>
              <w:t>分别在</w:t>
            </w:r>
            <w:r>
              <w:rPr>
                <w:rFonts w:hint="eastAsia"/>
                <w:color w:val="auto"/>
                <w:szCs w:val="21"/>
                <w:highlight w:val="none"/>
                <w:lang w:val="en-US" w:eastAsia="zh-CN"/>
              </w:rPr>
              <w:t>注塑</w:t>
            </w:r>
            <w:r>
              <w:rPr>
                <w:color w:val="auto"/>
                <w:szCs w:val="21"/>
                <w:highlight w:val="none"/>
              </w:rPr>
              <w:t>机废气排放</w:t>
            </w:r>
            <w:r>
              <w:rPr>
                <w:rFonts w:hint="eastAsia"/>
                <w:color w:val="auto"/>
                <w:szCs w:val="21"/>
                <w:highlight w:val="none"/>
                <w:lang w:val="en-US" w:eastAsia="zh-CN"/>
              </w:rPr>
              <w:t>口</w:t>
            </w:r>
            <w:r>
              <w:rPr>
                <w:color w:val="auto"/>
                <w:szCs w:val="21"/>
                <w:highlight w:val="none"/>
              </w:rPr>
              <w:t>设置集气罩（共设置</w:t>
            </w:r>
            <w:r>
              <w:rPr>
                <w:rFonts w:hint="eastAsia"/>
                <w:color w:val="auto"/>
                <w:szCs w:val="21"/>
                <w:highlight w:val="none"/>
                <w:lang w:val="en-US" w:eastAsia="zh-CN"/>
              </w:rPr>
              <w:t>6</w:t>
            </w:r>
            <w:r>
              <w:rPr>
                <w:color w:val="auto"/>
                <w:szCs w:val="21"/>
                <w:highlight w:val="none"/>
              </w:rPr>
              <w:t>个集气罩，集气罩</w:t>
            </w:r>
            <w:r>
              <w:rPr>
                <w:rFonts w:hint="eastAsia"/>
                <w:color w:val="auto"/>
                <w:szCs w:val="21"/>
                <w:highlight w:val="none"/>
                <w:lang w:val="en-US" w:eastAsia="zh-CN"/>
              </w:rPr>
              <w:t>负压</w:t>
            </w:r>
            <w:r>
              <w:rPr>
                <w:color w:val="auto"/>
                <w:szCs w:val="21"/>
                <w:highlight w:val="none"/>
              </w:rPr>
              <w:t>收集效率约</w:t>
            </w:r>
            <w:r>
              <w:rPr>
                <w:rFonts w:hint="eastAsia"/>
                <w:color w:val="auto"/>
                <w:szCs w:val="21"/>
                <w:highlight w:val="none"/>
                <w:lang w:val="en-US" w:eastAsia="zh-CN"/>
              </w:rPr>
              <w:t>90</w:t>
            </w:r>
            <w:r>
              <w:rPr>
                <w:color w:val="auto"/>
                <w:szCs w:val="21"/>
                <w:highlight w:val="none"/>
              </w:rPr>
              <w:t>%）。</w:t>
            </w:r>
            <w:r>
              <w:rPr>
                <w:color w:val="auto"/>
                <w:kern w:val="0"/>
                <w:szCs w:val="21"/>
                <w:highlight w:val="none"/>
              </w:rPr>
              <w:t>收集废气经“</w:t>
            </w:r>
            <w:r>
              <w:rPr>
                <w:rFonts w:hint="eastAsia"/>
                <w:color w:val="auto"/>
                <w:kern w:val="0"/>
                <w:szCs w:val="21"/>
                <w:highlight w:val="none"/>
                <w:lang w:val="en-US" w:eastAsia="zh-CN"/>
              </w:rPr>
              <w:t>三级</w:t>
            </w:r>
            <w:r>
              <w:rPr>
                <w:color w:val="auto"/>
                <w:kern w:val="0"/>
                <w:szCs w:val="21"/>
                <w:highlight w:val="none"/>
              </w:rPr>
              <w:t>活性炭吸附装置”（共设置1套）处理后，经1根</w:t>
            </w:r>
            <w:r>
              <w:rPr>
                <w:rFonts w:hint="eastAsia"/>
                <w:color w:val="auto"/>
                <w:kern w:val="0"/>
                <w:szCs w:val="21"/>
                <w:highlight w:val="none"/>
                <w:lang w:val="en-US" w:eastAsia="zh-CN"/>
              </w:rPr>
              <w:t>15</w:t>
            </w:r>
            <w:r>
              <w:rPr>
                <w:color w:val="auto"/>
                <w:kern w:val="0"/>
                <w:szCs w:val="21"/>
                <w:highlight w:val="none"/>
              </w:rPr>
              <w:t>m排气筒排放。</w:t>
            </w:r>
            <w:r>
              <w:rPr>
                <w:rStyle w:val="68"/>
                <w:rFonts w:hint="eastAsia"/>
                <w:color w:val="auto"/>
                <w:kern w:val="0"/>
                <w:highlight w:val="none"/>
              </w:rPr>
              <w:t>去除效率为80%。</w:t>
            </w:r>
          </w:p>
        </w:tc>
        <w:tc>
          <w:tcPr>
            <w:tcW w:w="1559" w:type="dxa"/>
            <w:vAlign w:val="center"/>
          </w:tcPr>
          <w:p>
            <w:pPr>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Merge w:val="continue"/>
            <w:vAlign w:val="center"/>
          </w:tcPr>
          <w:p>
            <w:pPr>
              <w:jc w:val="center"/>
              <w:rPr>
                <w:snapToGrid w:val="0"/>
                <w:color w:val="auto"/>
                <w:szCs w:val="21"/>
                <w:highlight w:val="none"/>
              </w:rPr>
            </w:pPr>
          </w:p>
        </w:tc>
        <w:tc>
          <w:tcPr>
            <w:tcW w:w="5172" w:type="dxa"/>
            <w:gridSpan w:val="2"/>
            <w:vAlign w:val="center"/>
          </w:tcPr>
          <w:p>
            <w:pPr>
              <w:rPr>
                <w:rFonts w:hint="default" w:eastAsia="宋体"/>
                <w:color w:val="auto"/>
                <w:kern w:val="0"/>
                <w:szCs w:val="21"/>
                <w:highlight w:val="none"/>
                <w:lang w:val="en-US" w:eastAsia="zh-CN"/>
              </w:rPr>
            </w:pPr>
            <w:r>
              <w:rPr>
                <w:rFonts w:hint="eastAsia"/>
                <w:color w:val="auto"/>
                <w:kern w:val="0"/>
                <w:szCs w:val="21"/>
                <w:highlight w:val="none"/>
                <w:lang w:val="en-US" w:eastAsia="zh-CN"/>
              </w:rPr>
              <w:t>拌料过程封闭设置，破碎机预留进料口，破碎时全封闭进行破碎。</w:t>
            </w:r>
          </w:p>
        </w:tc>
        <w:tc>
          <w:tcPr>
            <w:tcW w:w="1559"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Merge w:val="restart"/>
            <w:vAlign w:val="center"/>
          </w:tcPr>
          <w:p>
            <w:pPr>
              <w:jc w:val="center"/>
              <w:rPr>
                <w:snapToGrid w:val="0"/>
                <w:color w:val="auto"/>
                <w:szCs w:val="21"/>
                <w:highlight w:val="none"/>
              </w:rPr>
            </w:pPr>
            <w:r>
              <w:rPr>
                <w:snapToGrid w:val="0"/>
                <w:color w:val="auto"/>
                <w:szCs w:val="21"/>
                <w:highlight w:val="none"/>
              </w:rPr>
              <w:t>废水处理设施</w:t>
            </w:r>
          </w:p>
        </w:tc>
        <w:tc>
          <w:tcPr>
            <w:tcW w:w="5172" w:type="dxa"/>
            <w:gridSpan w:val="2"/>
            <w:vAlign w:val="center"/>
          </w:tcPr>
          <w:p>
            <w:pPr>
              <w:rPr>
                <w:color w:val="auto"/>
                <w:szCs w:val="21"/>
                <w:highlight w:val="none"/>
              </w:rPr>
            </w:pPr>
            <w:r>
              <w:rPr>
                <w:rFonts w:hint="eastAsia"/>
                <w:color w:val="auto"/>
                <w:szCs w:val="21"/>
                <w:highlight w:val="none"/>
                <w:lang w:val="en-US" w:eastAsia="zh-CN"/>
              </w:rPr>
              <w:t>项目在生产车间旁设置1</w:t>
            </w:r>
            <w:r>
              <w:rPr>
                <w:color w:val="auto"/>
                <w:szCs w:val="21"/>
                <w:highlight w:val="none"/>
              </w:rPr>
              <w:t>个冷却水池</w:t>
            </w:r>
            <w:r>
              <w:rPr>
                <w:rFonts w:hint="eastAsia"/>
                <w:color w:val="auto"/>
                <w:szCs w:val="21"/>
                <w:highlight w:val="none"/>
              </w:rPr>
              <w:t>（</w:t>
            </w:r>
            <w:r>
              <w:rPr>
                <w:color w:val="auto"/>
                <w:szCs w:val="21"/>
                <w:highlight w:val="none"/>
              </w:rPr>
              <w:t>容积</w:t>
            </w:r>
            <w:r>
              <w:rPr>
                <w:rFonts w:hint="eastAsia"/>
                <w:color w:val="auto"/>
                <w:szCs w:val="21"/>
                <w:highlight w:val="none"/>
                <w:lang w:val="en-US" w:eastAsia="zh-CN"/>
              </w:rPr>
              <w:t>31</w:t>
            </w:r>
            <w:r>
              <w:rPr>
                <w:color w:val="auto"/>
                <w:szCs w:val="21"/>
                <w:highlight w:val="none"/>
              </w:rPr>
              <w:t>m</w:t>
            </w:r>
            <w:r>
              <w:rPr>
                <w:color w:val="auto"/>
                <w:szCs w:val="21"/>
                <w:highlight w:val="none"/>
                <w:vertAlign w:val="superscript"/>
              </w:rPr>
              <w:t>3</w:t>
            </w:r>
            <w:r>
              <w:rPr>
                <w:rFonts w:hint="eastAsia"/>
                <w:color w:val="auto"/>
                <w:szCs w:val="21"/>
                <w:highlight w:val="none"/>
              </w:rPr>
              <w:t>）</w:t>
            </w:r>
            <w:r>
              <w:rPr>
                <w:color w:val="auto"/>
                <w:szCs w:val="21"/>
                <w:highlight w:val="none"/>
              </w:rPr>
              <w:t>，</w:t>
            </w:r>
            <w:r>
              <w:rPr>
                <w:rFonts w:hint="eastAsia"/>
                <w:color w:val="auto"/>
                <w:szCs w:val="21"/>
                <w:highlight w:val="none"/>
                <w:lang w:val="en-US" w:eastAsia="zh-CN"/>
              </w:rPr>
              <w:t>注塑后冷却工段模具和产品间接冷却水进入冷却水池冷却后循环使用</w:t>
            </w:r>
            <w:r>
              <w:rPr>
                <w:color w:val="auto"/>
                <w:szCs w:val="21"/>
                <w:highlight w:val="none"/>
              </w:rPr>
              <w:t>，不外排。</w:t>
            </w:r>
          </w:p>
        </w:tc>
        <w:tc>
          <w:tcPr>
            <w:tcW w:w="1559" w:type="dxa"/>
            <w:vAlign w:val="center"/>
          </w:tcPr>
          <w:p>
            <w:pPr>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Merge w:val="continue"/>
            <w:vAlign w:val="center"/>
          </w:tcPr>
          <w:p>
            <w:pPr>
              <w:jc w:val="center"/>
              <w:rPr>
                <w:snapToGrid w:val="0"/>
                <w:color w:val="auto"/>
                <w:szCs w:val="21"/>
                <w:highlight w:val="none"/>
              </w:rPr>
            </w:pPr>
          </w:p>
        </w:tc>
        <w:tc>
          <w:tcPr>
            <w:tcW w:w="5172" w:type="dxa"/>
            <w:gridSpan w:val="2"/>
            <w:vAlign w:val="center"/>
          </w:tcPr>
          <w:p>
            <w:pPr>
              <w:rPr>
                <w:rFonts w:hint="default"/>
                <w:color w:val="auto"/>
                <w:szCs w:val="21"/>
                <w:highlight w:val="none"/>
                <w:lang w:val="en-US"/>
              </w:rPr>
            </w:pPr>
            <w:r>
              <w:rPr>
                <w:color w:val="auto"/>
                <w:szCs w:val="21"/>
                <w:highlight w:val="none"/>
              </w:rPr>
              <w:t>生活污水</w:t>
            </w:r>
            <w:r>
              <w:rPr>
                <w:rFonts w:hint="eastAsia"/>
                <w:color w:val="auto"/>
                <w:szCs w:val="21"/>
                <w:highlight w:val="none"/>
                <w:lang w:eastAsia="zh-CN"/>
              </w:rPr>
              <w:t>、</w:t>
            </w:r>
            <w:r>
              <w:rPr>
                <w:rFonts w:hint="eastAsia"/>
                <w:color w:val="auto"/>
                <w:szCs w:val="21"/>
                <w:highlight w:val="none"/>
                <w:lang w:val="en-US" w:eastAsia="zh-CN"/>
              </w:rPr>
              <w:t>车间地面清洗废水</w:t>
            </w:r>
            <w:r>
              <w:rPr>
                <w:color w:val="auto"/>
                <w:szCs w:val="21"/>
                <w:highlight w:val="none"/>
              </w:rPr>
              <w:t>经</w:t>
            </w:r>
            <w:r>
              <w:rPr>
                <w:rFonts w:hint="eastAsia"/>
                <w:color w:val="auto"/>
                <w:szCs w:val="21"/>
                <w:highlight w:val="none"/>
                <w:lang w:val="en-US" w:eastAsia="zh-CN"/>
              </w:rPr>
              <w:t>厂区内已有的容积为27</w:t>
            </w:r>
            <w:r>
              <w:rPr>
                <w:color w:val="auto"/>
                <w:kern w:val="0"/>
                <w:szCs w:val="21"/>
                <w:highlight w:val="none"/>
              </w:rPr>
              <w:t>m</w:t>
            </w:r>
            <w:r>
              <w:rPr>
                <w:color w:val="auto"/>
                <w:kern w:val="0"/>
                <w:szCs w:val="21"/>
                <w:highlight w:val="none"/>
                <w:vertAlign w:val="superscript"/>
              </w:rPr>
              <w:t>3</w:t>
            </w:r>
            <w:r>
              <w:rPr>
                <w:color w:val="auto"/>
                <w:highlight w:val="none"/>
              </w:rPr>
              <w:t>化粪池</w:t>
            </w:r>
            <w:r>
              <w:rPr>
                <w:rFonts w:hint="eastAsia"/>
                <w:color w:val="auto"/>
                <w:highlight w:val="none"/>
                <w:lang w:val="en-US" w:eastAsia="zh-CN"/>
              </w:rPr>
              <w:t>收集</w:t>
            </w:r>
            <w:r>
              <w:rPr>
                <w:color w:val="auto"/>
                <w:highlight w:val="none"/>
              </w:rPr>
              <w:t>处理</w:t>
            </w:r>
            <w:r>
              <w:rPr>
                <w:rFonts w:hint="eastAsia" w:ascii="Times New Roman" w:hAnsi="Times New Roman" w:eastAsia="宋体" w:cs="Times New Roman"/>
                <w:color w:val="auto"/>
                <w:szCs w:val="21"/>
                <w:highlight w:val="none"/>
                <w:lang w:val="en-US" w:eastAsia="zh-CN"/>
              </w:rPr>
              <w:t>达《污水排入城镇下水道水质标准》（GB/T31962-2015）B等级标准</w:t>
            </w:r>
            <w:r>
              <w:rPr>
                <w:rFonts w:hint="eastAsia"/>
                <w:color w:val="auto"/>
                <w:spacing w:val="-4"/>
                <w:szCs w:val="21"/>
                <w:highlight w:val="none"/>
                <w:lang w:val="en-US" w:eastAsia="zh-CN"/>
              </w:rPr>
              <w:t>及</w:t>
            </w:r>
            <w:r>
              <w:rPr>
                <w:rFonts w:hint="eastAsia" w:cs="Times New Roman"/>
                <w:color w:val="auto"/>
                <w:highlight w:val="none"/>
                <w:vertAlign w:val="baseline"/>
                <w:lang w:val="en-US" w:eastAsia="zh-CN"/>
              </w:rPr>
              <w:t>生活废水委托处理合同商定的排放协议标准</w:t>
            </w:r>
            <w:r>
              <w:rPr>
                <w:rFonts w:hint="eastAsia" w:ascii="Times New Roman" w:hAnsi="Times New Roman" w:eastAsia="宋体" w:cs="Times New Roman"/>
                <w:color w:val="auto"/>
                <w:szCs w:val="21"/>
                <w:highlight w:val="none"/>
                <w:lang w:val="en-US" w:eastAsia="zh-CN"/>
              </w:rPr>
              <w:t>后，由</w:t>
            </w:r>
            <w:r>
              <w:rPr>
                <w:rFonts w:hint="eastAsia" w:cs="Times New Roman"/>
                <w:color w:val="auto"/>
                <w:szCs w:val="21"/>
                <w:highlight w:val="none"/>
                <w:lang w:val="en-US" w:eastAsia="zh-CN"/>
              </w:rPr>
              <w:t>建设单位定期清运至</w:t>
            </w:r>
            <w:r>
              <w:rPr>
                <w:rFonts w:hint="eastAsia" w:ascii="Times New Roman" w:hAnsi="Times New Roman" w:eastAsia="宋体" w:cs="Times New Roman"/>
                <w:color w:val="auto"/>
                <w:szCs w:val="21"/>
                <w:highlight w:val="none"/>
                <w:lang w:val="en-US" w:eastAsia="zh-CN"/>
              </w:rPr>
              <w:t>寻甸县</w:t>
            </w:r>
            <w:r>
              <w:rPr>
                <w:rFonts w:hint="eastAsia" w:cs="Times New Roman"/>
                <w:color w:val="auto"/>
                <w:szCs w:val="21"/>
                <w:highlight w:val="none"/>
                <w:lang w:val="en-US" w:eastAsia="zh-CN"/>
              </w:rPr>
              <w:t>水质净化厂</w:t>
            </w:r>
            <w:r>
              <w:rPr>
                <w:rFonts w:hint="eastAsia" w:ascii="Times New Roman" w:hAnsi="Times New Roman" w:eastAsia="宋体" w:cs="Times New Roman"/>
                <w:color w:val="auto"/>
                <w:szCs w:val="21"/>
                <w:highlight w:val="none"/>
                <w:lang w:val="en-US" w:eastAsia="zh-CN"/>
              </w:rPr>
              <w:t>处理，不外排。</w:t>
            </w:r>
          </w:p>
        </w:tc>
        <w:tc>
          <w:tcPr>
            <w:tcW w:w="1559" w:type="dxa"/>
            <w:vAlign w:val="center"/>
          </w:tcPr>
          <w:p>
            <w:pPr>
              <w:jc w:val="center"/>
              <w:rPr>
                <w:color w:val="auto"/>
                <w:szCs w:val="21"/>
                <w:highlight w:val="none"/>
              </w:rPr>
            </w:pPr>
            <w:r>
              <w:rPr>
                <w:color w:val="auto"/>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Align w:val="center"/>
          </w:tcPr>
          <w:p>
            <w:pPr>
              <w:jc w:val="center"/>
              <w:rPr>
                <w:snapToGrid w:val="0"/>
                <w:color w:val="auto"/>
                <w:szCs w:val="21"/>
                <w:highlight w:val="none"/>
              </w:rPr>
            </w:pPr>
            <w:r>
              <w:rPr>
                <w:color w:val="auto"/>
                <w:szCs w:val="21"/>
                <w:highlight w:val="none"/>
              </w:rPr>
              <w:t>噪声处理措施</w:t>
            </w:r>
          </w:p>
        </w:tc>
        <w:tc>
          <w:tcPr>
            <w:tcW w:w="5172" w:type="dxa"/>
            <w:gridSpan w:val="2"/>
            <w:vAlign w:val="center"/>
          </w:tcPr>
          <w:p>
            <w:pPr>
              <w:rPr>
                <w:color w:val="auto"/>
                <w:szCs w:val="21"/>
                <w:highlight w:val="none"/>
              </w:rPr>
            </w:pPr>
            <w:r>
              <w:rPr>
                <w:color w:val="auto"/>
                <w:szCs w:val="21"/>
                <w:highlight w:val="none"/>
              </w:rPr>
              <w:t>对主要产生噪声设备，采取优化设备选型、优化布局、室内放置、基础减振、风机消声、隔声等降噪措施。</w:t>
            </w:r>
          </w:p>
        </w:tc>
        <w:tc>
          <w:tcPr>
            <w:tcW w:w="1559" w:type="dxa"/>
            <w:vAlign w:val="center"/>
          </w:tcPr>
          <w:p>
            <w:pPr>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Merge w:val="restart"/>
            <w:vAlign w:val="center"/>
          </w:tcPr>
          <w:p>
            <w:pPr>
              <w:jc w:val="center"/>
              <w:rPr>
                <w:snapToGrid w:val="0"/>
                <w:color w:val="auto"/>
                <w:szCs w:val="21"/>
                <w:highlight w:val="none"/>
              </w:rPr>
            </w:pPr>
            <w:r>
              <w:rPr>
                <w:color w:val="auto"/>
                <w:szCs w:val="21"/>
                <w:highlight w:val="none"/>
              </w:rPr>
              <w:t>固废处理措施</w:t>
            </w:r>
          </w:p>
        </w:tc>
        <w:tc>
          <w:tcPr>
            <w:tcW w:w="1132" w:type="dxa"/>
            <w:vAlign w:val="center"/>
          </w:tcPr>
          <w:p>
            <w:pPr>
              <w:jc w:val="center"/>
              <w:rPr>
                <w:color w:val="auto"/>
                <w:szCs w:val="21"/>
                <w:highlight w:val="none"/>
              </w:rPr>
            </w:pPr>
            <w:r>
              <w:rPr>
                <w:color w:val="auto"/>
                <w:szCs w:val="21"/>
                <w:highlight w:val="none"/>
              </w:rPr>
              <w:t>一般固废</w:t>
            </w:r>
          </w:p>
          <w:p>
            <w:pPr>
              <w:jc w:val="center"/>
              <w:rPr>
                <w:color w:val="auto"/>
                <w:szCs w:val="21"/>
                <w:highlight w:val="none"/>
              </w:rPr>
            </w:pPr>
            <w:r>
              <w:rPr>
                <w:color w:val="auto"/>
                <w:szCs w:val="21"/>
                <w:highlight w:val="none"/>
              </w:rPr>
              <w:t>暂存间</w:t>
            </w:r>
          </w:p>
        </w:tc>
        <w:tc>
          <w:tcPr>
            <w:tcW w:w="4040" w:type="dxa"/>
            <w:vAlign w:val="center"/>
          </w:tcPr>
          <w:p>
            <w:pPr>
              <w:rPr>
                <w:color w:val="auto"/>
                <w:szCs w:val="21"/>
                <w:highlight w:val="none"/>
              </w:rPr>
            </w:pPr>
            <w:r>
              <w:rPr>
                <w:color w:val="auto"/>
                <w:szCs w:val="21"/>
                <w:highlight w:val="none"/>
              </w:rPr>
              <w:t>设置1处一般固废暂存点，位于生产厂房</w:t>
            </w:r>
            <w:r>
              <w:rPr>
                <w:rFonts w:hint="eastAsia"/>
                <w:color w:val="auto"/>
                <w:szCs w:val="21"/>
                <w:highlight w:val="none"/>
              </w:rPr>
              <w:t>南</w:t>
            </w:r>
            <w:r>
              <w:rPr>
                <w:color w:val="auto"/>
                <w:szCs w:val="21"/>
                <w:highlight w:val="none"/>
              </w:rPr>
              <w:t>侧，使用标识牌标注“一般</w:t>
            </w:r>
            <w:r>
              <w:rPr>
                <w:rFonts w:hint="eastAsia"/>
                <w:color w:val="auto"/>
                <w:szCs w:val="21"/>
                <w:highlight w:val="none"/>
                <w:lang w:eastAsia="zh-CN"/>
              </w:rPr>
              <w:t>固废</w:t>
            </w:r>
            <w:r>
              <w:rPr>
                <w:color w:val="auto"/>
                <w:szCs w:val="21"/>
                <w:highlight w:val="none"/>
              </w:rPr>
              <w:t>暂存”，面积约10m</w:t>
            </w:r>
            <w:r>
              <w:rPr>
                <w:color w:val="auto"/>
                <w:szCs w:val="21"/>
                <w:highlight w:val="none"/>
                <w:vertAlign w:val="superscript"/>
              </w:rPr>
              <w:t>2</w:t>
            </w:r>
            <w:r>
              <w:rPr>
                <w:color w:val="auto"/>
                <w:szCs w:val="21"/>
                <w:highlight w:val="none"/>
              </w:rPr>
              <w:t>，用于暂存一般固废。</w:t>
            </w:r>
          </w:p>
        </w:tc>
        <w:tc>
          <w:tcPr>
            <w:tcW w:w="1559" w:type="dxa"/>
            <w:vAlign w:val="center"/>
          </w:tcPr>
          <w:p>
            <w:pPr>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Merge w:val="continue"/>
            <w:vAlign w:val="center"/>
          </w:tcPr>
          <w:p>
            <w:pPr>
              <w:jc w:val="center"/>
              <w:rPr>
                <w:color w:val="auto"/>
                <w:szCs w:val="21"/>
                <w:highlight w:val="none"/>
              </w:rPr>
            </w:pPr>
          </w:p>
        </w:tc>
        <w:tc>
          <w:tcPr>
            <w:tcW w:w="1132" w:type="dxa"/>
            <w:vAlign w:val="center"/>
          </w:tcPr>
          <w:p>
            <w:pPr>
              <w:autoSpaceDE w:val="0"/>
              <w:autoSpaceDN w:val="0"/>
              <w:jc w:val="center"/>
              <w:rPr>
                <w:color w:val="auto"/>
                <w:szCs w:val="21"/>
                <w:highlight w:val="none"/>
              </w:rPr>
            </w:pPr>
            <w:r>
              <w:rPr>
                <w:color w:val="auto"/>
                <w:szCs w:val="21"/>
                <w:highlight w:val="none"/>
              </w:rPr>
              <w:t>危废</w:t>
            </w:r>
          </w:p>
          <w:p>
            <w:pPr>
              <w:autoSpaceDE w:val="0"/>
              <w:autoSpaceDN w:val="0"/>
              <w:jc w:val="center"/>
              <w:rPr>
                <w:color w:val="auto"/>
                <w:szCs w:val="21"/>
                <w:highlight w:val="none"/>
              </w:rPr>
            </w:pPr>
            <w:r>
              <w:rPr>
                <w:color w:val="auto"/>
                <w:szCs w:val="21"/>
                <w:highlight w:val="none"/>
              </w:rPr>
              <w:t>暂存间</w:t>
            </w:r>
          </w:p>
        </w:tc>
        <w:tc>
          <w:tcPr>
            <w:tcW w:w="4040" w:type="dxa"/>
            <w:vAlign w:val="center"/>
          </w:tcPr>
          <w:p>
            <w:pPr>
              <w:autoSpaceDE w:val="0"/>
              <w:autoSpaceDN w:val="0"/>
              <w:spacing w:line="240" w:lineRule="auto"/>
              <w:rPr>
                <w:color w:val="auto"/>
                <w:szCs w:val="21"/>
                <w:highlight w:val="none"/>
              </w:rPr>
            </w:pPr>
            <w:r>
              <w:rPr>
                <w:color w:val="auto"/>
                <w:highlight w:val="none"/>
              </w:rPr>
              <w:t>在</w:t>
            </w:r>
            <w:r>
              <w:rPr>
                <w:rFonts w:hint="eastAsia"/>
                <w:color w:val="auto"/>
                <w:highlight w:val="none"/>
                <w:lang w:val="en-US" w:eastAsia="zh-CN"/>
              </w:rPr>
              <w:t>原料仓库北侧新增</w:t>
            </w:r>
            <w:r>
              <w:rPr>
                <w:color w:val="auto"/>
                <w:highlight w:val="none"/>
              </w:rPr>
              <w:t>一个危废暂存间，占地面积约为</w:t>
            </w:r>
            <w:r>
              <w:rPr>
                <w:rFonts w:hint="eastAsia"/>
                <w:color w:val="auto"/>
                <w:highlight w:val="none"/>
                <w:lang w:val="en-US" w:eastAsia="zh-CN"/>
              </w:rPr>
              <w:t>5</w:t>
            </w:r>
            <w:r>
              <w:rPr>
                <w:color w:val="auto"/>
                <w:highlight w:val="none"/>
              </w:rPr>
              <w:t>m</w:t>
            </w:r>
            <w:r>
              <w:rPr>
                <w:color w:val="auto"/>
                <w:highlight w:val="none"/>
                <w:vertAlign w:val="superscript"/>
              </w:rPr>
              <w:t>2</w:t>
            </w:r>
            <w:r>
              <w:rPr>
                <w:color w:val="auto"/>
                <w:highlight w:val="none"/>
              </w:rPr>
              <w:t>，危废暂存间做好“三防”措施，且暂存间地面按《环境影响评价技术导则 地下水环境》（HJ610-2016）进行“重点防渗”，环评建议拟采用</w:t>
            </w:r>
            <w:r>
              <w:rPr>
                <w:rFonts w:hint="default" w:ascii="Times New Roman" w:hAnsi="Times New Roman" w:cs="Times New Roman"/>
                <w:color w:val="auto"/>
                <w:sz w:val="21"/>
                <w:szCs w:val="21"/>
                <w:highlight w:val="none"/>
              </w:rPr>
              <w:t>在现有的水泥硬化基础上新增2.0mmHDPE膜</w:t>
            </w:r>
            <w:r>
              <w:rPr>
                <w:color w:val="auto"/>
                <w:highlight w:val="none"/>
              </w:rPr>
              <w:t>进行防渗，使其地面达到渗透系数≤1×10</w:t>
            </w:r>
            <w:r>
              <w:rPr>
                <w:color w:val="auto"/>
                <w:highlight w:val="none"/>
                <w:vertAlign w:val="superscript"/>
              </w:rPr>
              <w:t>-10</w:t>
            </w:r>
            <w:r>
              <w:rPr>
                <w:color w:val="auto"/>
                <w:highlight w:val="none"/>
              </w:rPr>
              <w:t>cm/s的防渗性能。暂存间设置危险废物标识牌。暂存间内的危险废物委托有资质的单位进行清运处置。</w:t>
            </w:r>
          </w:p>
        </w:tc>
        <w:tc>
          <w:tcPr>
            <w:tcW w:w="1559"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vAlign w:val="center"/>
          </w:tcPr>
          <w:p>
            <w:pPr>
              <w:jc w:val="center"/>
              <w:rPr>
                <w:color w:val="auto"/>
                <w:szCs w:val="21"/>
                <w:highlight w:val="none"/>
              </w:rPr>
            </w:pPr>
          </w:p>
        </w:tc>
        <w:tc>
          <w:tcPr>
            <w:tcW w:w="961" w:type="dxa"/>
            <w:vMerge w:val="continue"/>
            <w:vAlign w:val="center"/>
          </w:tcPr>
          <w:p>
            <w:pPr>
              <w:jc w:val="center"/>
              <w:rPr>
                <w:color w:val="auto"/>
                <w:szCs w:val="21"/>
                <w:highlight w:val="none"/>
              </w:rPr>
            </w:pPr>
          </w:p>
        </w:tc>
        <w:tc>
          <w:tcPr>
            <w:tcW w:w="1132" w:type="dxa"/>
            <w:vAlign w:val="center"/>
          </w:tcPr>
          <w:p>
            <w:pPr>
              <w:jc w:val="center"/>
              <w:rPr>
                <w:color w:val="auto"/>
                <w:szCs w:val="21"/>
                <w:highlight w:val="none"/>
              </w:rPr>
            </w:pPr>
            <w:r>
              <w:rPr>
                <w:color w:val="auto"/>
                <w:szCs w:val="21"/>
                <w:highlight w:val="none"/>
              </w:rPr>
              <w:t>生活垃圾</w:t>
            </w:r>
          </w:p>
          <w:p>
            <w:pPr>
              <w:jc w:val="center"/>
              <w:rPr>
                <w:color w:val="auto"/>
                <w:szCs w:val="21"/>
                <w:highlight w:val="none"/>
              </w:rPr>
            </w:pPr>
            <w:r>
              <w:rPr>
                <w:color w:val="auto"/>
                <w:szCs w:val="21"/>
                <w:highlight w:val="none"/>
              </w:rPr>
              <w:t>收集</w:t>
            </w:r>
          </w:p>
        </w:tc>
        <w:tc>
          <w:tcPr>
            <w:tcW w:w="4040" w:type="dxa"/>
            <w:vAlign w:val="center"/>
          </w:tcPr>
          <w:p>
            <w:pPr>
              <w:rPr>
                <w:color w:val="auto"/>
                <w:szCs w:val="21"/>
                <w:highlight w:val="none"/>
              </w:rPr>
            </w:pPr>
            <w:r>
              <w:rPr>
                <w:color w:val="auto"/>
                <w:szCs w:val="21"/>
                <w:highlight w:val="none"/>
              </w:rPr>
              <w:t>厂区内设置若干带盖生活垃圾收集桶，收集生活垃圾</w:t>
            </w:r>
          </w:p>
        </w:tc>
        <w:tc>
          <w:tcPr>
            <w:tcW w:w="1559" w:type="dxa"/>
            <w:vAlign w:val="center"/>
          </w:tcPr>
          <w:p>
            <w:pPr>
              <w:jc w:val="center"/>
              <w:rPr>
                <w:color w:val="auto"/>
                <w:szCs w:val="21"/>
                <w:highlight w:val="none"/>
              </w:rPr>
            </w:pPr>
            <w:r>
              <w:rPr>
                <w:color w:val="auto"/>
                <w:szCs w:val="21"/>
                <w:highlight w:val="none"/>
              </w:rPr>
              <w:t>新建</w:t>
            </w:r>
          </w:p>
        </w:tc>
      </w:tr>
    </w:tbl>
    <w:p>
      <w:pPr>
        <w:keepNext/>
        <w:keepLines/>
        <w:spacing w:line="360" w:lineRule="auto"/>
        <w:outlineLvl w:val="1"/>
        <w:rPr>
          <w:b/>
          <w:color w:val="auto"/>
          <w:sz w:val="28"/>
          <w:szCs w:val="32"/>
          <w:highlight w:val="none"/>
        </w:rPr>
      </w:pPr>
      <w:bookmarkStart w:id="314" w:name="_Toc75908622"/>
      <w:bookmarkStart w:id="315" w:name="_Toc17383"/>
      <w:r>
        <w:rPr>
          <w:b/>
          <w:color w:val="auto"/>
          <w:sz w:val="28"/>
          <w:szCs w:val="32"/>
          <w:highlight w:val="none"/>
        </w:rPr>
        <w:t>2.</w:t>
      </w:r>
      <w:r>
        <w:rPr>
          <w:rFonts w:hint="eastAsia"/>
          <w:b/>
          <w:color w:val="auto"/>
          <w:sz w:val="28"/>
          <w:szCs w:val="32"/>
          <w:highlight w:val="none"/>
          <w:lang w:val="en-US" w:eastAsia="zh-CN"/>
        </w:rPr>
        <w:t>3</w:t>
      </w:r>
      <w:r>
        <w:rPr>
          <w:b/>
          <w:color w:val="auto"/>
          <w:sz w:val="28"/>
          <w:szCs w:val="32"/>
          <w:highlight w:val="none"/>
        </w:rPr>
        <w:t>建设规模与产品方案</w:t>
      </w:r>
      <w:bookmarkEnd w:id="314"/>
      <w:bookmarkEnd w:id="315"/>
    </w:p>
    <w:p>
      <w:pPr>
        <w:spacing w:line="360" w:lineRule="auto"/>
        <w:ind w:firstLine="480" w:firstLineChars="200"/>
        <w:rPr>
          <w:bCs/>
          <w:color w:val="auto"/>
          <w:kern w:val="0"/>
          <w:sz w:val="24"/>
          <w:highlight w:val="none"/>
          <w:lang w:val="en-GB"/>
        </w:rPr>
      </w:pPr>
      <w:r>
        <w:rPr>
          <w:rFonts w:hint="eastAsia"/>
          <w:bCs/>
          <w:color w:val="auto"/>
          <w:kern w:val="0"/>
          <w:sz w:val="24"/>
          <w:highlight w:val="none"/>
          <w:lang w:val="en-US" w:eastAsia="zh-CN"/>
        </w:rPr>
        <w:t>项目</w:t>
      </w:r>
      <w:r>
        <w:rPr>
          <w:bCs/>
          <w:color w:val="auto"/>
          <w:kern w:val="0"/>
          <w:sz w:val="24"/>
          <w:highlight w:val="none"/>
          <w:lang w:val="en-GB"/>
        </w:rPr>
        <w:t>年产</w:t>
      </w:r>
      <w:r>
        <w:rPr>
          <w:rFonts w:hint="eastAsia"/>
          <w:bCs/>
          <w:color w:val="auto"/>
          <w:kern w:val="0"/>
          <w:sz w:val="24"/>
          <w:highlight w:val="none"/>
          <w:lang w:val="en-US" w:eastAsia="zh-CN"/>
        </w:rPr>
        <w:t>50万只塑料蔬菜框</w:t>
      </w:r>
      <w:r>
        <w:rPr>
          <w:bCs/>
          <w:color w:val="auto"/>
          <w:kern w:val="0"/>
          <w:sz w:val="24"/>
          <w:highlight w:val="none"/>
          <w:lang w:val="en-GB"/>
        </w:rPr>
        <w:t>。</w:t>
      </w:r>
      <w:r>
        <w:rPr>
          <w:rFonts w:hint="eastAsia"/>
          <w:bCs/>
          <w:color w:val="auto"/>
          <w:kern w:val="0"/>
          <w:sz w:val="24"/>
          <w:highlight w:val="none"/>
          <w:lang w:val="en-US" w:eastAsia="zh-CN"/>
        </w:rPr>
        <w:t>项目使用的新材料和再生料均为聚丙烯树脂颗粒，</w:t>
      </w:r>
      <w:r>
        <w:rPr>
          <w:rFonts w:hint="eastAsia"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聚丙烯塑料必须符合《聚丙烯PP树脂》（GB/T12670-2008）的规定。</w:t>
      </w:r>
      <w:r>
        <w:rPr>
          <w:bCs/>
          <w:color w:val="auto"/>
          <w:kern w:val="0"/>
          <w:sz w:val="24"/>
          <w:highlight w:val="none"/>
          <w:lang w:val="en-GB"/>
        </w:rPr>
        <w:t>建设项目主要产品方案详见</w:t>
      </w:r>
      <w:r>
        <w:rPr>
          <w:bCs/>
          <w:color w:val="auto"/>
          <w:kern w:val="0"/>
          <w:sz w:val="24"/>
          <w:highlight w:val="none"/>
        </w:rPr>
        <w:t>下表</w:t>
      </w:r>
      <w:r>
        <w:rPr>
          <w:bCs/>
          <w:color w:val="auto"/>
          <w:kern w:val="0"/>
          <w:sz w:val="24"/>
          <w:highlight w:val="none"/>
          <w:lang w:val="en-GB"/>
        </w:rPr>
        <w:t>。</w:t>
      </w:r>
    </w:p>
    <w:p>
      <w:pPr>
        <w:spacing w:line="360" w:lineRule="auto"/>
        <w:jc w:val="center"/>
        <w:rPr>
          <w:b/>
          <w:bCs/>
          <w:color w:val="auto"/>
          <w:sz w:val="24"/>
          <w:highlight w:val="none"/>
        </w:rPr>
      </w:pPr>
      <w:r>
        <w:rPr>
          <w:b/>
          <w:bCs/>
          <w:color w:val="auto"/>
          <w:sz w:val="24"/>
          <w:highlight w:val="none"/>
        </w:rPr>
        <w:t>表2.3-1  项目生产规模及产品方案一览表</w:t>
      </w:r>
    </w:p>
    <w:tbl>
      <w:tblPr>
        <w:tblStyle w:val="55"/>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882"/>
        <w:gridCol w:w="2826"/>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3" w:type="dxa"/>
            <w:vAlign w:val="center"/>
          </w:tcPr>
          <w:p>
            <w:pPr>
              <w:spacing w:line="360" w:lineRule="auto"/>
              <w:jc w:val="center"/>
              <w:rPr>
                <w:bCs/>
                <w:color w:val="auto"/>
                <w:szCs w:val="21"/>
                <w:highlight w:val="none"/>
              </w:rPr>
            </w:pPr>
            <w:r>
              <w:rPr>
                <w:bCs/>
                <w:color w:val="auto"/>
                <w:szCs w:val="21"/>
                <w:highlight w:val="none"/>
              </w:rPr>
              <w:t>产品名称</w:t>
            </w:r>
          </w:p>
        </w:tc>
        <w:tc>
          <w:tcPr>
            <w:tcW w:w="1882" w:type="dxa"/>
            <w:vAlign w:val="center"/>
          </w:tcPr>
          <w:p>
            <w:pPr>
              <w:spacing w:line="360" w:lineRule="auto"/>
              <w:jc w:val="center"/>
              <w:rPr>
                <w:rFonts w:hint="eastAsia" w:eastAsia="宋体"/>
                <w:bCs/>
                <w:color w:val="auto"/>
                <w:szCs w:val="21"/>
                <w:highlight w:val="none"/>
                <w:lang w:eastAsia="zh-CN"/>
              </w:rPr>
            </w:pPr>
            <w:r>
              <w:rPr>
                <w:rFonts w:hint="eastAsia"/>
                <w:bCs/>
                <w:color w:val="auto"/>
                <w:szCs w:val="21"/>
                <w:highlight w:val="none"/>
                <w:lang w:val="en-US" w:eastAsia="zh-CN"/>
              </w:rPr>
              <w:t>净重</w:t>
            </w:r>
          </w:p>
        </w:tc>
        <w:tc>
          <w:tcPr>
            <w:tcW w:w="2826" w:type="dxa"/>
            <w:vAlign w:val="center"/>
          </w:tcPr>
          <w:p>
            <w:pPr>
              <w:spacing w:line="360" w:lineRule="auto"/>
              <w:jc w:val="center"/>
              <w:rPr>
                <w:rFonts w:hint="eastAsia" w:eastAsia="宋体"/>
                <w:bCs/>
                <w:color w:val="auto"/>
                <w:szCs w:val="21"/>
                <w:highlight w:val="none"/>
                <w:lang w:eastAsia="zh-CN"/>
              </w:rPr>
            </w:pPr>
            <w:r>
              <w:rPr>
                <w:bCs/>
                <w:color w:val="auto"/>
                <w:szCs w:val="21"/>
                <w:highlight w:val="none"/>
              </w:rPr>
              <w:t>生产规模</w:t>
            </w:r>
            <w:r>
              <w:rPr>
                <w:rFonts w:hint="eastAsia"/>
                <w:bCs/>
                <w:color w:val="auto"/>
                <w:szCs w:val="21"/>
                <w:highlight w:val="none"/>
                <w:lang w:eastAsia="zh-CN"/>
              </w:rPr>
              <w:t>（</w:t>
            </w:r>
            <w:r>
              <w:rPr>
                <w:rFonts w:hint="eastAsia"/>
                <w:bCs/>
                <w:color w:val="auto"/>
                <w:szCs w:val="21"/>
                <w:highlight w:val="none"/>
                <w:lang w:val="en-US" w:eastAsia="zh-CN"/>
              </w:rPr>
              <w:t>万个/年</w:t>
            </w:r>
            <w:r>
              <w:rPr>
                <w:rFonts w:hint="eastAsia"/>
                <w:bCs/>
                <w:color w:val="auto"/>
                <w:szCs w:val="21"/>
                <w:highlight w:val="none"/>
                <w:lang w:eastAsia="zh-CN"/>
              </w:rPr>
              <w:t>）</w:t>
            </w:r>
          </w:p>
        </w:tc>
        <w:tc>
          <w:tcPr>
            <w:tcW w:w="2115" w:type="dxa"/>
            <w:vAlign w:val="center"/>
          </w:tcPr>
          <w:p>
            <w:pPr>
              <w:spacing w:line="360" w:lineRule="auto"/>
              <w:jc w:val="center"/>
              <w:rPr>
                <w:rFonts w:hint="eastAsia" w:eastAsia="宋体"/>
                <w:bCs/>
                <w:color w:val="auto"/>
                <w:szCs w:val="21"/>
                <w:highlight w:val="none"/>
                <w:lang w:eastAsia="zh-CN"/>
              </w:rPr>
            </w:pPr>
            <w:r>
              <w:rPr>
                <w:rFonts w:hint="eastAsia"/>
                <w:bCs/>
                <w:color w:val="auto"/>
                <w:szCs w:val="21"/>
                <w:highlight w:val="none"/>
                <w:lang w:val="en-US" w:eastAsia="zh-CN"/>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3" w:type="dxa"/>
            <w:vAlign w:val="center"/>
          </w:tcPr>
          <w:p>
            <w:pPr>
              <w:spacing w:line="36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蔬菜框</w:t>
            </w:r>
          </w:p>
        </w:tc>
        <w:tc>
          <w:tcPr>
            <w:tcW w:w="1882" w:type="dxa"/>
            <w:vAlign w:val="center"/>
          </w:tcPr>
          <w:p>
            <w:pPr>
              <w:spacing w:line="36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2.5kg/个</w:t>
            </w:r>
          </w:p>
        </w:tc>
        <w:tc>
          <w:tcPr>
            <w:tcW w:w="2826" w:type="dxa"/>
            <w:vAlign w:val="center"/>
          </w:tcPr>
          <w:p>
            <w:pPr>
              <w:spacing w:line="36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50</w:t>
            </w:r>
          </w:p>
        </w:tc>
        <w:tc>
          <w:tcPr>
            <w:tcW w:w="2115" w:type="dxa"/>
            <w:vAlign w:val="center"/>
          </w:tcPr>
          <w:p>
            <w:pPr>
              <w:spacing w:line="36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1250t/a</w:t>
            </w:r>
          </w:p>
        </w:tc>
      </w:tr>
    </w:tbl>
    <w:p>
      <w:pPr>
        <w:keepNext/>
        <w:keepLines/>
        <w:spacing w:line="360" w:lineRule="auto"/>
        <w:outlineLvl w:val="1"/>
        <w:rPr>
          <w:b/>
          <w:color w:val="auto"/>
          <w:sz w:val="28"/>
          <w:szCs w:val="32"/>
          <w:highlight w:val="none"/>
        </w:rPr>
      </w:pPr>
      <w:bookmarkStart w:id="316" w:name="_Toc75908623"/>
      <w:bookmarkStart w:id="317" w:name="_Toc11190"/>
      <w:bookmarkStart w:id="318" w:name="_Toc464477646"/>
      <w:r>
        <w:rPr>
          <w:b/>
          <w:color w:val="auto"/>
          <w:sz w:val="28"/>
          <w:szCs w:val="32"/>
          <w:highlight w:val="none"/>
        </w:rPr>
        <w:t>2.</w:t>
      </w:r>
      <w:r>
        <w:rPr>
          <w:rFonts w:hint="eastAsia"/>
          <w:b/>
          <w:color w:val="auto"/>
          <w:sz w:val="28"/>
          <w:szCs w:val="32"/>
          <w:highlight w:val="none"/>
          <w:lang w:val="en-US" w:eastAsia="zh-CN"/>
        </w:rPr>
        <w:t>4</w:t>
      </w:r>
      <w:r>
        <w:rPr>
          <w:b/>
          <w:color w:val="auto"/>
          <w:sz w:val="28"/>
          <w:szCs w:val="32"/>
          <w:highlight w:val="none"/>
        </w:rPr>
        <w:t>主要原辅料及能源消耗</w:t>
      </w:r>
      <w:bookmarkEnd w:id="316"/>
      <w:bookmarkEnd w:id="317"/>
      <w:bookmarkEnd w:id="318"/>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主要原辅材料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
          <w:bCs/>
          <w:color w:val="auto"/>
          <w:sz w:val="24"/>
          <w:highlight w:val="none"/>
        </w:rPr>
      </w:pPr>
      <w:r>
        <w:rPr>
          <w:rFonts w:hint="eastAsia" w:ascii="Times New Roman" w:hAnsi="Times New Roman" w:cs="Times New Roman"/>
          <w:b w:val="0"/>
          <w:bCs w:val="0"/>
          <w:color w:val="auto"/>
          <w:sz w:val="24"/>
          <w:highlight w:val="none"/>
          <w:lang w:val="en-US" w:eastAsia="zh-CN"/>
        </w:rPr>
        <w:t>项目生产过程中不使用锅炉，不涉及煤炭、天然气等能源的使用，使用电能</w:t>
      </w:r>
      <w:r>
        <w:rPr>
          <w:rFonts w:hint="default" w:ascii="Times New Roman" w:hAnsi="Times New Roman" w:cs="Times New Roman"/>
          <w:b w:val="0"/>
          <w:bCs w:val="0"/>
          <w:color w:val="auto"/>
          <w:sz w:val="24"/>
          <w:highlight w:val="none"/>
          <w:lang w:val="en-US" w:eastAsia="zh-CN"/>
        </w:rPr>
        <w:t>。</w:t>
      </w:r>
      <w:r>
        <w:rPr>
          <w:rFonts w:hint="eastAsia" w:ascii="Times New Roman" w:hAnsi="Times New Roman" w:cs="Times New Roman"/>
          <w:b w:val="0"/>
          <w:bCs w:val="0"/>
          <w:color w:val="auto"/>
          <w:sz w:val="24"/>
          <w:highlight w:val="none"/>
          <w:lang w:val="en-US" w:eastAsia="zh-CN"/>
        </w:rPr>
        <w:t>蔬菜框生产线主要原料为聚丙烯树脂颗粒（再生料</w:t>
      </w:r>
      <w:r>
        <w:rPr>
          <w:rFonts w:hint="eastAsia" w:cs="Times New Roman"/>
          <w:b w:val="0"/>
          <w:bCs w:val="0"/>
          <w:color w:val="auto"/>
          <w:sz w:val="24"/>
          <w:highlight w:val="none"/>
          <w:lang w:val="en-US" w:eastAsia="zh-CN"/>
        </w:rPr>
        <w:t>、新料</w:t>
      </w:r>
      <w:r>
        <w:rPr>
          <w:rFonts w:hint="eastAsia"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，项目不使用非法产品或来源不明原料。</w:t>
      </w:r>
      <w:r>
        <w:rPr>
          <w:rFonts w:hint="default" w:ascii="Times New Roman" w:hAnsi="Times New Roman" w:cs="Times New Roman"/>
          <w:b w:val="0"/>
          <w:bCs w:val="0"/>
          <w:color w:val="auto"/>
          <w:sz w:val="24"/>
          <w:highlight w:val="none"/>
          <w:lang w:val="en-US" w:eastAsia="zh-CN"/>
        </w:rPr>
        <w:t>项目主要原辅材料见下表。</w:t>
      </w:r>
    </w:p>
    <w:p>
      <w:pPr>
        <w:spacing w:line="360" w:lineRule="auto"/>
        <w:jc w:val="center"/>
        <w:rPr>
          <w:color w:val="auto"/>
          <w:kern w:val="0"/>
          <w:sz w:val="24"/>
          <w:highlight w:val="none"/>
        </w:rPr>
      </w:pPr>
      <w:r>
        <w:rPr>
          <w:b/>
          <w:bCs/>
          <w:color w:val="auto"/>
          <w:sz w:val="24"/>
          <w:highlight w:val="none"/>
        </w:rPr>
        <w:t>表2.4-1  项目主要原辅料及能源消耗一览表</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455"/>
        <w:gridCol w:w="1365"/>
        <w:gridCol w:w="1965"/>
        <w:gridCol w:w="3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spacing w:line="360" w:lineRule="auto"/>
              <w:jc w:val="center"/>
              <w:rPr>
                <w:b/>
                <w:color w:val="auto"/>
                <w:szCs w:val="21"/>
                <w:highlight w:val="none"/>
              </w:rPr>
            </w:pPr>
            <w:r>
              <w:rPr>
                <w:b/>
                <w:color w:val="auto"/>
                <w:szCs w:val="21"/>
                <w:highlight w:val="none"/>
              </w:rPr>
              <w:t>类别</w:t>
            </w:r>
          </w:p>
        </w:tc>
        <w:tc>
          <w:tcPr>
            <w:tcW w:w="1455" w:type="dxa"/>
            <w:vAlign w:val="center"/>
          </w:tcPr>
          <w:p>
            <w:pPr>
              <w:spacing w:line="360" w:lineRule="auto"/>
              <w:jc w:val="center"/>
              <w:rPr>
                <w:b/>
                <w:color w:val="auto"/>
                <w:szCs w:val="21"/>
                <w:highlight w:val="none"/>
              </w:rPr>
            </w:pPr>
            <w:r>
              <w:rPr>
                <w:b/>
                <w:color w:val="auto"/>
                <w:szCs w:val="21"/>
                <w:highlight w:val="none"/>
              </w:rPr>
              <w:t>名称</w:t>
            </w:r>
          </w:p>
        </w:tc>
        <w:tc>
          <w:tcPr>
            <w:tcW w:w="1365" w:type="dxa"/>
            <w:vAlign w:val="center"/>
          </w:tcPr>
          <w:p>
            <w:pPr>
              <w:spacing w:line="360" w:lineRule="auto"/>
              <w:jc w:val="center"/>
              <w:rPr>
                <w:rFonts w:hint="eastAsia" w:eastAsia="宋体"/>
                <w:b/>
                <w:color w:val="auto"/>
                <w:szCs w:val="21"/>
                <w:highlight w:val="none"/>
                <w:lang w:eastAsia="zh-CN"/>
              </w:rPr>
            </w:pPr>
            <w:r>
              <w:rPr>
                <w:b/>
                <w:color w:val="auto"/>
                <w:szCs w:val="21"/>
                <w:highlight w:val="none"/>
              </w:rPr>
              <w:t>年耗量</w:t>
            </w:r>
            <w:r>
              <w:rPr>
                <w:rFonts w:hint="eastAsia"/>
                <w:b/>
                <w:color w:val="auto"/>
                <w:szCs w:val="21"/>
                <w:highlight w:val="none"/>
                <w:lang w:eastAsia="zh-CN"/>
              </w:rPr>
              <w:t>（</w:t>
            </w:r>
            <w:r>
              <w:rPr>
                <w:rFonts w:hint="eastAsia"/>
                <w:b/>
                <w:color w:val="auto"/>
                <w:szCs w:val="21"/>
                <w:highlight w:val="none"/>
                <w:lang w:val="en-US" w:eastAsia="zh-CN"/>
              </w:rPr>
              <w:t>t/a</w:t>
            </w:r>
            <w:r>
              <w:rPr>
                <w:rFonts w:hint="eastAsia"/>
                <w:b/>
                <w:color w:val="auto"/>
                <w:szCs w:val="21"/>
                <w:highlight w:val="none"/>
                <w:lang w:eastAsia="zh-CN"/>
              </w:rPr>
              <w:t>）</w:t>
            </w:r>
          </w:p>
        </w:tc>
        <w:tc>
          <w:tcPr>
            <w:tcW w:w="1965" w:type="dxa"/>
            <w:vAlign w:val="center"/>
          </w:tcPr>
          <w:p>
            <w:pPr>
              <w:spacing w:line="360" w:lineRule="auto"/>
              <w:jc w:val="center"/>
              <w:rPr>
                <w:b/>
                <w:color w:val="auto"/>
                <w:szCs w:val="21"/>
                <w:highlight w:val="none"/>
              </w:rPr>
            </w:pPr>
            <w:r>
              <w:rPr>
                <w:b/>
                <w:color w:val="auto"/>
                <w:szCs w:val="21"/>
                <w:highlight w:val="none"/>
              </w:rPr>
              <w:t>来源</w:t>
            </w:r>
          </w:p>
        </w:tc>
        <w:tc>
          <w:tcPr>
            <w:tcW w:w="3109" w:type="dxa"/>
            <w:vAlign w:val="center"/>
          </w:tcPr>
          <w:p>
            <w:pPr>
              <w:spacing w:line="360" w:lineRule="auto"/>
              <w:jc w:val="center"/>
              <w:rPr>
                <w:b/>
                <w:color w:val="auto"/>
                <w:szCs w:val="21"/>
                <w:highlight w:val="none"/>
              </w:rPr>
            </w:pPr>
            <w:r>
              <w:rPr>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spacing w:line="360" w:lineRule="auto"/>
              <w:jc w:val="center"/>
              <w:rPr>
                <w:color w:val="auto"/>
                <w:szCs w:val="21"/>
                <w:highlight w:val="none"/>
              </w:rPr>
            </w:pPr>
            <w:r>
              <w:rPr>
                <w:color w:val="auto"/>
                <w:szCs w:val="21"/>
                <w:highlight w:val="none"/>
              </w:rPr>
              <w:t>原辅料</w:t>
            </w:r>
          </w:p>
        </w:tc>
        <w:tc>
          <w:tcPr>
            <w:tcW w:w="1455" w:type="dxa"/>
            <w:vAlign w:val="center"/>
          </w:tcPr>
          <w:p>
            <w:pPr>
              <w:spacing w:line="360" w:lineRule="auto"/>
              <w:jc w:val="center"/>
              <w:rPr>
                <w:color w:val="auto"/>
                <w:szCs w:val="21"/>
                <w:highlight w:val="none"/>
              </w:rPr>
            </w:pPr>
            <w:r>
              <w:rPr>
                <w:rFonts w:hint="eastAsia"/>
                <w:bCs/>
                <w:color w:val="auto"/>
                <w:kern w:val="0"/>
                <w:szCs w:val="21"/>
                <w:highlight w:val="none"/>
                <w:lang w:val="en-US" w:eastAsia="zh-CN"/>
              </w:rPr>
              <w:t>聚丙烯树脂颗粒新材料</w:t>
            </w:r>
          </w:p>
        </w:tc>
        <w:tc>
          <w:tcPr>
            <w:tcW w:w="1365" w:type="dxa"/>
            <w:vAlign w:val="center"/>
          </w:tcPr>
          <w:p>
            <w:pPr>
              <w:spacing w:line="360" w:lineRule="auto"/>
              <w:jc w:val="center"/>
              <w:rPr>
                <w:color w:val="auto"/>
                <w:szCs w:val="21"/>
                <w:highlight w:val="none"/>
              </w:rPr>
            </w:pPr>
            <w:r>
              <w:rPr>
                <w:rFonts w:hint="eastAsia"/>
                <w:color w:val="auto"/>
                <w:szCs w:val="21"/>
                <w:highlight w:val="none"/>
                <w:lang w:val="en-US" w:eastAsia="zh-CN"/>
              </w:rPr>
              <w:t>627.0031</w:t>
            </w:r>
          </w:p>
        </w:tc>
        <w:tc>
          <w:tcPr>
            <w:tcW w:w="1965" w:type="dxa"/>
            <w:vAlign w:val="center"/>
          </w:tcPr>
          <w:p>
            <w:pPr>
              <w:spacing w:line="360" w:lineRule="auto"/>
              <w:jc w:val="center"/>
              <w:rPr>
                <w:color w:val="auto"/>
                <w:szCs w:val="21"/>
                <w:highlight w:val="none"/>
              </w:rPr>
            </w:pPr>
            <w:r>
              <w:rPr>
                <w:color w:val="auto"/>
                <w:szCs w:val="21"/>
                <w:highlight w:val="none"/>
              </w:rPr>
              <w:t>外购</w:t>
            </w:r>
          </w:p>
        </w:tc>
        <w:tc>
          <w:tcPr>
            <w:tcW w:w="3109"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固体颗粒，袋装，25kg/袋，内含滑石粉（约15%）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spacing w:line="360" w:lineRule="auto"/>
              <w:jc w:val="center"/>
              <w:rPr>
                <w:color w:val="auto"/>
                <w:szCs w:val="21"/>
                <w:highlight w:val="none"/>
              </w:rPr>
            </w:pPr>
          </w:p>
        </w:tc>
        <w:tc>
          <w:tcPr>
            <w:tcW w:w="1455" w:type="dxa"/>
            <w:vAlign w:val="center"/>
          </w:tcPr>
          <w:p>
            <w:pPr>
              <w:spacing w:line="360" w:lineRule="auto"/>
              <w:jc w:val="center"/>
              <w:rPr>
                <w:rFonts w:hint="default"/>
                <w:bCs/>
                <w:color w:val="auto"/>
                <w:kern w:val="0"/>
                <w:szCs w:val="21"/>
                <w:highlight w:val="none"/>
                <w:lang w:val="en-US" w:eastAsia="zh-CN"/>
              </w:rPr>
            </w:pPr>
            <w:r>
              <w:rPr>
                <w:rFonts w:hint="eastAsia"/>
                <w:bCs/>
                <w:color w:val="auto"/>
                <w:kern w:val="0"/>
                <w:szCs w:val="21"/>
                <w:highlight w:val="none"/>
                <w:lang w:val="en-US" w:eastAsia="zh-CN"/>
              </w:rPr>
              <w:t>聚丙烯树脂颗粒再生料</w:t>
            </w:r>
          </w:p>
        </w:tc>
        <w:tc>
          <w:tcPr>
            <w:tcW w:w="1365"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627.0031</w:t>
            </w:r>
          </w:p>
        </w:tc>
        <w:tc>
          <w:tcPr>
            <w:tcW w:w="1965"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外购</w:t>
            </w:r>
          </w:p>
        </w:tc>
        <w:tc>
          <w:tcPr>
            <w:tcW w:w="3109"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固体颗粒，袋装，25kg/袋，内含滑石粉（约15%）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spacing w:line="360" w:lineRule="auto"/>
              <w:jc w:val="center"/>
              <w:rPr>
                <w:color w:val="auto"/>
                <w:szCs w:val="21"/>
                <w:highlight w:val="none"/>
              </w:rPr>
            </w:pPr>
          </w:p>
        </w:tc>
        <w:tc>
          <w:tcPr>
            <w:tcW w:w="1455" w:type="dxa"/>
            <w:vAlign w:val="center"/>
          </w:tcPr>
          <w:p>
            <w:pPr>
              <w:spacing w:line="360" w:lineRule="auto"/>
              <w:jc w:val="center"/>
              <w:rPr>
                <w:color w:val="auto"/>
                <w:szCs w:val="21"/>
                <w:highlight w:val="none"/>
              </w:rPr>
            </w:pPr>
            <w:r>
              <w:rPr>
                <w:color w:val="auto"/>
                <w:szCs w:val="21"/>
                <w:highlight w:val="none"/>
              </w:rPr>
              <w:t>活性炭</w:t>
            </w:r>
          </w:p>
        </w:tc>
        <w:tc>
          <w:tcPr>
            <w:tcW w:w="1365" w:type="dxa"/>
            <w:vAlign w:val="center"/>
          </w:tcPr>
          <w:p>
            <w:pPr>
              <w:spacing w:line="360" w:lineRule="auto"/>
              <w:jc w:val="center"/>
              <w:rPr>
                <w:rFonts w:hint="default"/>
                <w:color w:val="auto"/>
                <w:szCs w:val="21"/>
                <w:highlight w:val="none"/>
                <w:lang w:val="en-US"/>
              </w:rPr>
            </w:pPr>
            <w:r>
              <w:rPr>
                <w:rFonts w:hint="eastAsia" w:cs="Times New Roman"/>
                <w:color w:val="auto"/>
                <w:szCs w:val="21"/>
                <w:highlight w:val="none"/>
                <w:lang w:val="en-US" w:eastAsia="zh-CN"/>
              </w:rPr>
              <w:t>8.68</w:t>
            </w:r>
          </w:p>
        </w:tc>
        <w:tc>
          <w:tcPr>
            <w:tcW w:w="1965" w:type="dxa"/>
            <w:vAlign w:val="center"/>
          </w:tcPr>
          <w:p>
            <w:pPr>
              <w:spacing w:line="360" w:lineRule="auto"/>
              <w:jc w:val="center"/>
              <w:rPr>
                <w:color w:val="auto"/>
                <w:szCs w:val="21"/>
                <w:highlight w:val="none"/>
              </w:rPr>
            </w:pPr>
            <w:r>
              <w:rPr>
                <w:color w:val="auto"/>
                <w:szCs w:val="21"/>
                <w:highlight w:val="none"/>
              </w:rPr>
              <w:t>市场购买</w:t>
            </w:r>
          </w:p>
        </w:tc>
        <w:tc>
          <w:tcPr>
            <w:tcW w:w="3109" w:type="dxa"/>
            <w:vAlign w:val="center"/>
          </w:tcPr>
          <w:p>
            <w:pPr>
              <w:spacing w:line="360" w:lineRule="auto"/>
              <w:jc w:val="center"/>
              <w:rPr>
                <w:color w:val="auto"/>
                <w:szCs w:val="21"/>
                <w:highlight w:val="none"/>
              </w:rPr>
            </w:pPr>
            <w:r>
              <w:rPr>
                <w:color w:val="auto"/>
                <w:szCs w:val="21"/>
                <w:highlight w:val="none"/>
              </w:rPr>
              <w:t>废气治理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spacing w:line="360" w:lineRule="auto"/>
              <w:jc w:val="center"/>
              <w:rPr>
                <w:color w:val="auto"/>
                <w:szCs w:val="21"/>
                <w:highlight w:val="none"/>
              </w:rPr>
            </w:pPr>
            <w:r>
              <w:rPr>
                <w:color w:val="auto"/>
                <w:szCs w:val="21"/>
                <w:highlight w:val="none"/>
              </w:rPr>
              <w:t>能源</w:t>
            </w:r>
          </w:p>
        </w:tc>
        <w:tc>
          <w:tcPr>
            <w:tcW w:w="1455" w:type="dxa"/>
            <w:vAlign w:val="center"/>
          </w:tcPr>
          <w:p>
            <w:pPr>
              <w:spacing w:line="360" w:lineRule="auto"/>
              <w:jc w:val="center"/>
              <w:rPr>
                <w:color w:val="auto"/>
                <w:szCs w:val="21"/>
                <w:highlight w:val="none"/>
              </w:rPr>
            </w:pPr>
            <w:r>
              <w:rPr>
                <w:color w:val="auto"/>
                <w:szCs w:val="21"/>
                <w:highlight w:val="none"/>
              </w:rPr>
              <w:t>电</w:t>
            </w:r>
          </w:p>
        </w:tc>
        <w:tc>
          <w:tcPr>
            <w:tcW w:w="1365" w:type="dxa"/>
            <w:vAlign w:val="center"/>
          </w:tcPr>
          <w:p>
            <w:pPr>
              <w:spacing w:line="360" w:lineRule="auto"/>
              <w:jc w:val="center"/>
              <w:rPr>
                <w:color w:val="auto"/>
                <w:szCs w:val="21"/>
                <w:highlight w:val="none"/>
              </w:rPr>
            </w:pPr>
            <w:r>
              <w:rPr>
                <w:color w:val="auto"/>
                <w:szCs w:val="21"/>
                <w:highlight w:val="none"/>
              </w:rPr>
              <w:t>60万kWh</w:t>
            </w:r>
          </w:p>
        </w:tc>
        <w:tc>
          <w:tcPr>
            <w:tcW w:w="1965" w:type="dxa"/>
            <w:vAlign w:val="center"/>
          </w:tcPr>
          <w:p>
            <w:pPr>
              <w:spacing w:line="360" w:lineRule="auto"/>
              <w:jc w:val="center"/>
              <w:rPr>
                <w:color w:val="auto"/>
                <w:szCs w:val="21"/>
                <w:highlight w:val="none"/>
              </w:rPr>
            </w:pPr>
            <w:r>
              <w:rPr>
                <w:color w:val="auto"/>
                <w:szCs w:val="21"/>
                <w:highlight w:val="none"/>
              </w:rPr>
              <w:t>市政供电</w:t>
            </w:r>
          </w:p>
        </w:tc>
        <w:tc>
          <w:tcPr>
            <w:tcW w:w="3109" w:type="dxa"/>
            <w:vAlign w:val="center"/>
          </w:tcPr>
          <w:p>
            <w:pPr>
              <w:spacing w:line="360" w:lineRule="auto"/>
              <w:jc w:val="center"/>
              <w:rPr>
                <w:color w:val="auto"/>
                <w:szCs w:val="21"/>
                <w:highlight w:val="none"/>
              </w:rPr>
            </w:pPr>
            <w:r>
              <w:rPr>
                <w:color w:val="auto"/>
                <w:szCs w:val="21"/>
                <w:highlight w:val="none"/>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spacing w:line="360" w:lineRule="auto"/>
              <w:jc w:val="center"/>
              <w:rPr>
                <w:color w:val="auto"/>
                <w:szCs w:val="21"/>
                <w:highlight w:val="none"/>
              </w:rPr>
            </w:pPr>
          </w:p>
        </w:tc>
        <w:tc>
          <w:tcPr>
            <w:tcW w:w="1455" w:type="dxa"/>
            <w:vAlign w:val="center"/>
          </w:tcPr>
          <w:p>
            <w:pPr>
              <w:spacing w:line="360" w:lineRule="auto"/>
              <w:jc w:val="center"/>
              <w:rPr>
                <w:color w:val="auto"/>
                <w:szCs w:val="21"/>
                <w:highlight w:val="none"/>
              </w:rPr>
            </w:pPr>
            <w:r>
              <w:rPr>
                <w:color w:val="auto"/>
                <w:szCs w:val="21"/>
                <w:highlight w:val="none"/>
              </w:rPr>
              <w:t>水</w:t>
            </w:r>
          </w:p>
        </w:tc>
        <w:tc>
          <w:tcPr>
            <w:tcW w:w="1365" w:type="dxa"/>
            <w:vAlign w:val="center"/>
          </w:tcPr>
          <w:p>
            <w:pPr>
              <w:spacing w:line="360" w:lineRule="auto"/>
              <w:jc w:val="center"/>
              <w:rPr>
                <w:color w:val="auto"/>
                <w:szCs w:val="21"/>
                <w:highlight w:val="none"/>
                <w:vertAlign w:val="superscript"/>
              </w:rPr>
            </w:pPr>
            <w:r>
              <w:rPr>
                <w:rFonts w:hint="eastAsia"/>
                <w:color w:val="auto"/>
                <w:szCs w:val="21"/>
                <w:highlight w:val="none"/>
                <w:lang w:val="en-US" w:eastAsia="zh-CN"/>
              </w:rPr>
              <w:t>995</w:t>
            </w:r>
            <w:r>
              <w:rPr>
                <w:color w:val="auto"/>
                <w:szCs w:val="21"/>
                <w:highlight w:val="none"/>
              </w:rPr>
              <w:t>m</w:t>
            </w:r>
            <w:r>
              <w:rPr>
                <w:color w:val="auto"/>
                <w:szCs w:val="21"/>
                <w:highlight w:val="none"/>
                <w:vertAlign w:val="superscript"/>
              </w:rPr>
              <w:t>3</w:t>
            </w:r>
          </w:p>
          <w:p>
            <w:pPr>
              <w:spacing w:line="360" w:lineRule="auto"/>
              <w:jc w:val="center"/>
              <w:rPr>
                <w:color w:val="auto"/>
                <w:szCs w:val="21"/>
                <w:highlight w:val="none"/>
              </w:rPr>
            </w:pPr>
            <w:r>
              <w:rPr>
                <w:color w:val="auto"/>
                <w:szCs w:val="21"/>
                <w:highlight w:val="none"/>
              </w:rPr>
              <w:t>（新鲜水）</w:t>
            </w:r>
          </w:p>
        </w:tc>
        <w:tc>
          <w:tcPr>
            <w:tcW w:w="1965" w:type="dxa"/>
            <w:vAlign w:val="center"/>
          </w:tcPr>
          <w:p>
            <w:pPr>
              <w:spacing w:line="360" w:lineRule="auto"/>
              <w:jc w:val="center"/>
              <w:rPr>
                <w:color w:val="auto"/>
                <w:szCs w:val="21"/>
                <w:highlight w:val="none"/>
              </w:rPr>
            </w:pPr>
            <w:r>
              <w:rPr>
                <w:color w:val="auto"/>
                <w:szCs w:val="21"/>
                <w:highlight w:val="none"/>
              </w:rPr>
              <w:t>市政供水</w:t>
            </w:r>
          </w:p>
        </w:tc>
        <w:tc>
          <w:tcPr>
            <w:tcW w:w="3109" w:type="dxa"/>
            <w:vAlign w:val="center"/>
          </w:tcPr>
          <w:p>
            <w:pPr>
              <w:spacing w:line="360" w:lineRule="auto"/>
              <w:jc w:val="center"/>
              <w:rPr>
                <w:color w:val="auto"/>
                <w:szCs w:val="21"/>
                <w:highlight w:val="none"/>
              </w:rPr>
            </w:pPr>
            <w:r>
              <w:rPr>
                <w:color w:val="auto"/>
                <w:szCs w:val="21"/>
                <w:highlight w:val="none"/>
              </w:rPr>
              <w:t>供水</w:t>
            </w:r>
          </w:p>
        </w:tc>
      </w:tr>
    </w:tbl>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主要原辅料性质</w:t>
      </w:r>
    </w:p>
    <w:p>
      <w:pPr>
        <w:spacing w:line="360" w:lineRule="auto"/>
        <w:ind w:firstLine="480" w:firstLineChars="200"/>
        <w:rPr>
          <w:rFonts w:hint="default"/>
          <w:color w:val="auto"/>
          <w:sz w:val="24"/>
          <w:highlight w:val="none"/>
          <w:lang w:val="en-US" w:eastAsia="zh-CN"/>
        </w:rPr>
      </w:pPr>
      <w:r>
        <w:rPr>
          <w:color w:val="auto"/>
          <w:kern w:val="0"/>
          <w:sz w:val="24"/>
          <w:highlight w:val="none"/>
        </w:rPr>
        <w:t>①</w:t>
      </w:r>
      <w:r>
        <w:rPr>
          <w:color w:val="auto"/>
          <w:sz w:val="24"/>
          <w:highlight w:val="none"/>
        </w:rPr>
        <w:t>聚丙烯</w:t>
      </w:r>
      <w:r>
        <w:rPr>
          <w:rFonts w:hint="eastAsia"/>
          <w:color w:val="auto"/>
          <w:sz w:val="24"/>
          <w:highlight w:val="none"/>
          <w:lang w:val="en-US" w:eastAsia="zh-CN"/>
        </w:rPr>
        <w:t>树脂颗粒（内含滑石粉）</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项目使用的聚丙烯树脂颗粒（新料和再生料）均为外购，外购的聚丙烯树脂颗粒（新料和再生料）含有聚丙烯（PP）和滑石粉（滑石粉含量约为25%）。</w:t>
      </w:r>
    </w:p>
    <w:p>
      <w:pPr>
        <w:spacing w:line="360" w:lineRule="auto"/>
        <w:ind w:firstLine="480" w:firstLineChars="200"/>
        <w:rPr>
          <w:rFonts w:hint="default"/>
          <w:color w:val="auto"/>
          <w:sz w:val="24"/>
          <w:highlight w:val="none"/>
          <w:lang w:val="en-US" w:eastAsia="zh-CN"/>
        </w:rPr>
      </w:pPr>
      <w:r>
        <w:rPr>
          <w:color w:val="auto"/>
          <w:sz w:val="24"/>
          <w:highlight w:val="none"/>
        </w:rPr>
        <w:t>聚丙烯又称PP，分子式（C</w:t>
      </w:r>
      <w:r>
        <w:rPr>
          <w:color w:val="auto"/>
          <w:sz w:val="24"/>
          <w:highlight w:val="none"/>
          <w:vertAlign w:val="subscript"/>
        </w:rPr>
        <w:t>3</w:t>
      </w:r>
      <w:r>
        <w:rPr>
          <w:color w:val="auto"/>
          <w:sz w:val="24"/>
          <w:highlight w:val="none"/>
        </w:rPr>
        <w:t>H</w:t>
      </w:r>
      <w:r>
        <w:rPr>
          <w:color w:val="auto"/>
          <w:sz w:val="24"/>
          <w:highlight w:val="none"/>
          <w:vertAlign w:val="subscript"/>
        </w:rPr>
        <w:t>6</w:t>
      </w:r>
      <w:r>
        <w:rPr>
          <w:color w:val="auto"/>
          <w:sz w:val="24"/>
          <w:highlight w:val="none"/>
        </w:rPr>
        <w:t>）n，是由丙烯聚合而制得的一种热塑性树脂。</w:t>
      </w:r>
      <w:r>
        <w:rPr>
          <w:rFonts w:hint="eastAsia"/>
          <w:color w:val="auto"/>
          <w:sz w:val="24"/>
          <w:highlight w:val="none"/>
          <w:lang w:val="en-US" w:eastAsia="zh-CN"/>
        </w:rPr>
        <w:t>是通用塑料的一个重要品种，无毒、无味、密度小，强度、刚度、硬度耐热性均优于低压聚乙烯，可在100℃左右使用，具有良好的介电性能和高频绝缘性且不受湿度影响，但低温时变脆，不耐磨、易老化，聚丙烯的化学稳定性很好，除能被浓硫酸、浓硝酸侵蚀外，对其它各种化学试剂都比较稳定，但低分子量的脂肪烃、芳香烃和氯化烃等能使聚丙烯软化和溶胀，同时它的化学稳定性随结晶度的增加还有所提高，所以聚丙烯适合制作各种化工管道和配件，防腐蚀效果良好。脆化温度为-35℃，在低于-35℃会发生脆化，聚丙烯的熔融温度约为164℃-170℃，100%等规度聚丙烯熔点为176℃，裂解温度达300℃以上。</w:t>
      </w:r>
    </w:p>
    <w:p>
      <w:pPr>
        <w:spacing w:line="360" w:lineRule="auto"/>
        <w:ind w:firstLine="480" w:firstLineChars="200"/>
        <w:rPr>
          <w:rFonts w:hint="default"/>
          <w:color w:val="auto"/>
          <w:highlight w:val="none"/>
          <w:lang w:val="en-US" w:eastAsia="zh-CN"/>
        </w:rPr>
      </w:pPr>
      <w:r>
        <w:rPr>
          <w:rFonts w:hint="eastAsia"/>
          <w:color w:val="auto"/>
          <w:sz w:val="24"/>
          <w:highlight w:val="none"/>
          <w:lang w:val="en-US" w:eastAsia="zh-CN"/>
        </w:rPr>
        <w:t>滑石粉是一种塑料改性填料，主要成分为滑石粉，通过与聚合物或其他载体混合造粒而形成的粒料。滑石粉是一种含水的、具有层状结构的硅酸盐矿物。化学式：Mg</w:t>
      </w:r>
      <w:r>
        <w:rPr>
          <w:rFonts w:hint="eastAsia"/>
          <w:color w:val="auto"/>
          <w:sz w:val="24"/>
          <w:highlight w:val="none"/>
          <w:vertAlign w:val="subscript"/>
          <w:lang w:val="en-US" w:eastAsia="zh-CN"/>
        </w:rPr>
        <w:t>3</w:t>
      </w:r>
      <w:r>
        <w:rPr>
          <w:rFonts w:hint="eastAsia"/>
          <w:color w:val="auto"/>
          <w:sz w:val="24"/>
          <w:highlight w:val="none"/>
          <w:lang w:val="en-US" w:eastAsia="zh-CN"/>
        </w:rPr>
        <w:t>（Si</w:t>
      </w:r>
      <w:r>
        <w:rPr>
          <w:rFonts w:hint="eastAsia"/>
          <w:color w:val="auto"/>
          <w:sz w:val="24"/>
          <w:highlight w:val="none"/>
          <w:vertAlign w:val="subscript"/>
          <w:lang w:val="en-US" w:eastAsia="zh-CN"/>
        </w:rPr>
        <w:t>4</w:t>
      </w:r>
      <w:r>
        <w:rPr>
          <w:rFonts w:hint="eastAsia"/>
          <w:color w:val="auto"/>
          <w:sz w:val="24"/>
          <w:highlight w:val="none"/>
          <w:lang w:val="en-US" w:eastAsia="zh-CN"/>
        </w:rPr>
        <w:t>O</w:t>
      </w:r>
      <w:r>
        <w:rPr>
          <w:rFonts w:hint="eastAsia"/>
          <w:color w:val="auto"/>
          <w:sz w:val="24"/>
          <w:highlight w:val="none"/>
          <w:vertAlign w:val="subscript"/>
          <w:lang w:val="en-US" w:eastAsia="zh-CN"/>
        </w:rPr>
        <w:t>10</w:t>
      </w:r>
      <w:r>
        <w:rPr>
          <w:rFonts w:hint="eastAsia"/>
          <w:color w:val="auto"/>
          <w:sz w:val="24"/>
          <w:highlight w:val="none"/>
          <w:lang w:val="en-US" w:eastAsia="zh-CN"/>
        </w:rPr>
        <w:t>）（OH）</w:t>
      </w:r>
      <w:r>
        <w:rPr>
          <w:rFonts w:hint="eastAsia"/>
          <w:color w:val="auto"/>
          <w:sz w:val="24"/>
          <w:highlight w:val="none"/>
          <w:vertAlign w:val="subscript"/>
          <w:lang w:val="en-US" w:eastAsia="zh-CN"/>
        </w:rPr>
        <w:t>2</w:t>
      </w:r>
      <w:r>
        <w:rPr>
          <w:rFonts w:hint="eastAsia"/>
          <w:color w:val="auto"/>
          <w:sz w:val="24"/>
          <w:highlight w:val="none"/>
          <w:lang w:val="en-US" w:eastAsia="zh-CN"/>
        </w:rPr>
        <w:t>。其化学组成：MgO为31.8%，SiO</w:t>
      </w:r>
      <w:r>
        <w:rPr>
          <w:rFonts w:hint="eastAsia"/>
          <w:color w:val="auto"/>
          <w:sz w:val="24"/>
          <w:highlight w:val="none"/>
          <w:vertAlign w:val="subscript"/>
          <w:lang w:val="en-US" w:eastAsia="zh-CN"/>
        </w:rPr>
        <w:t>2</w:t>
      </w:r>
      <w:r>
        <w:rPr>
          <w:rFonts w:hint="eastAsia"/>
          <w:color w:val="auto"/>
          <w:sz w:val="24"/>
          <w:highlight w:val="none"/>
          <w:lang w:val="en-US" w:eastAsia="zh-CN"/>
        </w:rPr>
        <w:t>为63.37%，H</w:t>
      </w:r>
      <w:r>
        <w:rPr>
          <w:rFonts w:hint="eastAsia"/>
          <w:color w:val="auto"/>
          <w:sz w:val="24"/>
          <w:highlight w:val="none"/>
          <w:vertAlign w:val="subscript"/>
          <w:lang w:val="en-US" w:eastAsia="zh-CN"/>
        </w:rPr>
        <w:t>2</w:t>
      </w:r>
      <w:r>
        <w:rPr>
          <w:rFonts w:hint="eastAsia"/>
          <w:color w:val="auto"/>
          <w:sz w:val="24"/>
          <w:highlight w:val="none"/>
          <w:lang w:val="en-US" w:eastAsia="zh-CN"/>
        </w:rPr>
        <w:t>O为4.7%，常含少量的Fe、Al等元素。滑石的密度为2.7-2.8g/cm，硬度是矿物填料中最小的一种，莫氏硬度为1，有柔软滑腻感。颜色呈白色，且无臭无味。</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在380-500℃时可失去缔合水，800℃以上时则失去结晶水。滑石在水中略呈碱性，pH值为9.0-9.5。滑石具有层状结构，相邻的两层靠微弱的范德华力结合。在外力作用时，相邻两层之间极易产生滑移或相互脱离。因此滑石颗粒结构基本形状是片状或鳞片状。首先滑石粉可以提高填充材料的刚度和在高温下抗蠕变的性能，其次滑石粉可以显著提高填充材料耐热性。</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项目在生产蔬菜框时采用再生料和新材料，根据《环境标志产品产品技术要求再生塑料制品》（HJ/T231-2006）要求：废旧塑料回收利用后的产品为塑料颗粒，可用于生产建筑材料、园艺用料、农产品容器（如盛装鸡蛋、水果和蔬菜等的容器）、办公用品、非食品容器及可重复利用的包装箱、娱乐设施和室外家具等塑料制品，不得用于食品包装。</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根据《食品用塑料包装、容器、工具等制品生产许可审查细则》（国家市场监督管理总局，2006.7）中关于塑料容器产品生产许可细则，项目蔬菜框在生产过程中不得使用氯氟化碳类化合物作发泡剂；制造人体接触的再生塑料制品或材料时，不得添加有毒有害的化学助剂。项目蔬菜框仅以聚丙烯塑料颗粒、滑石粉为原料，不涉及有毒有害化学助剂的添加及发泡剂的使用。</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color w:val="auto"/>
          <w:sz w:val="24"/>
          <w:highlight w:val="none"/>
          <w:lang w:val="en-US" w:eastAsia="zh-CN"/>
        </w:rPr>
      </w:pPr>
      <w:r>
        <w:rPr>
          <w:color w:val="auto"/>
          <w:kern w:val="0"/>
          <w:sz w:val="24"/>
          <w:highlight w:val="none"/>
        </w:rPr>
        <w:t>②</w:t>
      </w:r>
      <w:r>
        <w:rPr>
          <w:rFonts w:hint="eastAsia"/>
          <w:color w:val="auto"/>
          <w:sz w:val="24"/>
          <w:highlight w:val="none"/>
          <w:lang w:val="en-US" w:eastAsia="zh-CN"/>
        </w:rPr>
        <w:t>活性炭</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活性炭是黑色颗粒状的</w:t>
      </w:r>
      <w:r>
        <w:rPr>
          <w:rFonts w:hint="eastAsia" w:ascii="Times New Roman" w:hAnsi="Times New Roman" w:eastAsia="宋体" w:cs="Times New Roman"/>
          <w:color w:val="auto"/>
          <w:sz w:val="24"/>
          <w:highlight w:val="none"/>
          <w:lang w:val="en-US" w:eastAsia="zh-CN"/>
        </w:rPr>
        <w:t>无定形碳</w:t>
      </w:r>
      <w:r>
        <w:rPr>
          <w:rFonts w:hint="default" w:ascii="Times New Roman" w:hAnsi="Times New Roman" w:eastAsia="宋体" w:cs="Times New Roman"/>
          <w:color w:val="auto"/>
          <w:sz w:val="24"/>
          <w:highlight w:val="none"/>
          <w:lang w:val="en-US" w:eastAsia="zh-CN"/>
        </w:rPr>
        <w:t>，80~90%以上由碳组成，这也是活性炭为疏水性吸附剂的原因。主要成分为碳，并含少量氧、氢、硫、氮、氯等元素。普通活性炭的比表面积在500～1700m²/g间。活性炭是一种具有丰富孔隙结构和巨大比表面积的</w:t>
      </w:r>
      <w:r>
        <w:rPr>
          <w:rFonts w:hint="eastAsia" w:ascii="Times New Roman" w:hAnsi="Times New Roman" w:eastAsia="宋体" w:cs="Times New Roman"/>
          <w:color w:val="auto"/>
          <w:sz w:val="24"/>
          <w:highlight w:val="none"/>
          <w:lang w:val="en-US" w:eastAsia="zh-CN"/>
        </w:rPr>
        <w:t>炭质</w:t>
      </w:r>
      <w:r>
        <w:rPr>
          <w:rFonts w:hint="default" w:ascii="Times New Roman" w:hAnsi="Times New Roman" w:eastAsia="宋体" w:cs="Times New Roman"/>
          <w:color w:val="auto"/>
          <w:sz w:val="24"/>
          <w:highlight w:val="none"/>
          <w:lang w:val="en-US" w:eastAsia="zh-CN"/>
        </w:rPr>
        <w:t>吸附材料、它具有吸附能力强、化学性能好、力学强度高，并且方便再生等特点，被广泛应用于工业、农业、国防、交通、医药卫生和环境保护等领域，其需求量随着社会发展和人们生活水平提高呈逐年上升的趋势。</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活性炭具有微晶结构。基本微晶的排列是完全不规则的。活性炭由活化过程中产生微孔、过渡孔或大孔。微孔的有效半径低于2mm；过渡孔的有效半径在2~50mm 范围内；大孔的有效半径大于50mm。</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原料</w:t>
      </w:r>
      <w:r>
        <w:rPr>
          <w:rFonts w:hint="eastAsia" w:cs="Times New Roman"/>
          <w:b/>
          <w:bCs/>
          <w:color w:val="auto"/>
          <w:sz w:val="24"/>
          <w:highlight w:val="none"/>
          <w:lang w:val="en-US" w:eastAsia="zh-CN"/>
        </w:rPr>
        <w:t>来源</w:t>
      </w:r>
      <w:r>
        <w:rPr>
          <w:rFonts w:hint="eastAsia" w:ascii="Times New Roman" w:hAnsi="Times New Roman" w:eastAsia="宋体" w:cs="Times New Roman"/>
          <w:b/>
          <w:bCs/>
          <w:color w:val="auto"/>
          <w:sz w:val="24"/>
          <w:highlight w:val="none"/>
          <w:lang w:val="en-US" w:eastAsia="zh-CN"/>
        </w:rPr>
        <w:t>及</w:t>
      </w:r>
      <w:r>
        <w:rPr>
          <w:rFonts w:hint="eastAsia" w:cs="Times New Roman"/>
          <w:b/>
          <w:bCs/>
          <w:color w:val="auto"/>
          <w:sz w:val="24"/>
          <w:highlight w:val="none"/>
          <w:lang w:val="en-US" w:eastAsia="zh-CN"/>
        </w:rPr>
        <w:t>存放</w:t>
      </w:r>
      <w:r>
        <w:rPr>
          <w:rFonts w:hint="eastAsia" w:ascii="Times New Roman" w:hAnsi="Times New Roman" w:eastAsia="宋体" w:cs="Times New Roman"/>
          <w:b/>
          <w:bCs/>
          <w:color w:val="auto"/>
          <w:sz w:val="24"/>
          <w:highlight w:val="none"/>
          <w:lang w:val="en-US" w:eastAsia="zh-CN"/>
        </w:rPr>
        <w:t>控制要求</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w:t>
      </w:r>
      <w:r>
        <w:rPr>
          <w:rFonts w:hint="eastAsia" w:cs="Times New Roman"/>
          <w:color w:val="auto"/>
          <w:sz w:val="24"/>
          <w:highlight w:val="none"/>
          <w:lang w:val="en-US" w:eastAsia="zh-CN"/>
        </w:rPr>
        <w:t>原料来源控制要求</w:t>
      </w:r>
    </w:p>
    <w:p>
      <w:pPr>
        <w:spacing w:line="360" w:lineRule="auto"/>
        <w:ind w:firstLine="480" w:firstLineChars="200"/>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本项目原料为聚丙烯树脂颗粒</w:t>
      </w:r>
      <w:r>
        <w:rPr>
          <w:rFonts w:hint="eastAsia" w:cs="Times New Roman"/>
          <w:color w:val="auto"/>
          <w:sz w:val="24"/>
          <w:highlight w:val="none"/>
          <w:lang w:val="en-US" w:eastAsia="zh-CN"/>
        </w:rPr>
        <w:t>新材</w:t>
      </w:r>
      <w:r>
        <w:rPr>
          <w:rFonts w:hint="eastAsia" w:ascii="Times New Roman" w:hAnsi="Times New Roman" w:eastAsia="宋体" w:cs="Times New Roman"/>
          <w:color w:val="auto"/>
          <w:sz w:val="24"/>
          <w:highlight w:val="none"/>
          <w:lang w:val="en-US" w:eastAsia="zh-CN"/>
        </w:rPr>
        <w:t>料和再生料，原料规格为直径0.4~0.6cm，长1.0~2.0cm的塑料颗粒。</w:t>
      </w:r>
      <w:r>
        <w:rPr>
          <w:rFonts w:hint="eastAsia" w:cs="Times New Roman"/>
          <w:color w:val="auto"/>
          <w:sz w:val="24"/>
          <w:highlight w:val="none"/>
          <w:lang w:val="en-US" w:eastAsia="zh-CN"/>
        </w:rPr>
        <w:t>项目原料均为直接外购，</w:t>
      </w:r>
      <w:r>
        <w:rPr>
          <w:rFonts w:hint="eastAsia" w:ascii="Times New Roman" w:hAnsi="Times New Roman" w:eastAsia="宋体" w:cs="Times New Roman"/>
          <w:color w:val="auto"/>
          <w:sz w:val="24"/>
          <w:highlight w:val="none"/>
          <w:lang w:val="en-US" w:eastAsia="zh-CN"/>
        </w:rPr>
        <w:t>再生料为外购</w:t>
      </w:r>
      <w:r>
        <w:rPr>
          <w:rFonts w:hint="eastAsia" w:cs="Times New Roman"/>
          <w:color w:val="auto"/>
          <w:sz w:val="24"/>
          <w:highlight w:val="none"/>
          <w:lang w:val="en-US" w:eastAsia="zh-CN"/>
        </w:rPr>
        <w:t>重庆市永川区顺得塑料有限公司生产的再生塑料颗粒（再生塑料颗粒厂家已取得环评手续，详见附件）。不涉及进口废塑料，不涉及收到危险化学品、农药等污染的废弃塑料包装物、再生利用属于医疗废物和危险废物的废塑料、氟塑料等特种工程塑料以及被农药、废染料、强酸、强碱等污染的废弃塑料包装，原料中不含苯、聚苯化合物、卤素等成分，也不含铅、汞等重金属。</w:t>
      </w:r>
    </w:p>
    <w:p>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次环评要求，原料在进场时需要出示相关检测报告，需要满足《废塑料回收与再生利用污染控制技术规范（试行）》（HJ/T364-2007）要求，才可入厂。且要求原料禁止露天堆放，均存放于封闭原料库中，均对原料库地面进行防水、防渗、防腐处理。</w:t>
      </w:r>
    </w:p>
    <w:p>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综上所述，项目所用再生塑料来源稳定、可靠、满足《废旧塑料回收与再生利用污染控制技术规范（试行）》（HJ/T364-2007）要求。建设单位承诺对原料来源、储存、生产及产品去向进行严格控制，保证全生产过程符合生产工艺及相关环保要求。</w:t>
      </w:r>
    </w:p>
    <w:p>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②原料包装、运输和贮存环境保护要求</w:t>
      </w:r>
    </w:p>
    <w:p>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根据《废塑料回收与再生利用污染控制技术规范（试行）》（HJ/T364-2007）中对废塑料包装和运输的要求，项目所用再生塑料颗粒的包装应在规定的回收场所内完成，避免再生塑料颗粒流失污染环境。运输过程中不得裸露运输，确保在装卸运输中轻装轻卸，避免日晒雨淋，保证包装完整，避免再生塑料颗粒品在装卸和运输过程中泄露污染环境。</w:t>
      </w:r>
    </w:p>
    <w:p>
      <w:pPr>
        <w:spacing w:line="360" w:lineRule="auto"/>
        <w:ind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再生塑料颗粒包装表面应有回收标识和种类标识，标识应清晰可辨、易于识别。不易擦掉，并应标明废塑料的来源、用途和去向等信息。运输入厂的再生塑料颗粒不得露天存放，贮存场所应建造为封闭或半封闭式，应有防雨、防晒、防尘和防火措施。</w:t>
      </w:r>
    </w:p>
    <w:p>
      <w:pPr>
        <w:keepNext/>
        <w:keepLines/>
        <w:spacing w:line="360" w:lineRule="auto"/>
        <w:outlineLvl w:val="1"/>
        <w:rPr>
          <w:b/>
          <w:color w:val="auto"/>
          <w:sz w:val="28"/>
          <w:szCs w:val="32"/>
          <w:highlight w:val="none"/>
        </w:rPr>
      </w:pPr>
      <w:bookmarkStart w:id="319" w:name="_Toc75908624"/>
      <w:bookmarkStart w:id="320" w:name="_Toc9833"/>
      <w:r>
        <w:rPr>
          <w:b/>
          <w:color w:val="auto"/>
          <w:sz w:val="28"/>
          <w:szCs w:val="32"/>
          <w:highlight w:val="none"/>
        </w:rPr>
        <w:t>2.</w:t>
      </w:r>
      <w:r>
        <w:rPr>
          <w:rFonts w:hint="eastAsia"/>
          <w:b/>
          <w:color w:val="auto"/>
          <w:sz w:val="28"/>
          <w:szCs w:val="32"/>
          <w:highlight w:val="none"/>
          <w:lang w:val="en-US" w:eastAsia="zh-CN"/>
        </w:rPr>
        <w:t>5</w:t>
      </w:r>
      <w:r>
        <w:rPr>
          <w:b/>
          <w:color w:val="auto"/>
          <w:sz w:val="28"/>
          <w:szCs w:val="32"/>
          <w:highlight w:val="none"/>
        </w:rPr>
        <w:t>主要生产设备</w:t>
      </w:r>
      <w:bookmarkEnd w:id="319"/>
      <w:bookmarkEnd w:id="320"/>
    </w:p>
    <w:p>
      <w:pPr>
        <w:spacing w:line="360" w:lineRule="auto"/>
        <w:ind w:firstLine="480" w:firstLineChars="200"/>
        <w:rPr>
          <w:color w:val="auto"/>
          <w:kern w:val="0"/>
          <w:sz w:val="24"/>
          <w:highlight w:val="none"/>
        </w:rPr>
      </w:pPr>
      <w:r>
        <w:rPr>
          <w:color w:val="auto"/>
          <w:kern w:val="0"/>
          <w:sz w:val="24"/>
          <w:highlight w:val="none"/>
        </w:rPr>
        <w:t>项目主要生产设备见表2.5-1。</w:t>
      </w:r>
    </w:p>
    <w:p>
      <w:pPr>
        <w:spacing w:line="360" w:lineRule="auto"/>
        <w:jc w:val="center"/>
        <w:rPr>
          <w:b/>
          <w:bCs/>
          <w:color w:val="auto"/>
          <w:sz w:val="24"/>
          <w:highlight w:val="none"/>
        </w:rPr>
      </w:pPr>
      <w:r>
        <w:rPr>
          <w:b/>
          <w:bCs/>
          <w:color w:val="auto"/>
          <w:sz w:val="24"/>
          <w:highlight w:val="none"/>
        </w:rPr>
        <w:t>表2.5-1  项目主要设备一览表</w:t>
      </w:r>
    </w:p>
    <w:tbl>
      <w:tblPr>
        <w:tblStyle w:val="55"/>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791"/>
        <w:gridCol w:w="2162"/>
        <w:gridCol w:w="1884"/>
        <w:gridCol w:w="1371"/>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gridSpan w:val="2"/>
            <w:vAlign w:val="center"/>
          </w:tcPr>
          <w:p>
            <w:pPr>
              <w:jc w:val="center"/>
              <w:rPr>
                <w:b/>
                <w:bCs/>
                <w:color w:val="auto"/>
                <w:szCs w:val="21"/>
                <w:highlight w:val="none"/>
              </w:rPr>
            </w:pPr>
            <w:r>
              <w:rPr>
                <w:b/>
                <w:bCs/>
                <w:color w:val="auto"/>
                <w:szCs w:val="21"/>
                <w:highlight w:val="none"/>
              </w:rPr>
              <w:t>类别</w:t>
            </w:r>
          </w:p>
        </w:tc>
        <w:tc>
          <w:tcPr>
            <w:tcW w:w="2162" w:type="dxa"/>
            <w:vAlign w:val="center"/>
          </w:tcPr>
          <w:p>
            <w:pPr>
              <w:jc w:val="center"/>
              <w:rPr>
                <w:b/>
                <w:bCs/>
                <w:color w:val="auto"/>
                <w:szCs w:val="21"/>
                <w:highlight w:val="none"/>
              </w:rPr>
            </w:pPr>
            <w:r>
              <w:rPr>
                <w:b/>
                <w:bCs/>
                <w:color w:val="auto"/>
                <w:szCs w:val="21"/>
                <w:highlight w:val="none"/>
              </w:rPr>
              <w:t>设备名称</w:t>
            </w:r>
          </w:p>
        </w:tc>
        <w:tc>
          <w:tcPr>
            <w:tcW w:w="1884" w:type="dxa"/>
            <w:vAlign w:val="center"/>
          </w:tcPr>
          <w:p>
            <w:pPr>
              <w:jc w:val="center"/>
              <w:rPr>
                <w:b/>
                <w:bCs/>
                <w:color w:val="auto"/>
                <w:szCs w:val="21"/>
                <w:highlight w:val="none"/>
              </w:rPr>
            </w:pPr>
            <w:r>
              <w:rPr>
                <w:b/>
                <w:bCs/>
                <w:color w:val="auto"/>
                <w:szCs w:val="21"/>
                <w:highlight w:val="none"/>
              </w:rPr>
              <w:t>型号</w:t>
            </w:r>
          </w:p>
        </w:tc>
        <w:tc>
          <w:tcPr>
            <w:tcW w:w="1371" w:type="dxa"/>
            <w:vAlign w:val="center"/>
          </w:tcPr>
          <w:p>
            <w:pPr>
              <w:jc w:val="center"/>
              <w:rPr>
                <w:b/>
                <w:bCs/>
                <w:color w:val="auto"/>
                <w:szCs w:val="21"/>
                <w:highlight w:val="none"/>
              </w:rPr>
            </w:pPr>
            <w:r>
              <w:rPr>
                <w:b/>
                <w:bCs/>
                <w:color w:val="auto"/>
                <w:szCs w:val="21"/>
                <w:highlight w:val="none"/>
              </w:rPr>
              <w:t>数量</w:t>
            </w:r>
          </w:p>
          <w:p>
            <w:pPr>
              <w:jc w:val="center"/>
              <w:rPr>
                <w:b/>
                <w:bCs/>
                <w:color w:val="auto"/>
                <w:szCs w:val="21"/>
                <w:highlight w:val="none"/>
              </w:rPr>
            </w:pPr>
            <w:r>
              <w:rPr>
                <w:b/>
                <w:bCs/>
                <w:color w:val="auto"/>
                <w:szCs w:val="21"/>
                <w:highlight w:val="none"/>
              </w:rPr>
              <w:t>（台/套）</w:t>
            </w:r>
          </w:p>
        </w:tc>
        <w:tc>
          <w:tcPr>
            <w:tcW w:w="1784" w:type="dxa"/>
            <w:vAlign w:val="center"/>
          </w:tcPr>
          <w:p>
            <w:pPr>
              <w:jc w:val="center"/>
              <w:rPr>
                <w:b/>
                <w:bCs/>
                <w:color w:val="auto"/>
                <w:szCs w:val="21"/>
                <w:highlight w:val="none"/>
              </w:rPr>
            </w:pPr>
            <w:r>
              <w:rPr>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dxa"/>
            <w:vMerge w:val="restart"/>
            <w:vAlign w:val="center"/>
          </w:tcPr>
          <w:p>
            <w:pPr>
              <w:jc w:val="center"/>
              <w:rPr>
                <w:color w:val="auto"/>
                <w:szCs w:val="21"/>
                <w:highlight w:val="none"/>
              </w:rPr>
            </w:pPr>
            <w:r>
              <w:rPr>
                <w:color w:val="auto"/>
                <w:szCs w:val="21"/>
                <w:highlight w:val="none"/>
              </w:rPr>
              <w:t>生产</w:t>
            </w:r>
          </w:p>
          <w:p>
            <w:pPr>
              <w:jc w:val="center"/>
              <w:rPr>
                <w:color w:val="auto"/>
                <w:szCs w:val="21"/>
                <w:highlight w:val="none"/>
              </w:rPr>
            </w:pPr>
            <w:r>
              <w:rPr>
                <w:color w:val="auto"/>
                <w:szCs w:val="21"/>
                <w:highlight w:val="none"/>
              </w:rPr>
              <w:t>设备</w:t>
            </w:r>
          </w:p>
        </w:tc>
        <w:tc>
          <w:tcPr>
            <w:tcW w:w="791" w:type="dxa"/>
            <w:vMerge w:val="restar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蔬菜框生产</w:t>
            </w:r>
          </w:p>
        </w:tc>
        <w:tc>
          <w:tcPr>
            <w:tcW w:w="2162"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上料机</w:t>
            </w:r>
          </w:p>
        </w:tc>
        <w:tc>
          <w:tcPr>
            <w:tcW w:w="1884"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功率2.2kW</w:t>
            </w:r>
          </w:p>
        </w:tc>
        <w:tc>
          <w:tcPr>
            <w:tcW w:w="1371"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6</w:t>
            </w:r>
          </w:p>
        </w:tc>
        <w:tc>
          <w:tcPr>
            <w:tcW w:w="1784" w:type="dxa"/>
            <w:vAlign w:val="center"/>
          </w:tcPr>
          <w:p>
            <w:pPr>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Merge w:val="continue"/>
            <w:vAlign w:val="center"/>
          </w:tcPr>
          <w:p>
            <w:pPr>
              <w:jc w:val="center"/>
              <w:rPr>
                <w:color w:val="auto"/>
                <w:szCs w:val="21"/>
                <w:highlight w:val="none"/>
              </w:rPr>
            </w:pPr>
          </w:p>
        </w:tc>
        <w:tc>
          <w:tcPr>
            <w:tcW w:w="791" w:type="dxa"/>
            <w:vMerge w:val="continue"/>
            <w:vAlign w:val="center"/>
          </w:tcPr>
          <w:p>
            <w:pPr>
              <w:jc w:val="center"/>
              <w:rPr>
                <w:color w:val="auto"/>
                <w:szCs w:val="21"/>
                <w:highlight w:val="none"/>
              </w:rPr>
            </w:pPr>
          </w:p>
        </w:tc>
        <w:tc>
          <w:tcPr>
            <w:tcW w:w="2162"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注</w:t>
            </w:r>
            <w:r>
              <w:rPr>
                <w:rFonts w:hint="eastAsia" w:ascii="Times New Roman" w:hAnsi="Times New Roman" w:eastAsia="宋体" w:cs="Times New Roman"/>
                <w:color w:val="auto"/>
                <w:szCs w:val="21"/>
                <w:highlight w:val="none"/>
                <w:lang w:val="en-US" w:eastAsia="zh-CN"/>
              </w:rPr>
              <w:t>塑机</w:t>
            </w:r>
          </w:p>
        </w:tc>
        <w:tc>
          <w:tcPr>
            <w:tcW w:w="1884"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480型、500型、420型、320型</w:t>
            </w:r>
          </w:p>
        </w:tc>
        <w:tc>
          <w:tcPr>
            <w:tcW w:w="1371" w:type="dxa"/>
            <w:vAlign w:val="center"/>
          </w:tcPr>
          <w:p>
            <w:pPr>
              <w:jc w:val="center"/>
              <w:rPr>
                <w:color w:val="auto"/>
                <w:szCs w:val="21"/>
                <w:highlight w:val="none"/>
              </w:rPr>
            </w:pPr>
            <w:r>
              <w:rPr>
                <w:color w:val="auto"/>
                <w:szCs w:val="21"/>
                <w:highlight w:val="none"/>
              </w:rPr>
              <w:t>6</w:t>
            </w:r>
          </w:p>
        </w:tc>
        <w:tc>
          <w:tcPr>
            <w:tcW w:w="178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54" w:type="dxa"/>
            <w:vMerge w:val="continue"/>
            <w:vAlign w:val="center"/>
          </w:tcPr>
          <w:p>
            <w:pPr>
              <w:jc w:val="center"/>
              <w:rPr>
                <w:color w:val="auto"/>
                <w:szCs w:val="21"/>
                <w:highlight w:val="none"/>
              </w:rPr>
            </w:pPr>
          </w:p>
        </w:tc>
        <w:tc>
          <w:tcPr>
            <w:tcW w:w="791" w:type="dxa"/>
            <w:vMerge w:val="continue"/>
            <w:vAlign w:val="center"/>
          </w:tcPr>
          <w:p>
            <w:pPr>
              <w:jc w:val="center"/>
              <w:rPr>
                <w:color w:val="auto"/>
                <w:szCs w:val="21"/>
                <w:highlight w:val="none"/>
              </w:rPr>
            </w:pPr>
          </w:p>
        </w:tc>
        <w:tc>
          <w:tcPr>
            <w:tcW w:w="2162"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搅拌机</w:t>
            </w:r>
          </w:p>
        </w:tc>
        <w:tc>
          <w:tcPr>
            <w:tcW w:w="1884"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500KG/20吨</w:t>
            </w:r>
          </w:p>
        </w:tc>
        <w:tc>
          <w:tcPr>
            <w:tcW w:w="1371"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2</w:t>
            </w:r>
          </w:p>
        </w:tc>
        <w:tc>
          <w:tcPr>
            <w:tcW w:w="178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Merge w:val="continue"/>
            <w:vAlign w:val="center"/>
          </w:tcPr>
          <w:p>
            <w:pPr>
              <w:jc w:val="center"/>
              <w:rPr>
                <w:color w:val="auto"/>
                <w:szCs w:val="21"/>
                <w:highlight w:val="none"/>
              </w:rPr>
            </w:pPr>
          </w:p>
        </w:tc>
        <w:tc>
          <w:tcPr>
            <w:tcW w:w="791" w:type="dxa"/>
            <w:vMerge w:val="continue"/>
            <w:vAlign w:val="center"/>
          </w:tcPr>
          <w:p>
            <w:pPr>
              <w:jc w:val="center"/>
              <w:rPr>
                <w:color w:val="auto"/>
                <w:szCs w:val="21"/>
                <w:highlight w:val="none"/>
              </w:rPr>
            </w:pPr>
          </w:p>
        </w:tc>
        <w:tc>
          <w:tcPr>
            <w:tcW w:w="2162"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破碎机</w:t>
            </w:r>
          </w:p>
        </w:tc>
        <w:tc>
          <w:tcPr>
            <w:tcW w:w="188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180口径，250型</w:t>
            </w:r>
          </w:p>
        </w:tc>
        <w:tc>
          <w:tcPr>
            <w:tcW w:w="1371"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178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边角料及不合格产品破碎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Merge w:val="continue"/>
            <w:vAlign w:val="center"/>
          </w:tcPr>
          <w:p>
            <w:pPr>
              <w:jc w:val="center"/>
              <w:rPr>
                <w:color w:val="auto"/>
                <w:szCs w:val="21"/>
                <w:highlight w:val="none"/>
              </w:rPr>
            </w:pPr>
          </w:p>
        </w:tc>
        <w:tc>
          <w:tcPr>
            <w:tcW w:w="791" w:type="dxa"/>
            <w:vMerge w:val="continue"/>
            <w:vAlign w:val="center"/>
          </w:tcPr>
          <w:p>
            <w:pPr>
              <w:jc w:val="center"/>
              <w:rPr>
                <w:color w:val="auto"/>
                <w:szCs w:val="21"/>
                <w:highlight w:val="none"/>
              </w:rPr>
            </w:pPr>
          </w:p>
        </w:tc>
        <w:tc>
          <w:tcPr>
            <w:tcW w:w="2162"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叉车</w:t>
            </w:r>
          </w:p>
        </w:tc>
        <w:tc>
          <w:tcPr>
            <w:tcW w:w="188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371"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2</w:t>
            </w:r>
          </w:p>
        </w:tc>
        <w:tc>
          <w:tcPr>
            <w:tcW w:w="178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gridSpan w:val="2"/>
            <w:vMerge w:val="restart"/>
            <w:vAlign w:val="center"/>
          </w:tcPr>
          <w:p>
            <w:pPr>
              <w:jc w:val="center"/>
              <w:rPr>
                <w:color w:val="auto"/>
                <w:szCs w:val="21"/>
                <w:highlight w:val="none"/>
              </w:rPr>
            </w:pPr>
            <w:r>
              <w:rPr>
                <w:color w:val="auto"/>
                <w:szCs w:val="21"/>
                <w:highlight w:val="none"/>
              </w:rPr>
              <w:t>废气处理</w:t>
            </w:r>
          </w:p>
        </w:tc>
        <w:tc>
          <w:tcPr>
            <w:tcW w:w="2162"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三级</w:t>
            </w:r>
            <w:r>
              <w:rPr>
                <w:color w:val="auto"/>
                <w:szCs w:val="21"/>
                <w:highlight w:val="none"/>
              </w:rPr>
              <w:t>活性炭吸附装置</w:t>
            </w:r>
          </w:p>
        </w:tc>
        <w:tc>
          <w:tcPr>
            <w:tcW w:w="1884" w:type="dxa"/>
            <w:vAlign w:val="center"/>
          </w:tcPr>
          <w:p>
            <w:pPr>
              <w:jc w:val="center"/>
              <w:rPr>
                <w:color w:val="auto"/>
                <w:szCs w:val="21"/>
                <w:highlight w:val="none"/>
              </w:rPr>
            </w:pPr>
            <w:r>
              <w:rPr>
                <w:color w:val="auto"/>
                <w:szCs w:val="21"/>
                <w:highlight w:val="none"/>
              </w:rPr>
              <w:t>/</w:t>
            </w:r>
          </w:p>
        </w:tc>
        <w:tc>
          <w:tcPr>
            <w:tcW w:w="1371" w:type="dxa"/>
            <w:vAlign w:val="center"/>
          </w:tcPr>
          <w:p>
            <w:pPr>
              <w:jc w:val="center"/>
              <w:rPr>
                <w:color w:val="auto"/>
                <w:szCs w:val="21"/>
                <w:highlight w:val="none"/>
              </w:rPr>
            </w:pPr>
            <w:r>
              <w:rPr>
                <w:color w:val="auto"/>
                <w:szCs w:val="21"/>
                <w:highlight w:val="none"/>
              </w:rPr>
              <w:t>1</w:t>
            </w:r>
          </w:p>
        </w:tc>
        <w:tc>
          <w:tcPr>
            <w:tcW w:w="1784" w:type="dxa"/>
            <w:vMerge w:val="restart"/>
            <w:vAlign w:val="center"/>
          </w:tcPr>
          <w:p>
            <w:pPr>
              <w:jc w:val="center"/>
              <w:rPr>
                <w:color w:val="auto"/>
                <w:szCs w:val="21"/>
                <w:highlight w:val="none"/>
              </w:rPr>
            </w:pPr>
            <w:r>
              <w:rPr>
                <w:color w:val="auto"/>
                <w:szCs w:val="21"/>
                <w:highlight w:val="none"/>
              </w:rPr>
              <w:t>废气处理措施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gridSpan w:val="2"/>
            <w:vMerge w:val="continue"/>
            <w:vAlign w:val="center"/>
          </w:tcPr>
          <w:p>
            <w:pPr>
              <w:jc w:val="center"/>
              <w:rPr>
                <w:color w:val="auto"/>
                <w:szCs w:val="21"/>
                <w:highlight w:val="none"/>
              </w:rPr>
            </w:pPr>
          </w:p>
        </w:tc>
        <w:tc>
          <w:tcPr>
            <w:tcW w:w="2162" w:type="dxa"/>
            <w:vAlign w:val="center"/>
          </w:tcPr>
          <w:p>
            <w:pPr>
              <w:jc w:val="center"/>
              <w:rPr>
                <w:color w:val="auto"/>
                <w:szCs w:val="21"/>
                <w:highlight w:val="none"/>
              </w:rPr>
            </w:pPr>
            <w:r>
              <w:rPr>
                <w:color w:val="auto"/>
                <w:sz w:val="21"/>
                <w:szCs w:val="21"/>
                <w:highlight w:val="none"/>
              </w:rPr>
              <w:t>风机</w:t>
            </w:r>
          </w:p>
        </w:tc>
        <w:tc>
          <w:tcPr>
            <w:tcW w:w="188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7200m</w:t>
            </w:r>
            <w:r>
              <w:rPr>
                <w:rFonts w:hint="eastAsia"/>
                <w:color w:val="auto"/>
                <w:szCs w:val="21"/>
                <w:highlight w:val="none"/>
                <w:vertAlign w:val="superscript"/>
                <w:lang w:val="en-US" w:eastAsia="zh-CN"/>
              </w:rPr>
              <w:t>3</w:t>
            </w:r>
            <w:r>
              <w:rPr>
                <w:rFonts w:hint="eastAsia"/>
                <w:color w:val="auto"/>
                <w:szCs w:val="21"/>
                <w:highlight w:val="none"/>
                <w:lang w:val="en-US" w:eastAsia="zh-CN"/>
              </w:rPr>
              <w:t>/h</w:t>
            </w:r>
          </w:p>
        </w:tc>
        <w:tc>
          <w:tcPr>
            <w:tcW w:w="1371"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1784"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gridSpan w:val="2"/>
            <w:vMerge w:val="restart"/>
            <w:vAlign w:val="center"/>
          </w:tcPr>
          <w:p>
            <w:pPr>
              <w:jc w:val="center"/>
              <w:rPr>
                <w:color w:val="auto"/>
                <w:szCs w:val="21"/>
                <w:highlight w:val="none"/>
              </w:rPr>
            </w:pPr>
            <w:r>
              <w:rPr>
                <w:rFonts w:hint="eastAsia"/>
                <w:color w:val="auto"/>
                <w:szCs w:val="21"/>
                <w:highlight w:val="none"/>
              </w:rPr>
              <w:t>废水处理</w:t>
            </w:r>
          </w:p>
        </w:tc>
        <w:tc>
          <w:tcPr>
            <w:tcW w:w="2162" w:type="dxa"/>
            <w:vAlign w:val="center"/>
          </w:tcPr>
          <w:p>
            <w:pPr>
              <w:jc w:val="center"/>
              <w:rPr>
                <w:color w:val="auto"/>
                <w:szCs w:val="21"/>
                <w:highlight w:val="none"/>
              </w:rPr>
            </w:pPr>
            <w:r>
              <w:rPr>
                <w:rFonts w:hint="eastAsia"/>
                <w:color w:val="auto"/>
                <w:szCs w:val="21"/>
                <w:highlight w:val="none"/>
                <w:lang w:val="en-US" w:eastAsia="zh-CN"/>
              </w:rPr>
              <w:t>水</w:t>
            </w:r>
            <w:r>
              <w:rPr>
                <w:color w:val="auto"/>
                <w:szCs w:val="21"/>
                <w:highlight w:val="none"/>
              </w:rPr>
              <w:t>泵</w:t>
            </w:r>
          </w:p>
        </w:tc>
        <w:tc>
          <w:tcPr>
            <w:tcW w:w="1884" w:type="dxa"/>
            <w:vAlign w:val="center"/>
          </w:tcPr>
          <w:p>
            <w:pPr>
              <w:jc w:val="center"/>
              <w:rPr>
                <w:rFonts w:hint="default" w:eastAsia="宋体"/>
                <w:color w:val="auto"/>
                <w:highlight w:val="none"/>
                <w:lang w:val="en-US" w:eastAsia="zh-CN"/>
              </w:rPr>
            </w:pPr>
            <w:r>
              <w:rPr>
                <w:rFonts w:hint="eastAsia"/>
                <w:color w:val="auto"/>
                <w:highlight w:val="none"/>
                <w:lang w:val="en-US" w:eastAsia="zh-CN"/>
              </w:rPr>
              <w:t>35m</w:t>
            </w:r>
            <w:r>
              <w:rPr>
                <w:rFonts w:hint="eastAsia"/>
                <w:color w:val="auto"/>
                <w:highlight w:val="none"/>
                <w:vertAlign w:val="superscript"/>
                <w:lang w:val="en-US" w:eastAsia="zh-CN"/>
              </w:rPr>
              <w:t>3</w:t>
            </w:r>
            <w:r>
              <w:rPr>
                <w:rFonts w:hint="eastAsia"/>
                <w:color w:val="auto"/>
                <w:highlight w:val="none"/>
                <w:lang w:val="en-US" w:eastAsia="zh-CN"/>
              </w:rPr>
              <w:t>/d</w:t>
            </w:r>
          </w:p>
        </w:tc>
        <w:tc>
          <w:tcPr>
            <w:tcW w:w="1371" w:type="dxa"/>
            <w:vAlign w:val="center"/>
          </w:tcPr>
          <w:p>
            <w:pPr>
              <w:jc w:val="center"/>
              <w:rPr>
                <w:color w:val="auto"/>
                <w:szCs w:val="21"/>
                <w:highlight w:val="none"/>
              </w:rPr>
            </w:pPr>
            <w:r>
              <w:rPr>
                <w:color w:val="auto"/>
                <w:szCs w:val="21"/>
                <w:highlight w:val="none"/>
              </w:rPr>
              <w:t>1</w:t>
            </w:r>
          </w:p>
        </w:tc>
        <w:tc>
          <w:tcPr>
            <w:tcW w:w="178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gridSpan w:val="2"/>
            <w:vMerge w:val="continue"/>
            <w:vAlign w:val="center"/>
          </w:tcPr>
          <w:p>
            <w:pPr>
              <w:jc w:val="center"/>
              <w:rPr>
                <w:rFonts w:hint="eastAsia"/>
                <w:color w:val="auto"/>
                <w:szCs w:val="21"/>
                <w:highlight w:val="none"/>
              </w:rPr>
            </w:pPr>
            <w:bookmarkStart w:id="321" w:name="_Toc75908625"/>
          </w:p>
        </w:tc>
        <w:tc>
          <w:tcPr>
            <w:tcW w:w="216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运输罐车</w:t>
            </w:r>
          </w:p>
        </w:tc>
        <w:tc>
          <w:tcPr>
            <w:tcW w:w="1884" w:type="dxa"/>
            <w:vAlign w:val="center"/>
          </w:tcPr>
          <w:p>
            <w:pPr>
              <w:jc w:val="center"/>
              <w:rPr>
                <w:rFonts w:hint="default"/>
                <w:color w:val="auto"/>
                <w:highlight w:val="none"/>
                <w:lang w:val="en-US" w:eastAsia="zh-CN"/>
              </w:rPr>
            </w:pPr>
            <w:r>
              <w:rPr>
                <w:rFonts w:hint="eastAsia"/>
                <w:color w:val="auto"/>
                <w:highlight w:val="none"/>
                <w:lang w:val="en-US" w:eastAsia="zh-CN"/>
              </w:rPr>
              <w:t>/</w:t>
            </w:r>
          </w:p>
        </w:tc>
        <w:tc>
          <w:tcPr>
            <w:tcW w:w="1371"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784"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w:t>
            </w:r>
          </w:p>
        </w:tc>
      </w:tr>
    </w:tbl>
    <w:p>
      <w:pPr>
        <w:keepNext/>
        <w:keepLines/>
        <w:spacing w:line="360" w:lineRule="auto"/>
        <w:outlineLvl w:val="1"/>
        <w:rPr>
          <w:b/>
          <w:color w:val="auto"/>
          <w:sz w:val="28"/>
          <w:szCs w:val="32"/>
          <w:highlight w:val="none"/>
        </w:rPr>
      </w:pPr>
      <w:bookmarkStart w:id="322" w:name="_Toc18208"/>
      <w:r>
        <w:rPr>
          <w:b/>
          <w:color w:val="auto"/>
          <w:sz w:val="28"/>
          <w:szCs w:val="32"/>
          <w:highlight w:val="none"/>
        </w:rPr>
        <w:t>2.</w:t>
      </w:r>
      <w:r>
        <w:rPr>
          <w:rFonts w:hint="eastAsia"/>
          <w:b/>
          <w:color w:val="auto"/>
          <w:sz w:val="28"/>
          <w:szCs w:val="32"/>
          <w:highlight w:val="none"/>
          <w:lang w:val="en-US" w:eastAsia="zh-CN"/>
        </w:rPr>
        <w:t>6</w:t>
      </w:r>
      <w:r>
        <w:rPr>
          <w:b/>
          <w:color w:val="auto"/>
          <w:sz w:val="28"/>
          <w:szCs w:val="32"/>
          <w:highlight w:val="none"/>
        </w:rPr>
        <w:t>公用工程</w:t>
      </w:r>
      <w:bookmarkEnd w:id="321"/>
      <w:bookmarkEnd w:id="322"/>
    </w:p>
    <w:p>
      <w:pPr>
        <w:keepNext/>
        <w:keepLines/>
        <w:spacing w:line="360" w:lineRule="auto"/>
        <w:outlineLvl w:val="2"/>
        <w:rPr>
          <w:b/>
          <w:bCs/>
          <w:color w:val="auto"/>
          <w:sz w:val="24"/>
          <w:highlight w:val="none"/>
        </w:rPr>
      </w:pPr>
      <w:bookmarkStart w:id="323" w:name="_Toc367282041"/>
      <w:bookmarkStart w:id="324" w:name="_Toc31994"/>
      <w:bookmarkStart w:id="325" w:name="_Toc367281458"/>
      <w:bookmarkStart w:id="326" w:name="_Toc75908626"/>
      <w:bookmarkStart w:id="327" w:name="_Toc341369422"/>
      <w:r>
        <w:rPr>
          <w:b/>
          <w:bCs/>
          <w:color w:val="auto"/>
          <w:sz w:val="24"/>
          <w:highlight w:val="none"/>
        </w:rPr>
        <w:t>2.</w:t>
      </w:r>
      <w:r>
        <w:rPr>
          <w:rFonts w:hint="eastAsia"/>
          <w:b/>
          <w:bCs/>
          <w:color w:val="auto"/>
          <w:sz w:val="24"/>
          <w:highlight w:val="none"/>
          <w:lang w:val="en-US" w:eastAsia="zh-CN"/>
        </w:rPr>
        <w:t>6</w:t>
      </w:r>
      <w:r>
        <w:rPr>
          <w:b/>
          <w:bCs/>
          <w:color w:val="auto"/>
          <w:sz w:val="24"/>
          <w:highlight w:val="none"/>
        </w:rPr>
        <w:t>.1给排水</w:t>
      </w:r>
      <w:bookmarkEnd w:id="323"/>
      <w:bookmarkEnd w:id="324"/>
      <w:bookmarkEnd w:id="325"/>
      <w:bookmarkEnd w:id="326"/>
      <w:bookmarkEnd w:id="327"/>
    </w:p>
    <w:p>
      <w:pPr>
        <w:spacing w:line="360" w:lineRule="auto"/>
        <w:rPr>
          <w:b/>
          <w:color w:val="auto"/>
          <w:sz w:val="24"/>
          <w:highlight w:val="none"/>
        </w:rPr>
      </w:pPr>
      <w:r>
        <w:rPr>
          <w:b/>
          <w:color w:val="auto"/>
          <w:sz w:val="24"/>
          <w:highlight w:val="none"/>
        </w:rPr>
        <w:t>2.</w:t>
      </w:r>
      <w:r>
        <w:rPr>
          <w:rFonts w:hint="eastAsia"/>
          <w:b/>
          <w:color w:val="auto"/>
          <w:sz w:val="24"/>
          <w:highlight w:val="none"/>
          <w:lang w:val="en-US" w:eastAsia="zh-CN"/>
        </w:rPr>
        <w:t>6</w:t>
      </w:r>
      <w:r>
        <w:rPr>
          <w:b/>
          <w:color w:val="auto"/>
          <w:sz w:val="24"/>
          <w:highlight w:val="none"/>
        </w:rPr>
        <w:t>.1.1给水</w:t>
      </w:r>
    </w:p>
    <w:p>
      <w:pPr>
        <w:spacing w:line="360" w:lineRule="auto"/>
        <w:ind w:firstLine="480" w:firstLineChars="200"/>
        <w:rPr>
          <w:color w:val="auto"/>
          <w:sz w:val="24"/>
          <w:highlight w:val="none"/>
        </w:rPr>
      </w:pPr>
      <w:r>
        <w:rPr>
          <w:color w:val="auto"/>
          <w:sz w:val="24"/>
          <w:highlight w:val="none"/>
        </w:rPr>
        <w:t>项目用水包括生产用水和生活用水，由市政供水管网供给。生产用水包括</w:t>
      </w:r>
      <w:r>
        <w:rPr>
          <w:color w:val="auto"/>
          <w:sz w:val="24"/>
          <w:szCs w:val="20"/>
          <w:highlight w:val="none"/>
        </w:rPr>
        <w:t>冷却用水、</w:t>
      </w:r>
      <w:r>
        <w:rPr>
          <w:color w:val="auto"/>
          <w:sz w:val="24"/>
          <w:highlight w:val="none"/>
        </w:rPr>
        <w:t>车间地面清洗用水。本项目总用水量</w:t>
      </w:r>
      <w:r>
        <w:rPr>
          <w:rFonts w:hint="eastAsia"/>
          <w:color w:val="auto"/>
          <w:sz w:val="24"/>
          <w:highlight w:val="none"/>
          <w:lang w:val="en-US" w:eastAsia="zh-CN"/>
        </w:rPr>
        <w:t>994.86</w:t>
      </w:r>
      <w:r>
        <w:rPr>
          <w:color w:val="auto"/>
          <w:sz w:val="24"/>
          <w:highlight w:val="none"/>
        </w:rPr>
        <w:t>m</w:t>
      </w:r>
      <w:r>
        <w:rPr>
          <w:color w:val="auto"/>
          <w:sz w:val="24"/>
          <w:highlight w:val="none"/>
          <w:vertAlign w:val="superscript"/>
        </w:rPr>
        <w:t>3</w:t>
      </w:r>
      <w:r>
        <w:rPr>
          <w:color w:val="auto"/>
          <w:sz w:val="24"/>
          <w:highlight w:val="none"/>
        </w:rPr>
        <w:t>/a，其中生活用水量</w:t>
      </w:r>
      <w:r>
        <w:rPr>
          <w:rFonts w:hint="eastAsia"/>
          <w:color w:val="auto"/>
          <w:sz w:val="24"/>
          <w:highlight w:val="none"/>
          <w:lang w:val="en-US" w:eastAsia="zh-CN"/>
        </w:rPr>
        <w:t>72</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rPr>
        <w:t>（新鲜水）</w:t>
      </w:r>
      <w:r>
        <w:rPr>
          <w:color w:val="auto"/>
          <w:sz w:val="24"/>
          <w:highlight w:val="none"/>
        </w:rPr>
        <w:t>，生产用水量为</w:t>
      </w:r>
      <w:r>
        <w:rPr>
          <w:rFonts w:hint="eastAsia"/>
          <w:color w:val="auto"/>
          <w:sz w:val="24"/>
          <w:highlight w:val="none"/>
          <w:lang w:val="en-US" w:eastAsia="zh-CN"/>
        </w:rPr>
        <w:t>10172.86</w:t>
      </w:r>
      <w:r>
        <w:rPr>
          <w:color w:val="auto"/>
          <w:sz w:val="24"/>
          <w:highlight w:val="none"/>
        </w:rPr>
        <w:t>m</w:t>
      </w:r>
      <w:r>
        <w:rPr>
          <w:color w:val="auto"/>
          <w:sz w:val="24"/>
          <w:highlight w:val="none"/>
          <w:vertAlign w:val="superscript"/>
        </w:rPr>
        <w:t>3</w:t>
      </w:r>
      <w:r>
        <w:rPr>
          <w:color w:val="auto"/>
          <w:sz w:val="24"/>
          <w:highlight w:val="none"/>
        </w:rPr>
        <w:t>/a（其中新鲜水用量为</w:t>
      </w:r>
      <w:r>
        <w:rPr>
          <w:rFonts w:hint="eastAsia"/>
          <w:color w:val="auto"/>
          <w:sz w:val="24"/>
          <w:highlight w:val="none"/>
          <w:lang w:val="en-US" w:eastAsia="zh-CN"/>
        </w:rPr>
        <w:t>922.86</w:t>
      </w:r>
      <w:r>
        <w:rPr>
          <w:color w:val="auto"/>
          <w:sz w:val="24"/>
          <w:highlight w:val="none"/>
        </w:rPr>
        <w:t>m</w:t>
      </w:r>
      <w:r>
        <w:rPr>
          <w:color w:val="auto"/>
          <w:sz w:val="24"/>
          <w:highlight w:val="none"/>
          <w:vertAlign w:val="superscript"/>
        </w:rPr>
        <w:t>3</w:t>
      </w:r>
      <w:r>
        <w:rPr>
          <w:color w:val="auto"/>
          <w:sz w:val="24"/>
          <w:highlight w:val="none"/>
        </w:rPr>
        <w:t>/a，回用水量为</w:t>
      </w:r>
      <w:r>
        <w:rPr>
          <w:rFonts w:hint="eastAsia"/>
          <w:color w:val="auto"/>
          <w:sz w:val="24"/>
          <w:highlight w:val="none"/>
          <w:lang w:val="en-US" w:eastAsia="zh-CN"/>
        </w:rPr>
        <w:t>9250</w:t>
      </w:r>
      <w:r>
        <w:rPr>
          <w:color w:val="auto"/>
          <w:sz w:val="24"/>
          <w:highlight w:val="none"/>
        </w:rPr>
        <w:t>m</w:t>
      </w:r>
      <w:r>
        <w:rPr>
          <w:color w:val="auto"/>
          <w:sz w:val="24"/>
          <w:highlight w:val="none"/>
          <w:vertAlign w:val="superscript"/>
        </w:rPr>
        <w:t>3</w:t>
      </w:r>
      <w:r>
        <w:rPr>
          <w:color w:val="auto"/>
          <w:sz w:val="24"/>
          <w:highlight w:val="none"/>
        </w:rPr>
        <w:t>/a）。</w:t>
      </w:r>
    </w:p>
    <w:p>
      <w:pPr>
        <w:spacing w:line="360" w:lineRule="auto"/>
        <w:rPr>
          <w:b/>
          <w:color w:val="auto"/>
          <w:sz w:val="24"/>
          <w:highlight w:val="none"/>
        </w:rPr>
      </w:pPr>
      <w:r>
        <w:rPr>
          <w:b/>
          <w:color w:val="auto"/>
          <w:sz w:val="24"/>
          <w:highlight w:val="none"/>
        </w:rPr>
        <w:t>2.</w:t>
      </w:r>
      <w:r>
        <w:rPr>
          <w:rFonts w:hint="eastAsia"/>
          <w:b/>
          <w:color w:val="auto"/>
          <w:sz w:val="24"/>
          <w:highlight w:val="none"/>
          <w:lang w:val="en-US" w:eastAsia="zh-CN"/>
        </w:rPr>
        <w:t>6</w:t>
      </w:r>
      <w:r>
        <w:rPr>
          <w:b/>
          <w:color w:val="auto"/>
          <w:sz w:val="24"/>
          <w:highlight w:val="none"/>
        </w:rPr>
        <w:t>.1.2排水</w:t>
      </w:r>
    </w:p>
    <w:p>
      <w:pPr>
        <w:spacing w:line="360" w:lineRule="auto"/>
        <w:ind w:firstLine="480"/>
        <w:rPr>
          <w:color w:val="auto"/>
          <w:sz w:val="24"/>
          <w:highlight w:val="none"/>
        </w:rPr>
      </w:pPr>
      <w:r>
        <w:rPr>
          <w:color w:val="auto"/>
          <w:sz w:val="24"/>
          <w:highlight w:val="none"/>
        </w:rPr>
        <w:t>项目实行雨、污分流制。厂房建筑物屋面雨水与厂房周边地面雨水经厂房配套设置的雨水沟排入</w:t>
      </w:r>
      <w:r>
        <w:rPr>
          <w:rFonts w:hint="eastAsia"/>
          <w:color w:val="auto"/>
          <w:sz w:val="24"/>
          <w:highlight w:val="none"/>
          <w:lang w:val="en-US" w:eastAsia="zh-CN"/>
        </w:rPr>
        <w:t>附近自然排水沟</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highlight w:val="none"/>
          <w:lang w:val="en-US" w:eastAsia="zh-CN"/>
        </w:rPr>
      </w:pPr>
      <w:bookmarkStart w:id="328" w:name="_Toc367282042"/>
      <w:bookmarkStart w:id="329" w:name="_Toc367281459"/>
      <w:bookmarkStart w:id="330" w:name="_Toc75908627"/>
      <w:bookmarkStart w:id="331" w:name="_Toc341369423"/>
      <w:r>
        <w:rPr>
          <w:rFonts w:hint="default" w:ascii="Times New Roman" w:hAnsi="Times New Roman" w:cs="Times New Roman"/>
          <w:color w:val="auto"/>
          <w:sz w:val="24"/>
          <w:highlight w:val="none"/>
        </w:rPr>
        <w:t>项目生产过程中产生的冷却水经冷却后循环使用，不外排</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本项目职工均不在项目区食宿，生活污水仅为员工</w:t>
      </w:r>
      <w:r>
        <w:rPr>
          <w:rFonts w:hint="eastAsia" w:cs="Times New Roman"/>
          <w:color w:val="auto"/>
          <w:sz w:val="24"/>
          <w:highlight w:val="none"/>
          <w:lang w:val="en-US" w:eastAsia="zh-CN"/>
        </w:rPr>
        <w:t>办公</w:t>
      </w:r>
      <w:r>
        <w:rPr>
          <w:rFonts w:hint="default" w:ascii="Times New Roman" w:hAnsi="Times New Roman" w:cs="Times New Roman"/>
          <w:color w:val="auto"/>
          <w:sz w:val="24"/>
          <w:highlight w:val="none"/>
          <w:lang w:val="en-US" w:eastAsia="zh-CN"/>
        </w:rPr>
        <w:t>洗手污水</w:t>
      </w:r>
      <w:r>
        <w:rPr>
          <w:rFonts w:hint="eastAsia" w:ascii="Times New Roman" w:hAnsi="Times New Roman" w:cs="Times New Roman"/>
          <w:color w:val="auto"/>
          <w:sz w:val="24"/>
          <w:highlight w:val="none"/>
          <w:lang w:val="en-US" w:eastAsia="zh-CN"/>
        </w:rPr>
        <w:t>和如厕废水</w:t>
      </w:r>
      <w:r>
        <w:rPr>
          <w:rFonts w:hint="eastAsia" w:cs="Times New Roman"/>
          <w:color w:val="auto"/>
          <w:sz w:val="24"/>
          <w:highlight w:val="none"/>
          <w:lang w:val="en-US" w:eastAsia="zh-CN"/>
        </w:rPr>
        <w:t>，生活污水与</w:t>
      </w:r>
      <w:r>
        <w:rPr>
          <w:rFonts w:hint="default" w:ascii="Times New Roman" w:hAnsi="Times New Roman" w:cs="Times New Roman"/>
          <w:color w:val="auto"/>
          <w:sz w:val="24"/>
          <w:highlight w:val="none"/>
          <w:lang w:val="en-US" w:eastAsia="zh-CN"/>
        </w:rPr>
        <w:t>车间地面清洗废水经</w:t>
      </w:r>
      <w:r>
        <w:rPr>
          <w:rFonts w:hint="eastAsia" w:cs="Times New Roman"/>
          <w:color w:val="auto"/>
          <w:sz w:val="24"/>
          <w:highlight w:val="none"/>
          <w:lang w:val="en-US" w:eastAsia="zh-CN"/>
        </w:rPr>
        <w:t>已有化粪池收集处理后，由建设单位定期清运至寻甸县水质净化厂处理，</w:t>
      </w:r>
      <w:bookmarkStart w:id="332" w:name="OLE_LINK12"/>
      <w:r>
        <w:rPr>
          <w:rFonts w:hint="eastAsia" w:cs="Times New Roman"/>
          <w:color w:val="auto"/>
          <w:sz w:val="24"/>
          <w:highlight w:val="none"/>
          <w:lang w:val="en-US" w:eastAsia="zh-CN"/>
        </w:rPr>
        <w:t>不外排。</w:t>
      </w:r>
    </w:p>
    <w:bookmarkEnd w:id="332"/>
    <w:p>
      <w:pPr>
        <w:keepNext/>
        <w:keepLines/>
        <w:spacing w:line="360" w:lineRule="auto"/>
        <w:outlineLvl w:val="2"/>
        <w:rPr>
          <w:b/>
          <w:bCs/>
          <w:color w:val="auto"/>
          <w:sz w:val="24"/>
          <w:highlight w:val="none"/>
        </w:rPr>
      </w:pPr>
      <w:bookmarkStart w:id="333" w:name="_Toc29722"/>
      <w:r>
        <w:rPr>
          <w:b/>
          <w:bCs/>
          <w:color w:val="auto"/>
          <w:sz w:val="24"/>
          <w:highlight w:val="none"/>
        </w:rPr>
        <w:t>2.</w:t>
      </w:r>
      <w:r>
        <w:rPr>
          <w:rFonts w:hint="eastAsia"/>
          <w:b/>
          <w:bCs/>
          <w:color w:val="auto"/>
          <w:sz w:val="24"/>
          <w:highlight w:val="none"/>
          <w:lang w:val="en-US" w:eastAsia="zh-CN"/>
        </w:rPr>
        <w:t>6</w:t>
      </w:r>
      <w:r>
        <w:rPr>
          <w:b/>
          <w:bCs/>
          <w:color w:val="auto"/>
          <w:sz w:val="24"/>
          <w:highlight w:val="none"/>
        </w:rPr>
        <w:t>.2供电</w:t>
      </w:r>
      <w:bookmarkEnd w:id="328"/>
      <w:bookmarkEnd w:id="329"/>
      <w:bookmarkEnd w:id="330"/>
      <w:bookmarkEnd w:id="331"/>
      <w:bookmarkEnd w:id="333"/>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rPr>
        <w:t>项目电源由市政电网引入，经厂区配电室变压器调压后供电，满足厂区用电需求。</w:t>
      </w:r>
    </w:p>
    <w:p>
      <w:pPr>
        <w:keepNext/>
        <w:keepLines/>
        <w:spacing w:line="360" w:lineRule="auto"/>
        <w:outlineLvl w:val="2"/>
        <w:rPr>
          <w:b/>
          <w:bCs/>
          <w:color w:val="auto"/>
          <w:sz w:val="24"/>
          <w:highlight w:val="none"/>
        </w:rPr>
      </w:pPr>
      <w:bookmarkStart w:id="334" w:name="_Toc25248"/>
      <w:bookmarkStart w:id="335" w:name="_Toc75908628"/>
      <w:r>
        <w:rPr>
          <w:b/>
          <w:bCs/>
          <w:color w:val="auto"/>
          <w:sz w:val="24"/>
          <w:highlight w:val="none"/>
        </w:rPr>
        <w:t>2.</w:t>
      </w:r>
      <w:r>
        <w:rPr>
          <w:rFonts w:hint="eastAsia"/>
          <w:b/>
          <w:bCs/>
          <w:color w:val="auto"/>
          <w:sz w:val="24"/>
          <w:highlight w:val="none"/>
          <w:lang w:val="en-US" w:eastAsia="zh-CN"/>
        </w:rPr>
        <w:t>6</w:t>
      </w:r>
      <w:r>
        <w:rPr>
          <w:b/>
          <w:bCs/>
          <w:color w:val="auto"/>
          <w:sz w:val="24"/>
          <w:highlight w:val="none"/>
        </w:rPr>
        <w:t>.3供热制冷</w:t>
      </w:r>
      <w:bookmarkEnd w:id="334"/>
      <w:bookmarkEnd w:id="335"/>
    </w:p>
    <w:p>
      <w:pPr>
        <w:pStyle w:val="510"/>
        <w:ind w:firstLine="480"/>
        <w:rPr>
          <w:rFonts w:ascii="Times New Roman" w:hAnsi="Times New Roman"/>
          <w:color w:val="auto"/>
          <w:szCs w:val="24"/>
          <w:highlight w:val="none"/>
        </w:rPr>
      </w:pPr>
      <w:r>
        <w:rPr>
          <w:rFonts w:ascii="Times New Roman" w:hAnsi="Times New Roman"/>
          <w:color w:val="auto"/>
          <w:szCs w:val="24"/>
          <w:highlight w:val="none"/>
        </w:rPr>
        <w:t>项目生产工艺中</w:t>
      </w:r>
      <w:r>
        <w:rPr>
          <w:rFonts w:hint="eastAsia" w:ascii="Times New Roman" w:hAnsi="Times New Roman"/>
          <w:color w:val="auto"/>
          <w:szCs w:val="24"/>
          <w:highlight w:val="none"/>
          <w:lang w:val="en-US" w:eastAsia="zh-CN"/>
        </w:rPr>
        <w:t>聚丙烯树脂再生颗粒注塑</w:t>
      </w:r>
      <w:r>
        <w:rPr>
          <w:rFonts w:ascii="Times New Roman" w:hAnsi="Times New Roman"/>
          <w:color w:val="auto"/>
          <w:szCs w:val="24"/>
          <w:highlight w:val="none"/>
        </w:rPr>
        <w:t>工序采用电加热（温度在180-200℃之间）。生产工艺中</w:t>
      </w:r>
      <w:r>
        <w:rPr>
          <w:rFonts w:hint="eastAsia" w:ascii="Times New Roman" w:hAnsi="Times New Roman"/>
          <w:color w:val="auto"/>
          <w:szCs w:val="24"/>
          <w:highlight w:val="none"/>
          <w:lang w:val="en-US" w:eastAsia="zh-CN"/>
        </w:rPr>
        <w:t>注塑脱模前</w:t>
      </w:r>
      <w:r>
        <w:rPr>
          <w:rFonts w:ascii="Times New Roman" w:hAnsi="Times New Roman"/>
          <w:color w:val="auto"/>
          <w:szCs w:val="24"/>
          <w:highlight w:val="none"/>
        </w:rPr>
        <w:t>冷却采用</w:t>
      </w:r>
      <w:r>
        <w:rPr>
          <w:rFonts w:hint="eastAsia" w:ascii="Times New Roman" w:hAnsi="Times New Roman"/>
          <w:color w:val="auto"/>
          <w:szCs w:val="24"/>
          <w:highlight w:val="none"/>
          <w:lang w:val="en-US" w:eastAsia="zh-CN"/>
        </w:rPr>
        <w:t>水冷</w:t>
      </w:r>
      <w:r>
        <w:rPr>
          <w:rFonts w:ascii="Times New Roman" w:hAnsi="Times New Roman"/>
          <w:color w:val="auto"/>
          <w:szCs w:val="24"/>
          <w:highlight w:val="none"/>
        </w:rPr>
        <w:t>，冷却水循环使用，定期补充，不外排。</w:t>
      </w:r>
    </w:p>
    <w:p>
      <w:pPr>
        <w:keepNext/>
        <w:keepLines/>
        <w:spacing w:line="360" w:lineRule="auto"/>
        <w:outlineLvl w:val="1"/>
        <w:rPr>
          <w:b/>
          <w:color w:val="auto"/>
          <w:sz w:val="28"/>
          <w:szCs w:val="32"/>
          <w:highlight w:val="none"/>
        </w:rPr>
      </w:pPr>
      <w:bookmarkStart w:id="336" w:name="_Toc402"/>
      <w:bookmarkStart w:id="337" w:name="_Toc75908629"/>
      <w:r>
        <w:rPr>
          <w:b/>
          <w:color w:val="auto"/>
          <w:sz w:val="28"/>
          <w:szCs w:val="32"/>
          <w:highlight w:val="none"/>
        </w:rPr>
        <w:t>2.</w:t>
      </w:r>
      <w:r>
        <w:rPr>
          <w:rFonts w:hint="eastAsia"/>
          <w:b/>
          <w:color w:val="auto"/>
          <w:sz w:val="28"/>
          <w:szCs w:val="32"/>
          <w:highlight w:val="none"/>
          <w:lang w:val="en-US" w:eastAsia="zh-CN"/>
        </w:rPr>
        <w:t>7</w:t>
      </w:r>
      <w:r>
        <w:rPr>
          <w:b/>
          <w:color w:val="auto"/>
          <w:sz w:val="28"/>
          <w:szCs w:val="32"/>
          <w:highlight w:val="none"/>
        </w:rPr>
        <w:t>平面布置</w:t>
      </w:r>
      <w:bookmarkEnd w:id="336"/>
      <w:bookmarkEnd w:id="337"/>
    </w:p>
    <w:p>
      <w:pPr>
        <w:autoSpaceDE w:val="0"/>
        <w:autoSpaceDN w:val="0"/>
        <w:spacing w:line="360" w:lineRule="auto"/>
        <w:ind w:firstLine="480" w:firstLineChars="200"/>
        <w:rPr>
          <w:color w:val="auto"/>
          <w:sz w:val="24"/>
          <w:highlight w:val="none"/>
        </w:rPr>
      </w:pPr>
      <w:r>
        <w:rPr>
          <w:color w:val="auto"/>
          <w:sz w:val="24"/>
          <w:highlight w:val="none"/>
        </w:rPr>
        <w:t>本项目为</w:t>
      </w:r>
      <w:r>
        <w:rPr>
          <w:rFonts w:hint="eastAsia"/>
          <w:color w:val="auto"/>
          <w:sz w:val="24"/>
          <w:highlight w:val="none"/>
          <w:lang w:val="en-US" w:eastAsia="zh-CN"/>
        </w:rPr>
        <w:t>蔬菜框生产</w:t>
      </w:r>
      <w:r>
        <w:rPr>
          <w:color w:val="auto"/>
          <w:sz w:val="24"/>
          <w:highlight w:val="none"/>
        </w:rPr>
        <w:t>项目，工程布局遵循功能分区合理和工艺流程的原则，实现项目科学合理运营。合理组织水、电供应线路，尽量使路线简捷，减少不必要的能量损耗、物料消耗。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color w:val="auto"/>
          <w:sz w:val="24"/>
          <w:highlight w:val="none"/>
        </w:rPr>
        <w:t>本项目位于</w:t>
      </w:r>
      <w:r>
        <w:rPr>
          <w:rFonts w:hint="eastAsia"/>
          <w:color w:val="auto"/>
          <w:sz w:val="24"/>
          <w:highlight w:val="none"/>
          <w:lang w:val="en-US" w:eastAsia="zh-CN"/>
        </w:rPr>
        <w:t>寻甸县仁德街道建设社区三月三</w:t>
      </w:r>
      <w:r>
        <w:rPr>
          <w:color w:val="auto"/>
          <w:sz w:val="24"/>
          <w:highlight w:val="none"/>
        </w:rPr>
        <w:t>，生产场地出入口为厂房</w:t>
      </w:r>
      <w:r>
        <w:rPr>
          <w:rFonts w:hint="eastAsia"/>
          <w:color w:val="auto"/>
          <w:sz w:val="24"/>
          <w:highlight w:val="none"/>
          <w:lang w:val="en-US" w:eastAsia="zh-CN"/>
        </w:rPr>
        <w:t>北侧的</w:t>
      </w:r>
      <w:r>
        <w:rPr>
          <w:color w:val="auto"/>
          <w:sz w:val="24"/>
          <w:highlight w:val="none"/>
        </w:rPr>
        <w:t>出入口，主要出入口位于</w:t>
      </w:r>
      <w:r>
        <w:rPr>
          <w:rFonts w:hint="eastAsia"/>
          <w:color w:val="auto"/>
          <w:sz w:val="24"/>
          <w:highlight w:val="none"/>
          <w:lang w:val="en-US" w:eastAsia="zh-CN"/>
        </w:rPr>
        <w:t>S102省道旁（柯沙线）</w:t>
      </w:r>
      <w:r>
        <w:rPr>
          <w:color w:val="auto"/>
          <w:sz w:val="24"/>
          <w:highlight w:val="none"/>
        </w:rPr>
        <w:t>，方便运输。</w:t>
      </w:r>
      <w:r>
        <w:rPr>
          <w:rFonts w:hint="default" w:ascii="Times New Roman" w:hAnsi="Times New Roman" w:cs="Times New Roman"/>
          <w:color w:val="auto"/>
          <w:sz w:val="24"/>
          <w:highlight w:val="none"/>
          <w:lang w:val="en-US" w:eastAsia="zh-CN"/>
        </w:rPr>
        <w:t>项目总平面布置满足运输的要求，布置人流、物流和消防通道的要求。主体工程蔬菜</w:t>
      </w:r>
      <w:r>
        <w:rPr>
          <w:rFonts w:hint="eastAsia" w:cs="Times New Roman"/>
          <w:color w:val="auto"/>
          <w:sz w:val="24"/>
          <w:highlight w:val="none"/>
          <w:lang w:val="en-US" w:eastAsia="zh-CN"/>
        </w:rPr>
        <w:t>框</w:t>
      </w:r>
      <w:r>
        <w:rPr>
          <w:rFonts w:hint="default" w:ascii="Times New Roman" w:hAnsi="Times New Roman" w:cs="Times New Roman"/>
          <w:color w:val="auto"/>
          <w:sz w:val="24"/>
          <w:highlight w:val="none"/>
          <w:lang w:val="en-US" w:eastAsia="zh-CN"/>
        </w:rPr>
        <w:t>生产车间布设在</w:t>
      </w:r>
      <w:r>
        <w:rPr>
          <w:rFonts w:hint="eastAsia" w:cs="Times New Roman"/>
          <w:color w:val="auto"/>
          <w:sz w:val="24"/>
          <w:highlight w:val="none"/>
          <w:lang w:val="en-US" w:eastAsia="zh-CN"/>
        </w:rPr>
        <w:t>厂区东南侧</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原料仓库布置在生产车间北侧，成品堆存区布置在生产车间西侧</w:t>
      </w:r>
      <w:r>
        <w:rPr>
          <w:rFonts w:hint="default" w:ascii="Times New Roman" w:hAnsi="Times New Roman" w:cs="Times New Roman"/>
          <w:color w:val="auto"/>
          <w:sz w:val="24"/>
          <w:highlight w:val="none"/>
          <w:lang w:val="en-US" w:eastAsia="zh-CN"/>
        </w:rPr>
        <w:t>；排气筒布设在</w:t>
      </w:r>
      <w:r>
        <w:rPr>
          <w:rFonts w:hint="eastAsia" w:cs="Times New Roman"/>
          <w:color w:val="auto"/>
          <w:sz w:val="24"/>
          <w:highlight w:val="none"/>
          <w:lang w:val="en-US" w:eastAsia="zh-CN"/>
        </w:rPr>
        <w:t>生产车间</w:t>
      </w:r>
      <w:r>
        <w:rPr>
          <w:rFonts w:hint="default" w:ascii="Times New Roman" w:hAnsi="Times New Roman" w:cs="Times New Roman"/>
          <w:color w:val="auto"/>
          <w:sz w:val="24"/>
          <w:highlight w:val="none"/>
          <w:lang w:val="en-US" w:eastAsia="zh-CN"/>
        </w:rPr>
        <w:t>的</w:t>
      </w:r>
      <w:r>
        <w:rPr>
          <w:rFonts w:hint="eastAsia" w:cs="Times New Roman"/>
          <w:color w:val="auto"/>
          <w:sz w:val="24"/>
          <w:highlight w:val="none"/>
          <w:lang w:val="en-US" w:eastAsia="zh-CN"/>
        </w:rPr>
        <w:t>西</w:t>
      </w:r>
      <w:r>
        <w:rPr>
          <w:rFonts w:hint="default" w:ascii="Times New Roman" w:hAnsi="Times New Roman" w:cs="Times New Roman"/>
          <w:color w:val="auto"/>
          <w:sz w:val="24"/>
          <w:highlight w:val="none"/>
          <w:lang w:val="en-US" w:eastAsia="zh-CN"/>
        </w:rPr>
        <w:t>侧</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办公</w:t>
      </w:r>
      <w:r>
        <w:rPr>
          <w:color w:val="auto"/>
          <w:sz w:val="24"/>
          <w:highlight w:val="none"/>
        </w:rPr>
        <w:t>区</w:t>
      </w:r>
      <w:r>
        <w:rPr>
          <w:rFonts w:hint="eastAsia"/>
          <w:color w:val="auto"/>
          <w:sz w:val="24"/>
          <w:highlight w:val="none"/>
          <w:lang w:val="en-US" w:eastAsia="zh-CN"/>
        </w:rPr>
        <w:t>布置在厂区东北侧</w:t>
      </w:r>
      <w:r>
        <w:rPr>
          <w:color w:val="auto"/>
          <w:sz w:val="24"/>
          <w:highlight w:val="none"/>
        </w:rPr>
        <w:t>，</w:t>
      </w:r>
      <w:r>
        <w:rPr>
          <w:rFonts w:hint="eastAsia"/>
          <w:color w:val="auto"/>
          <w:sz w:val="24"/>
          <w:highlight w:val="none"/>
          <w:lang w:val="en-US" w:eastAsia="zh-CN"/>
        </w:rPr>
        <w:t>位于生产车间北侧，位于项目生产区侧风向。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本项目在工艺布局上尽量缩短生产线的非生产间隔，设备之间有足够的安全距离。项目总</w:t>
      </w:r>
      <w:r>
        <w:rPr>
          <w:rFonts w:hint="eastAsia" w:cs="Times New Roman"/>
          <w:color w:val="auto"/>
          <w:sz w:val="24"/>
          <w:highlight w:val="none"/>
          <w:lang w:eastAsia="zh-CN"/>
        </w:rPr>
        <w:t>体</w:t>
      </w:r>
      <w:r>
        <w:rPr>
          <w:rFonts w:hint="default" w:ascii="Times New Roman" w:hAnsi="Times New Roman" w:cs="Times New Roman"/>
          <w:color w:val="auto"/>
          <w:sz w:val="24"/>
          <w:highlight w:val="none"/>
        </w:rPr>
        <w:t>布置功能分区明确、工艺紧凑、物流顺畅，并充分考虑了环保、安全、消防等方面因素，评价认为，本项目总体布局基本合理、可行。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项目总平面布置见附图</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p>
    <w:p>
      <w:pPr>
        <w:keepNext/>
        <w:keepLines/>
        <w:spacing w:line="360" w:lineRule="auto"/>
        <w:outlineLvl w:val="1"/>
        <w:rPr>
          <w:b/>
          <w:color w:val="auto"/>
          <w:sz w:val="28"/>
          <w:szCs w:val="32"/>
          <w:highlight w:val="none"/>
        </w:rPr>
      </w:pPr>
      <w:bookmarkStart w:id="338" w:name="_Toc29342"/>
      <w:bookmarkStart w:id="339" w:name="_Toc75908630"/>
      <w:r>
        <w:rPr>
          <w:b/>
          <w:color w:val="auto"/>
          <w:sz w:val="28"/>
          <w:szCs w:val="32"/>
          <w:highlight w:val="none"/>
        </w:rPr>
        <w:t>2.</w:t>
      </w:r>
      <w:r>
        <w:rPr>
          <w:rFonts w:hint="eastAsia"/>
          <w:b/>
          <w:color w:val="auto"/>
          <w:sz w:val="28"/>
          <w:szCs w:val="32"/>
          <w:highlight w:val="none"/>
          <w:lang w:val="en-US" w:eastAsia="zh-CN"/>
        </w:rPr>
        <w:t>8</w:t>
      </w:r>
      <w:r>
        <w:rPr>
          <w:b/>
          <w:color w:val="auto"/>
          <w:sz w:val="28"/>
          <w:szCs w:val="32"/>
          <w:highlight w:val="none"/>
        </w:rPr>
        <w:t>工作制度及劳动定员</w:t>
      </w:r>
      <w:bookmarkEnd w:id="338"/>
      <w:bookmarkEnd w:id="339"/>
    </w:p>
    <w:p>
      <w:pPr>
        <w:spacing w:line="360" w:lineRule="auto"/>
        <w:ind w:firstLine="540" w:firstLineChars="225"/>
        <w:rPr>
          <w:color w:val="auto"/>
          <w:sz w:val="24"/>
          <w:highlight w:val="none"/>
        </w:rPr>
      </w:pPr>
      <w:r>
        <w:rPr>
          <w:color w:val="auto"/>
          <w:sz w:val="24"/>
          <w:highlight w:val="none"/>
        </w:rPr>
        <w:t>项目全年运营天数为300</w:t>
      </w:r>
      <w:r>
        <w:rPr>
          <w:rFonts w:ascii="Times New Roman" w:hAnsi="Times New Roman" w:eastAsia="宋体" w:cs="Times New Roman"/>
          <w:color w:val="auto"/>
          <w:sz w:val="24"/>
          <w:highlight w:val="none"/>
        </w:rPr>
        <w:t>天，</w:t>
      </w:r>
      <w:r>
        <w:rPr>
          <w:rFonts w:hint="eastAsia" w:ascii="Times New Roman" w:hAnsi="Times New Roman" w:eastAsia="宋体" w:cs="Times New Roman"/>
          <w:color w:val="auto"/>
          <w:sz w:val="24"/>
          <w:highlight w:val="none"/>
        </w:rPr>
        <w:t>实行一班制</w:t>
      </w:r>
      <w:r>
        <w:rPr>
          <w:rFonts w:ascii="Times New Roman" w:hAnsi="Times New Roman" w:eastAsia="宋体" w:cs="Times New Roman"/>
          <w:color w:val="auto"/>
          <w:sz w:val="24"/>
          <w:highlight w:val="none"/>
        </w:rPr>
        <w:t>，每</w:t>
      </w:r>
      <w:r>
        <w:rPr>
          <w:color w:val="auto"/>
          <w:sz w:val="24"/>
          <w:highlight w:val="none"/>
        </w:rPr>
        <w:t>班8小时。</w:t>
      </w:r>
    </w:p>
    <w:p>
      <w:pPr>
        <w:spacing w:line="360" w:lineRule="auto"/>
        <w:ind w:firstLine="540" w:firstLineChars="225"/>
        <w:rPr>
          <w:color w:val="auto"/>
          <w:sz w:val="24"/>
          <w:highlight w:val="none"/>
        </w:rPr>
      </w:pPr>
      <w:r>
        <w:rPr>
          <w:color w:val="auto"/>
          <w:sz w:val="24"/>
          <w:highlight w:val="none"/>
        </w:rPr>
        <w:t>项目劳动定员</w:t>
      </w:r>
      <w:r>
        <w:rPr>
          <w:rFonts w:hint="eastAsia"/>
          <w:color w:val="auto"/>
          <w:sz w:val="24"/>
          <w:highlight w:val="none"/>
          <w:lang w:val="en-US" w:eastAsia="zh-CN"/>
        </w:rPr>
        <w:t>6</w:t>
      </w:r>
      <w:r>
        <w:rPr>
          <w:color w:val="auto"/>
          <w:sz w:val="24"/>
          <w:highlight w:val="none"/>
        </w:rPr>
        <w:t>人</w:t>
      </w:r>
      <w:r>
        <w:rPr>
          <w:rFonts w:hint="eastAsia"/>
          <w:color w:val="auto"/>
          <w:sz w:val="24"/>
          <w:highlight w:val="none"/>
          <w:lang w:eastAsia="zh-CN"/>
        </w:rPr>
        <w:t>（</w:t>
      </w:r>
      <w:r>
        <w:rPr>
          <w:rFonts w:hint="eastAsia"/>
          <w:color w:val="auto"/>
          <w:sz w:val="24"/>
          <w:highlight w:val="none"/>
          <w:lang w:val="en-US" w:eastAsia="zh-CN"/>
        </w:rPr>
        <w:t>含管理人员1人、生产操作人员5人</w:t>
      </w:r>
      <w:r>
        <w:rPr>
          <w:rFonts w:hint="eastAsia"/>
          <w:color w:val="auto"/>
          <w:sz w:val="24"/>
          <w:highlight w:val="none"/>
          <w:lang w:eastAsia="zh-CN"/>
        </w:rPr>
        <w:t>）</w:t>
      </w:r>
      <w:r>
        <w:rPr>
          <w:color w:val="auto"/>
          <w:sz w:val="24"/>
          <w:highlight w:val="none"/>
        </w:rPr>
        <w:t>，</w:t>
      </w:r>
      <w:r>
        <w:rPr>
          <w:rFonts w:hint="eastAsia"/>
          <w:color w:val="auto"/>
          <w:sz w:val="24"/>
          <w:highlight w:val="none"/>
          <w:lang w:val="en-US" w:eastAsia="zh-CN"/>
        </w:rPr>
        <w:t>本项目员工均为附近村民，不在项目区内食宿</w:t>
      </w:r>
      <w:r>
        <w:rPr>
          <w:rFonts w:hint="eastAsia"/>
          <w:color w:val="auto"/>
          <w:sz w:val="24"/>
          <w:highlight w:val="none"/>
        </w:rPr>
        <w:t>。</w:t>
      </w:r>
    </w:p>
    <w:p>
      <w:pPr>
        <w:keepNext/>
        <w:keepLines/>
        <w:spacing w:line="360" w:lineRule="auto"/>
        <w:outlineLvl w:val="1"/>
        <w:rPr>
          <w:rFonts w:hint="eastAsia" w:ascii="Times New Roman" w:hAnsi="Times New Roman" w:eastAsia="宋体" w:cs="Times New Roman"/>
          <w:b/>
          <w:color w:val="auto"/>
          <w:sz w:val="28"/>
          <w:szCs w:val="32"/>
          <w:highlight w:val="none"/>
          <w:lang w:val="en-US" w:eastAsia="zh-CN"/>
        </w:rPr>
      </w:pPr>
      <w:bookmarkStart w:id="340" w:name="_Toc75908631"/>
      <w:bookmarkStart w:id="341" w:name="_Toc19842"/>
      <w:r>
        <w:rPr>
          <w:rFonts w:ascii="Times New Roman" w:hAnsi="Times New Roman" w:eastAsia="宋体" w:cs="Times New Roman"/>
          <w:b/>
          <w:color w:val="auto"/>
          <w:sz w:val="28"/>
          <w:szCs w:val="32"/>
          <w:highlight w:val="none"/>
        </w:rPr>
        <w:t>2.</w:t>
      </w:r>
      <w:r>
        <w:rPr>
          <w:rFonts w:hint="eastAsia" w:ascii="Times New Roman" w:hAnsi="Times New Roman" w:eastAsia="宋体" w:cs="Times New Roman"/>
          <w:b/>
          <w:color w:val="auto"/>
          <w:sz w:val="28"/>
          <w:szCs w:val="32"/>
          <w:highlight w:val="none"/>
          <w:lang w:val="en-US" w:eastAsia="zh-CN"/>
        </w:rPr>
        <w:t>9</w:t>
      </w:r>
      <w:r>
        <w:rPr>
          <w:rFonts w:ascii="Times New Roman" w:hAnsi="Times New Roman" w:eastAsia="宋体" w:cs="Times New Roman"/>
          <w:b/>
          <w:color w:val="auto"/>
          <w:sz w:val="28"/>
          <w:szCs w:val="32"/>
          <w:highlight w:val="none"/>
        </w:rPr>
        <w:t>项目施工</w:t>
      </w:r>
      <w:bookmarkEnd w:id="340"/>
      <w:r>
        <w:rPr>
          <w:rFonts w:hint="eastAsia" w:ascii="Times New Roman" w:hAnsi="Times New Roman" w:eastAsia="宋体" w:cs="Times New Roman"/>
          <w:b/>
          <w:color w:val="auto"/>
          <w:sz w:val="28"/>
          <w:szCs w:val="32"/>
          <w:highlight w:val="none"/>
          <w:lang w:val="en-US" w:eastAsia="zh-CN"/>
        </w:rPr>
        <w:t>方案</w:t>
      </w:r>
      <w:bookmarkEnd w:id="341"/>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1、施工进度</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项目计划于202</w:t>
      </w:r>
      <w:r>
        <w:rPr>
          <w:rFonts w:hint="eastAsia" w:ascii="Times New Roman" w:hAnsi="Times New Roman" w:eastAsia="宋体" w:cs="Times New Roman"/>
          <w:color w:val="auto"/>
          <w:sz w:val="24"/>
          <w:highlight w:val="none"/>
          <w:lang w:val="en-US" w:eastAsia="zh-CN"/>
        </w:rPr>
        <w:t>4</w:t>
      </w:r>
      <w:r>
        <w:rPr>
          <w:rFonts w:ascii="Times New Roman" w:hAnsi="Times New Roman" w:eastAsia="宋体" w:cs="Times New Roman"/>
          <w:color w:val="auto"/>
          <w:sz w:val="24"/>
          <w:highlight w:val="none"/>
        </w:rPr>
        <w:t>年</w:t>
      </w:r>
      <w:r>
        <w:rPr>
          <w:rFonts w:hint="eastAsia" w:cs="Times New Roman"/>
          <w:color w:val="auto"/>
          <w:sz w:val="24"/>
          <w:highlight w:val="none"/>
          <w:lang w:val="en-US" w:eastAsia="zh-CN"/>
        </w:rPr>
        <w:t>5</w:t>
      </w:r>
      <w:r>
        <w:rPr>
          <w:rFonts w:ascii="Times New Roman" w:hAnsi="Times New Roman" w:eastAsia="宋体" w:cs="Times New Roman"/>
          <w:color w:val="auto"/>
          <w:sz w:val="24"/>
          <w:highlight w:val="none"/>
        </w:rPr>
        <w:t>月施工，202</w:t>
      </w:r>
      <w:r>
        <w:rPr>
          <w:rFonts w:hint="eastAsia" w:cs="Times New Roman"/>
          <w:color w:val="auto"/>
          <w:sz w:val="24"/>
          <w:highlight w:val="none"/>
          <w:lang w:val="en-US" w:eastAsia="zh-CN"/>
        </w:rPr>
        <w:t>4</w:t>
      </w:r>
      <w:r>
        <w:rPr>
          <w:rFonts w:ascii="Times New Roman" w:hAnsi="Times New Roman" w:eastAsia="宋体" w:cs="Times New Roman"/>
          <w:color w:val="auto"/>
          <w:sz w:val="24"/>
          <w:highlight w:val="none"/>
        </w:rPr>
        <w:t>年</w:t>
      </w:r>
      <w:r>
        <w:rPr>
          <w:rFonts w:hint="eastAsia" w:cs="Times New Roman"/>
          <w:color w:val="auto"/>
          <w:sz w:val="24"/>
          <w:highlight w:val="none"/>
          <w:lang w:val="en-US" w:eastAsia="zh-CN"/>
        </w:rPr>
        <w:t>6</w:t>
      </w:r>
      <w:r>
        <w:rPr>
          <w:rFonts w:ascii="Times New Roman" w:hAnsi="Times New Roman" w:eastAsia="宋体" w:cs="Times New Roman"/>
          <w:color w:val="auto"/>
          <w:sz w:val="24"/>
          <w:highlight w:val="none"/>
        </w:rPr>
        <w:t>月结束，共施工</w:t>
      </w:r>
      <w:r>
        <w:rPr>
          <w:rFonts w:hint="eastAsia" w:ascii="Times New Roman" w:hAnsi="Times New Roman" w:eastAsia="宋体" w:cs="Times New Roman"/>
          <w:color w:val="auto"/>
          <w:sz w:val="24"/>
          <w:highlight w:val="none"/>
        </w:rPr>
        <w:t>1</w:t>
      </w:r>
      <w:r>
        <w:rPr>
          <w:rFonts w:ascii="Times New Roman" w:hAnsi="Times New Roman" w:eastAsia="宋体" w:cs="Times New Roman"/>
          <w:color w:val="auto"/>
          <w:sz w:val="24"/>
          <w:highlight w:val="none"/>
        </w:rPr>
        <w:t>个月。根据现场踏勘，</w:t>
      </w:r>
      <w:r>
        <w:rPr>
          <w:rFonts w:hint="eastAsia" w:ascii="Times New Roman" w:hAnsi="Times New Roman" w:eastAsia="宋体" w:cs="Times New Roman"/>
          <w:color w:val="auto"/>
          <w:sz w:val="24"/>
          <w:highlight w:val="none"/>
        </w:rPr>
        <w:t>项目目前还未开工建设</w:t>
      </w:r>
      <w:r>
        <w:rPr>
          <w:rFonts w:ascii="Times New Roman" w:hAnsi="Times New Roman" w:eastAsia="宋体" w:cs="Times New Roman"/>
          <w:color w:val="auto"/>
          <w:sz w:val="24"/>
          <w:highlight w:val="none"/>
        </w:rPr>
        <w:t>。</w:t>
      </w:r>
    </w:p>
    <w:p>
      <w:pPr>
        <w:numPr>
          <w:ilvl w:val="0"/>
          <w:numId w:val="4"/>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施工道路</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项目北侧紧邻S102省道，施工现场已有进场道路，无需新增施工便道。</w:t>
      </w:r>
    </w:p>
    <w:p>
      <w:pPr>
        <w:pStyle w:val="21"/>
        <w:numPr>
          <w:ilvl w:val="0"/>
          <w:numId w:val="4"/>
        </w:numPr>
        <w:ind w:left="0" w:leftChars="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施工材料</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项目租用寻甸县仁德街道建设社区</w:t>
      </w:r>
      <w:r>
        <w:rPr>
          <w:rFonts w:hint="eastAsia" w:cs="Times New Roman"/>
          <w:color w:val="auto"/>
          <w:sz w:val="24"/>
          <w:highlight w:val="none"/>
          <w:lang w:val="en-US" w:eastAsia="zh-CN"/>
        </w:rPr>
        <w:t>原</w:t>
      </w:r>
      <w:r>
        <w:rPr>
          <w:rFonts w:hint="eastAsia" w:ascii="Times New Roman" w:hAnsi="Times New Roman" w:eastAsia="宋体" w:cs="Times New Roman"/>
          <w:color w:val="auto"/>
          <w:sz w:val="24"/>
          <w:highlight w:val="none"/>
          <w:lang w:val="en-US" w:eastAsia="zh-CN"/>
        </w:rPr>
        <w:t>三月三</w:t>
      </w:r>
      <w:r>
        <w:rPr>
          <w:rFonts w:hint="eastAsia" w:cs="Times New Roman"/>
          <w:color w:val="auto"/>
          <w:sz w:val="24"/>
          <w:highlight w:val="none"/>
          <w:lang w:val="en-US" w:eastAsia="zh-CN"/>
        </w:rPr>
        <w:t>铸造厂</w:t>
      </w:r>
      <w:r>
        <w:rPr>
          <w:rFonts w:hint="eastAsia" w:ascii="Times New Roman" w:hAnsi="Times New Roman" w:eastAsia="宋体" w:cs="Times New Roman"/>
          <w:color w:val="auto"/>
          <w:sz w:val="24"/>
          <w:highlight w:val="none"/>
          <w:lang w:val="en-US" w:eastAsia="zh-CN"/>
        </w:rPr>
        <w:t>内场地及建筑物，项目依托已建的建筑进行生产，仅对原有建筑进行厂房装修及隔断、安装设施设备后即可投入生产，厂房装修及隔断使用的材料依托当地市场购买，生产设施及设备均为外购后进场安装。项目不设置取土场、采石场，仅设置临时材料堆场，在项目区内部设置，不另外占用土地。</w:t>
      </w:r>
    </w:p>
    <w:p>
      <w:pPr>
        <w:pStyle w:val="21"/>
        <w:numPr>
          <w:ilvl w:val="0"/>
          <w:numId w:val="4"/>
        </w:numPr>
        <w:ind w:left="0" w:leftChars="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施工营地</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项目在租用的原三月三铸造厂内改造及新增生产及环保设施、设备，设备进场后直接安装，</w:t>
      </w:r>
      <w:r>
        <w:rPr>
          <w:rFonts w:hint="eastAsia" w:ascii="Times New Roman" w:hAnsi="Times New Roman" w:eastAsia="宋体" w:cs="Times New Roman"/>
          <w:color w:val="auto"/>
          <w:sz w:val="24"/>
          <w:highlight w:val="none"/>
          <w:lang w:val="en-US" w:eastAsia="zh-CN"/>
        </w:rPr>
        <w:t>不另外占用土地。施工人员约为</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人，施工队伍承包当地施工队，不在项目区内食宿，不设施工营地</w:t>
      </w:r>
      <w:r>
        <w:rPr>
          <w:rFonts w:hint="eastAsia" w:cs="Times New Roman"/>
          <w:color w:val="auto"/>
          <w:sz w:val="24"/>
          <w:highlight w:val="none"/>
          <w:lang w:val="en-US" w:eastAsia="zh-CN"/>
        </w:rPr>
        <w:t>及场地</w:t>
      </w:r>
      <w:r>
        <w:rPr>
          <w:rFonts w:hint="eastAsia" w:ascii="Times New Roman" w:hAnsi="Times New Roman" w:eastAsia="宋体" w:cs="Times New Roman"/>
          <w:color w:val="auto"/>
          <w:sz w:val="24"/>
          <w:highlight w:val="none"/>
          <w:lang w:val="en-US" w:eastAsia="zh-CN"/>
        </w:rPr>
        <w:t>，不在项目区外征占土地和设置临时施工建筑</w:t>
      </w:r>
      <w:r>
        <w:rPr>
          <w:rFonts w:hint="eastAsia" w:cs="Times New Roman"/>
          <w:color w:val="auto"/>
          <w:sz w:val="24"/>
          <w:highlight w:val="none"/>
          <w:lang w:val="en-US" w:eastAsia="zh-CN"/>
        </w:rPr>
        <w:t>，施工人员的餐饮住宿均依托周边配套服务设施</w:t>
      </w:r>
      <w:r>
        <w:rPr>
          <w:rFonts w:hint="eastAsia" w:ascii="Times New Roman" w:hAnsi="Times New Roman" w:eastAsia="宋体" w:cs="Times New Roman"/>
          <w:color w:val="auto"/>
          <w:sz w:val="24"/>
          <w:highlight w:val="none"/>
          <w:lang w:val="en-US" w:eastAsia="zh-CN"/>
        </w:rPr>
        <w:t xml:space="preserve">。 </w:t>
      </w:r>
    </w:p>
    <w:p>
      <w:pPr>
        <w:keepNext/>
        <w:keepLines/>
        <w:spacing w:line="360" w:lineRule="auto"/>
        <w:outlineLvl w:val="1"/>
        <w:rPr>
          <w:b/>
          <w:bCs/>
          <w:color w:val="auto"/>
          <w:sz w:val="28"/>
          <w:szCs w:val="28"/>
          <w:highlight w:val="none"/>
        </w:rPr>
        <w:sectPr>
          <w:headerReference r:id="rId7" w:type="default"/>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bookmarkStart w:id="342" w:name="_Toc341369432"/>
      <w:bookmarkStart w:id="343" w:name="_Toc275001987"/>
      <w:bookmarkStart w:id="344" w:name="_Toc367282051"/>
      <w:bookmarkStart w:id="345" w:name="_Toc275730351"/>
      <w:bookmarkStart w:id="346" w:name="_Toc367281468"/>
    </w:p>
    <w:bookmarkEnd w:id="342"/>
    <w:bookmarkEnd w:id="343"/>
    <w:bookmarkEnd w:id="344"/>
    <w:bookmarkEnd w:id="345"/>
    <w:bookmarkEnd w:id="346"/>
    <w:p>
      <w:pPr>
        <w:keepNext/>
        <w:keepLines/>
        <w:spacing w:line="360" w:lineRule="auto"/>
        <w:textAlignment w:val="baseline"/>
        <w:outlineLvl w:val="0"/>
        <w:rPr>
          <w:b/>
          <w:bCs/>
          <w:color w:val="auto"/>
          <w:kern w:val="44"/>
          <w:sz w:val="32"/>
          <w:szCs w:val="44"/>
          <w:highlight w:val="none"/>
        </w:rPr>
      </w:pPr>
      <w:bookmarkStart w:id="347" w:name="_Toc75908634"/>
      <w:bookmarkStart w:id="348" w:name="_Toc11179"/>
      <w:r>
        <w:rPr>
          <w:b/>
          <w:bCs/>
          <w:color w:val="auto"/>
          <w:kern w:val="44"/>
          <w:sz w:val="32"/>
          <w:szCs w:val="44"/>
          <w:highlight w:val="none"/>
        </w:rPr>
        <w:t>3、工程分析</w:t>
      </w:r>
      <w:bookmarkEnd w:id="347"/>
      <w:bookmarkEnd w:id="348"/>
    </w:p>
    <w:p>
      <w:pPr>
        <w:keepNext/>
        <w:keepLines/>
        <w:spacing w:line="360" w:lineRule="auto"/>
        <w:outlineLvl w:val="1"/>
        <w:rPr>
          <w:b/>
          <w:color w:val="auto"/>
          <w:sz w:val="28"/>
          <w:szCs w:val="32"/>
          <w:highlight w:val="none"/>
        </w:rPr>
      </w:pPr>
      <w:bookmarkStart w:id="349" w:name="_Toc275001988"/>
      <w:bookmarkStart w:id="350" w:name="_Toc367282052"/>
      <w:bookmarkStart w:id="351" w:name="_Toc367281469"/>
      <w:bookmarkStart w:id="352" w:name="_Toc275730352"/>
      <w:bookmarkStart w:id="353" w:name="_Toc341369433"/>
      <w:bookmarkStart w:id="354" w:name="_Toc75908635"/>
      <w:bookmarkStart w:id="355" w:name="_Toc6630"/>
      <w:r>
        <w:rPr>
          <w:b/>
          <w:color w:val="auto"/>
          <w:sz w:val="28"/>
          <w:szCs w:val="32"/>
          <w:highlight w:val="none"/>
        </w:rPr>
        <w:t>3.1</w:t>
      </w:r>
      <w:bookmarkEnd w:id="349"/>
      <w:bookmarkEnd w:id="350"/>
      <w:bookmarkEnd w:id="351"/>
      <w:bookmarkEnd w:id="352"/>
      <w:bookmarkEnd w:id="353"/>
      <w:r>
        <w:rPr>
          <w:b/>
          <w:color w:val="auto"/>
          <w:sz w:val="28"/>
          <w:szCs w:val="32"/>
          <w:highlight w:val="none"/>
        </w:rPr>
        <w:t>施工期环境影响因素分析</w:t>
      </w:r>
      <w:bookmarkEnd w:id="354"/>
      <w:bookmarkEnd w:id="355"/>
    </w:p>
    <w:p>
      <w:pPr>
        <w:pStyle w:val="18"/>
        <w:adjustRightInd w:val="0"/>
        <w:snapToGrid w:val="0"/>
        <w:spacing w:line="360" w:lineRule="auto"/>
        <w:ind w:firstLine="480" w:firstLineChars="200"/>
        <w:rPr>
          <w:rFonts w:hint="eastAsia"/>
          <w:color w:val="auto"/>
          <w:sz w:val="24"/>
          <w:highlight w:val="none"/>
          <w:lang w:val="en-US" w:eastAsia="zh-CN"/>
        </w:rPr>
      </w:pPr>
      <w:r>
        <w:rPr>
          <w:color w:val="auto"/>
          <w:sz w:val="24"/>
          <w:highlight w:val="none"/>
        </w:rPr>
        <w:t>项目为新建项目，</w:t>
      </w:r>
      <w:r>
        <w:rPr>
          <w:rFonts w:hint="eastAsia"/>
          <w:color w:val="auto"/>
          <w:sz w:val="24"/>
          <w:highlight w:val="none"/>
          <w:lang w:val="en-US" w:eastAsia="zh-CN"/>
        </w:rPr>
        <w:t>拟建项目地原是铸造厂，建设单位直接利用原有遗留厂房进行建设，在原有厂房基础上改造并在厂房内新建生产线，主要对厂房进行装修隔断，购置安装注塑机、上料机、破碎机、搅拌机等生产设备及配套环保等辅助设施。</w:t>
      </w:r>
    </w:p>
    <w:p>
      <w:pPr>
        <w:spacing w:line="360" w:lineRule="auto"/>
        <w:ind w:firstLine="495"/>
        <w:rPr>
          <w:color w:val="auto"/>
          <w:sz w:val="24"/>
          <w:highlight w:val="none"/>
        </w:rPr>
      </w:pPr>
      <w:r>
        <w:rPr>
          <w:rFonts w:hint="eastAsia" w:ascii="Times New Roman" w:hAnsi="Times New Roman" w:eastAsia="宋体" w:cs="Times New Roman"/>
          <w:color w:val="auto"/>
          <w:kern w:val="0"/>
          <w:sz w:val="24"/>
          <w:szCs w:val="24"/>
          <w:highlight w:val="none"/>
          <w:lang w:val="en-US" w:eastAsia="zh-CN" w:bidi="ar-SA"/>
        </w:rPr>
        <w:t>项目租用位于寻甸县仁德街道</w:t>
      </w:r>
      <w:r>
        <w:rPr>
          <w:rFonts w:hint="eastAsia" w:cs="Times New Roman"/>
          <w:color w:val="auto"/>
          <w:kern w:val="0"/>
          <w:sz w:val="24"/>
          <w:szCs w:val="24"/>
          <w:highlight w:val="none"/>
          <w:lang w:val="en-US" w:eastAsia="zh-CN" w:bidi="ar-SA"/>
        </w:rPr>
        <w:t>原</w:t>
      </w:r>
      <w:r>
        <w:rPr>
          <w:rFonts w:hint="eastAsia" w:ascii="Times New Roman" w:hAnsi="Times New Roman" w:eastAsia="宋体" w:cs="Times New Roman"/>
          <w:color w:val="auto"/>
          <w:kern w:val="0"/>
          <w:sz w:val="24"/>
          <w:szCs w:val="24"/>
          <w:highlight w:val="none"/>
          <w:lang w:val="en-US" w:eastAsia="zh-CN" w:bidi="ar-SA"/>
        </w:rPr>
        <w:t>三月三</w:t>
      </w:r>
      <w:r>
        <w:rPr>
          <w:rFonts w:hint="eastAsia" w:cs="Times New Roman"/>
          <w:color w:val="auto"/>
          <w:kern w:val="0"/>
          <w:sz w:val="24"/>
          <w:szCs w:val="24"/>
          <w:highlight w:val="none"/>
          <w:lang w:val="en-US" w:eastAsia="zh-CN" w:bidi="ar-SA"/>
        </w:rPr>
        <w:t>铸造厂已建厂房</w:t>
      </w:r>
      <w:r>
        <w:rPr>
          <w:rFonts w:hint="eastAsia" w:ascii="Times New Roman" w:hAnsi="Times New Roman" w:eastAsia="宋体" w:cs="Times New Roman"/>
          <w:color w:val="auto"/>
          <w:kern w:val="0"/>
          <w:sz w:val="24"/>
          <w:szCs w:val="24"/>
          <w:highlight w:val="none"/>
          <w:lang w:val="en-US" w:eastAsia="zh-CN" w:bidi="ar-SA"/>
        </w:rPr>
        <w:t>，施工期</w:t>
      </w:r>
      <w:r>
        <w:rPr>
          <w:color w:val="auto"/>
          <w:sz w:val="24"/>
          <w:highlight w:val="none"/>
        </w:rPr>
        <w:t>主要施工内容包括：</w:t>
      </w:r>
      <w:r>
        <w:rPr>
          <w:rFonts w:hint="eastAsia"/>
          <w:color w:val="auto"/>
          <w:sz w:val="24"/>
          <w:highlight w:val="none"/>
          <w:lang w:val="en-US" w:eastAsia="zh-CN"/>
        </w:rPr>
        <w:t>厂房装修隔断</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rPr>
        <w:t>生产设备安装、环保工程建设等。</w:t>
      </w:r>
      <w:r>
        <w:rPr>
          <w:rFonts w:ascii="Times New Roman" w:hAnsi="Times New Roman" w:eastAsia="宋体" w:cs="Times New Roman"/>
          <w:color w:val="auto"/>
          <w:sz w:val="24"/>
          <w:highlight w:val="none"/>
        </w:rPr>
        <w:t>工程量</w:t>
      </w:r>
      <w:r>
        <w:rPr>
          <w:color w:val="auto"/>
          <w:sz w:val="24"/>
          <w:highlight w:val="none"/>
        </w:rPr>
        <w:t>较小，基础工程规模小。装修</w:t>
      </w:r>
      <w:r>
        <w:rPr>
          <w:rFonts w:hint="eastAsia"/>
          <w:color w:val="auto"/>
          <w:sz w:val="24"/>
          <w:highlight w:val="none"/>
          <w:lang w:val="en-US" w:eastAsia="zh-CN"/>
        </w:rPr>
        <w:t>隔断</w:t>
      </w:r>
      <w:r>
        <w:rPr>
          <w:color w:val="auto"/>
          <w:sz w:val="24"/>
          <w:highlight w:val="none"/>
        </w:rPr>
        <w:t>工程以钢结构的框架工程为主，设备安装工程包括生产设备和配套环保设备安装，不涉及非环保类的涂装材料。因此，施工期环境影响主要为施工扬尘、施工废气、施工噪声、施工废水和施工固废。</w:t>
      </w:r>
    </w:p>
    <w:p>
      <w:pPr>
        <w:spacing w:line="360" w:lineRule="auto"/>
        <w:ind w:firstLine="493"/>
        <w:rPr>
          <w:b/>
          <w:color w:val="auto"/>
          <w:sz w:val="24"/>
          <w:highlight w:val="none"/>
        </w:rPr>
      </w:pPr>
      <w:r>
        <w:rPr>
          <w:b/>
          <w:color w:val="auto"/>
          <w:sz w:val="24"/>
          <w:highlight w:val="none"/>
        </w:rPr>
        <w:object>
          <v:shape id="_x0000_i1025" o:spt="75" type="#_x0000_t75" style="height:115.15pt;width:377.1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p>
    <w:p>
      <w:pPr>
        <w:pStyle w:val="21"/>
        <w:jc w:val="center"/>
        <w:rPr>
          <w:rFonts w:hint="default" w:eastAsia="宋体"/>
          <w:color w:val="auto"/>
          <w:highlight w:val="none"/>
          <w:lang w:val="en-US" w:eastAsia="zh-CN"/>
        </w:rPr>
      </w:pPr>
      <w:r>
        <w:rPr>
          <w:rFonts w:hint="eastAsia"/>
          <w:b/>
          <w:color w:val="auto"/>
          <w:sz w:val="24"/>
          <w:highlight w:val="none"/>
          <w:lang w:val="en-US" w:eastAsia="zh-CN"/>
        </w:rPr>
        <w:t>图3.1-1  施工期工艺流程及产污环节图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szCs w:val="20"/>
          <w:highlight w:val="none"/>
        </w:rPr>
      </w:pPr>
      <w:r>
        <w:rPr>
          <w:color w:val="auto"/>
          <w:sz w:val="24"/>
          <w:szCs w:val="20"/>
          <w:highlight w:val="none"/>
        </w:rPr>
        <w:t>工程施工期环境影响因素分析见表3.1-1。</w:t>
      </w:r>
    </w:p>
    <w:p>
      <w:pPr>
        <w:spacing w:line="360" w:lineRule="auto"/>
        <w:jc w:val="center"/>
        <w:rPr>
          <w:b/>
          <w:color w:val="auto"/>
          <w:sz w:val="24"/>
          <w:szCs w:val="20"/>
          <w:highlight w:val="none"/>
        </w:rPr>
      </w:pPr>
      <w:r>
        <w:rPr>
          <w:b/>
          <w:color w:val="auto"/>
          <w:sz w:val="24"/>
          <w:szCs w:val="20"/>
          <w:highlight w:val="none"/>
        </w:rPr>
        <w:t>表3.1-1  施工期环境影响因素分析一览表</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853"/>
        <w:gridCol w:w="2868"/>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pPr>
              <w:spacing w:line="240" w:lineRule="auto"/>
              <w:jc w:val="center"/>
              <w:rPr>
                <w:b/>
                <w:color w:val="auto"/>
                <w:spacing w:val="4"/>
                <w:szCs w:val="21"/>
                <w:highlight w:val="none"/>
              </w:rPr>
            </w:pPr>
            <w:r>
              <w:rPr>
                <w:b/>
                <w:color w:val="auto"/>
                <w:spacing w:val="4"/>
                <w:szCs w:val="21"/>
                <w:highlight w:val="none"/>
              </w:rPr>
              <w:t>类别</w:t>
            </w:r>
          </w:p>
        </w:tc>
        <w:tc>
          <w:tcPr>
            <w:tcW w:w="2853" w:type="dxa"/>
            <w:vAlign w:val="center"/>
          </w:tcPr>
          <w:p>
            <w:pPr>
              <w:spacing w:line="240" w:lineRule="auto"/>
              <w:jc w:val="center"/>
              <w:rPr>
                <w:b/>
                <w:color w:val="auto"/>
                <w:spacing w:val="4"/>
                <w:szCs w:val="21"/>
                <w:highlight w:val="none"/>
              </w:rPr>
            </w:pPr>
            <w:r>
              <w:rPr>
                <w:b/>
                <w:color w:val="auto"/>
                <w:spacing w:val="4"/>
                <w:szCs w:val="21"/>
                <w:highlight w:val="none"/>
              </w:rPr>
              <w:t>污染源</w:t>
            </w:r>
          </w:p>
        </w:tc>
        <w:tc>
          <w:tcPr>
            <w:tcW w:w="2868" w:type="dxa"/>
            <w:vAlign w:val="center"/>
          </w:tcPr>
          <w:p>
            <w:pPr>
              <w:spacing w:line="240" w:lineRule="auto"/>
              <w:jc w:val="center"/>
              <w:rPr>
                <w:b/>
                <w:color w:val="auto"/>
                <w:spacing w:val="4"/>
                <w:szCs w:val="21"/>
                <w:highlight w:val="none"/>
              </w:rPr>
            </w:pPr>
            <w:r>
              <w:rPr>
                <w:b/>
                <w:color w:val="auto"/>
                <w:spacing w:val="4"/>
                <w:szCs w:val="21"/>
                <w:highlight w:val="none"/>
              </w:rPr>
              <w:t>主要污染物</w:t>
            </w:r>
          </w:p>
        </w:tc>
        <w:tc>
          <w:tcPr>
            <w:tcW w:w="1776" w:type="dxa"/>
            <w:vAlign w:val="center"/>
          </w:tcPr>
          <w:p>
            <w:pPr>
              <w:spacing w:line="240" w:lineRule="auto"/>
              <w:jc w:val="center"/>
              <w:rPr>
                <w:b/>
                <w:color w:val="auto"/>
                <w:spacing w:val="4"/>
                <w:szCs w:val="21"/>
                <w:highlight w:val="none"/>
              </w:rPr>
            </w:pPr>
            <w:r>
              <w:rPr>
                <w:b/>
                <w:color w:val="auto"/>
                <w:spacing w:val="4"/>
                <w:szCs w:val="21"/>
                <w:highlight w:val="none"/>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Merge w:val="restart"/>
            <w:vAlign w:val="center"/>
          </w:tcPr>
          <w:p>
            <w:pPr>
              <w:spacing w:line="240" w:lineRule="auto"/>
              <w:jc w:val="center"/>
              <w:rPr>
                <w:color w:val="auto"/>
                <w:spacing w:val="4"/>
                <w:szCs w:val="21"/>
                <w:highlight w:val="none"/>
              </w:rPr>
            </w:pPr>
            <w:r>
              <w:rPr>
                <w:color w:val="auto"/>
                <w:spacing w:val="4"/>
                <w:szCs w:val="21"/>
                <w:highlight w:val="none"/>
              </w:rPr>
              <w:t>废气</w:t>
            </w:r>
          </w:p>
        </w:tc>
        <w:tc>
          <w:tcPr>
            <w:tcW w:w="2853" w:type="dxa"/>
            <w:vAlign w:val="center"/>
          </w:tcPr>
          <w:p>
            <w:pPr>
              <w:pStyle w:val="5"/>
              <w:spacing w:before="0" w:after="0" w:line="240" w:lineRule="auto"/>
              <w:jc w:val="center"/>
              <w:rPr>
                <w:b w:val="0"/>
                <w:color w:val="auto"/>
                <w:spacing w:val="4"/>
                <w:sz w:val="21"/>
                <w:szCs w:val="21"/>
                <w:highlight w:val="none"/>
              </w:rPr>
            </w:pPr>
            <w:bookmarkStart w:id="356" w:name="_Toc76502998"/>
            <w:bookmarkStart w:id="357" w:name="_Toc76508228"/>
            <w:bookmarkStart w:id="358" w:name="_Toc76502097"/>
            <w:bookmarkStart w:id="359" w:name="_Toc73047635"/>
            <w:bookmarkStart w:id="360" w:name="_Toc55832616"/>
            <w:bookmarkStart w:id="361" w:name="_Toc75908636"/>
            <w:bookmarkStart w:id="362" w:name="_Toc30083"/>
            <w:r>
              <w:rPr>
                <w:b w:val="0"/>
                <w:color w:val="auto"/>
                <w:spacing w:val="4"/>
                <w:sz w:val="21"/>
                <w:szCs w:val="21"/>
                <w:highlight w:val="none"/>
              </w:rPr>
              <w:t>施工机械及车辆</w:t>
            </w:r>
            <w:bookmarkEnd w:id="356"/>
            <w:bookmarkEnd w:id="357"/>
            <w:bookmarkEnd w:id="358"/>
            <w:bookmarkEnd w:id="359"/>
            <w:bookmarkEnd w:id="360"/>
            <w:bookmarkEnd w:id="361"/>
            <w:bookmarkEnd w:id="362"/>
          </w:p>
        </w:tc>
        <w:tc>
          <w:tcPr>
            <w:tcW w:w="2868" w:type="dxa"/>
            <w:vAlign w:val="center"/>
          </w:tcPr>
          <w:p>
            <w:pPr>
              <w:spacing w:line="240" w:lineRule="auto"/>
              <w:jc w:val="center"/>
              <w:rPr>
                <w:color w:val="auto"/>
                <w:spacing w:val="4"/>
                <w:szCs w:val="21"/>
                <w:highlight w:val="none"/>
              </w:rPr>
            </w:pPr>
            <w:r>
              <w:rPr>
                <w:color w:val="auto"/>
                <w:spacing w:val="4"/>
                <w:szCs w:val="21"/>
                <w:highlight w:val="none"/>
              </w:rPr>
              <w:t>施工及运输车辆尾气</w:t>
            </w:r>
          </w:p>
        </w:tc>
        <w:tc>
          <w:tcPr>
            <w:tcW w:w="1776" w:type="dxa"/>
            <w:vAlign w:val="center"/>
          </w:tcPr>
          <w:p>
            <w:pPr>
              <w:spacing w:line="240" w:lineRule="auto"/>
              <w:jc w:val="center"/>
              <w:rPr>
                <w:color w:val="auto"/>
                <w:spacing w:val="4"/>
                <w:szCs w:val="21"/>
                <w:highlight w:val="none"/>
              </w:rPr>
            </w:pPr>
            <w:r>
              <w:rPr>
                <w:color w:val="auto"/>
                <w:kern w:val="0"/>
                <w:szCs w:val="21"/>
                <w:highlight w:val="none"/>
                <w:lang w:bidi="en-US"/>
              </w:rPr>
              <w:t>CO、NO</w:t>
            </w:r>
            <w:r>
              <w:rPr>
                <w:color w:val="auto"/>
                <w:kern w:val="0"/>
                <w:szCs w:val="21"/>
                <w:highlight w:val="none"/>
                <w:vertAlign w:val="subscript"/>
                <w:lang w:bidi="en-US"/>
              </w:rPr>
              <w:t>X</w:t>
            </w:r>
            <w:r>
              <w:rPr>
                <w:color w:val="auto"/>
                <w:kern w:val="0"/>
                <w:szCs w:val="21"/>
                <w:highlight w:val="none"/>
                <w:lang w:bidi="en-US"/>
              </w:rPr>
              <w: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Merge w:val="continue"/>
            <w:vAlign w:val="center"/>
          </w:tcPr>
          <w:p>
            <w:pPr>
              <w:spacing w:line="240" w:lineRule="auto"/>
              <w:jc w:val="center"/>
              <w:rPr>
                <w:color w:val="auto"/>
                <w:spacing w:val="4"/>
                <w:szCs w:val="21"/>
                <w:highlight w:val="none"/>
              </w:rPr>
            </w:pPr>
          </w:p>
        </w:tc>
        <w:tc>
          <w:tcPr>
            <w:tcW w:w="2853" w:type="dxa"/>
            <w:vAlign w:val="center"/>
          </w:tcPr>
          <w:p>
            <w:pPr>
              <w:pStyle w:val="5"/>
              <w:spacing w:before="0" w:after="0" w:line="240" w:lineRule="auto"/>
              <w:jc w:val="center"/>
              <w:rPr>
                <w:b w:val="0"/>
                <w:color w:val="auto"/>
                <w:spacing w:val="4"/>
                <w:sz w:val="21"/>
                <w:szCs w:val="21"/>
                <w:highlight w:val="none"/>
              </w:rPr>
            </w:pPr>
            <w:bookmarkStart w:id="363" w:name="_Toc76502999"/>
            <w:bookmarkStart w:id="364" w:name="_Toc55832617"/>
            <w:bookmarkStart w:id="365" w:name="_Toc28268"/>
            <w:bookmarkStart w:id="366" w:name="_Toc75908637"/>
            <w:bookmarkStart w:id="367" w:name="_Toc73047636"/>
            <w:bookmarkStart w:id="368" w:name="_Toc76502098"/>
            <w:bookmarkStart w:id="369" w:name="_Toc76508229"/>
            <w:r>
              <w:rPr>
                <w:b w:val="0"/>
                <w:color w:val="auto"/>
                <w:spacing w:val="4"/>
                <w:sz w:val="21"/>
                <w:szCs w:val="21"/>
                <w:highlight w:val="none"/>
              </w:rPr>
              <w:t>施工扬尘</w:t>
            </w:r>
            <w:bookmarkEnd w:id="363"/>
            <w:bookmarkEnd w:id="364"/>
            <w:bookmarkEnd w:id="365"/>
            <w:bookmarkEnd w:id="366"/>
            <w:bookmarkEnd w:id="367"/>
            <w:bookmarkEnd w:id="368"/>
            <w:bookmarkEnd w:id="369"/>
          </w:p>
        </w:tc>
        <w:tc>
          <w:tcPr>
            <w:tcW w:w="2868" w:type="dxa"/>
            <w:vAlign w:val="center"/>
          </w:tcPr>
          <w:p>
            <w:pPr>
              <w:spacing w:line="240" w:lineRule="auto"/>
              <w:jc w:val="center"/>
              <w:rPr>
                <w:color w:val="auto"/>
                <w:spacing w:val="4"/>
                <w:szCs w:val="21"/>
                <w:highlight w:val="none"/>
              </w:rPr>
            </w:pPr>
            <w:r>
              <w:rPr>
                <w:color w:val="auto"/>
                <w:kern w:val="0"/>
                <w:szCs w:val="21"/>
                <w:highlight w:val="none"/>
                <w:lang w:bidi="en-US"/>
              </w:rPr>
              <w:t>无组织扬尘</w:t>
            </w:r>
          </w:p>
        </w:tc>
        <w:tc>
          <w:tcPr>
            <w:tcW w:w="1776" w:type="dxa"/>
            <w:vAlign w:val="center"/>
          </w:tcPr>
          <w:p>
            <w:pPr>
              <w:spacing w:line="240" w:lineRule="auto"/>
              <w:jc w:val="center"/>
              <w:rPr>
                <w:color w:val="auto"/>
                <w:spacing w:val="4"/>
                <w:szCs w:val="21"/>
                <w:highlight w:val="none"/>
              </w:rPr>
            </w:pPr>
            <w:r>
              <w:rPr>
                <w:color w:val="auto"/>
                <w:spacing w:val="4"/>
                <w:szCs w:val="21"/>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pPr>
              <w:spacing w:line="240" w:lineRule="auto"/>
              <w:jc w:val="center"/>
              <w:rPr>
                <w:color w:val="auto"/>
                <w:spacing w:val="4"/>
                <w:szCs w:val="21"/>
                <w:highlight w:val="none"/>
              </w:rPr>
            </w:pPr>
            <w:r>
              <w:rPr>
                <w:color w:val="auto"/>
                <w:spacing w:val="4"/>
                <w:szCs w:val="21"/>
                <w:highlight w:val="none"/>
              </w:rPr>
              <w:t>废水</w:t>
            </w:r>
          </w:p>
        </w:tc>
        <w:tc>
          <w:tcPr>
            <w:tcW w:w="2853" w:type="dxa"/>
            <w:vAlign w:val="center"/>
          </w:tcPr>
          <w:p>
            <w:pPr>
              <w:pStyle w:val="5"/>
              <w:spacing w:before="0" w:after="0" w:line="240" w:lineRule="auto"/>
              <w:jc w:val="center"/>
              <w:rPr>
                <w:b w:val="0"/>
                <w:color w:val="auto"/>
                <w:spacing w:val="4"/>
                <w:sz w:val="21"/>
                <w:szCs w:val="21"/>
                <w:highlight w:val="none"/>
              </w:rPr>
            </w:pPr>
            <w:bookmarkStart w:id="370" w:name="_Toc9313"/>
            <w:r>
              <w:rPr>
                <w:b w:val="0"/>
                <w:color w:val="auto"/>
                <w:spacing w:val="4"/>
                <w:sz w:val="21"/>
                <w:szCs w:val="21"/>
                <w:highlight w:val="none"/>
              </w:rPr>
              <w:t>生活污水</w:t>
            </w:r>
            <w:bookmarkEnd w:id="370"/>
          </w:p>
        </w:tc>
        <w:tc>
          <w:tcPr>
            <w:tcW w:w="2868" w:type="dxa"/>
            <w:vAlign w:val="center"/>
          </w:tcPr>
          <w:p>
            <w:pPr>
              <w:spacing w:line="240" w:lineRule="auto"/>
              <w:jc w:val="center"/>
              <w:rPr>
                <w:color w:val="auto"/>
                <w:spacing w:val="4"/>
                <w:szCs w:val="21"/>
                <w:highlight w:val="none"/>
              </w:rPr>
            </w:pPr>
            <w:r>
              <w:rPr>
                <w:color w:val="auto"/>
                <w:spacing w:val="4"/>
                <w:szCs w:val="21"/>
                <w:highlight w:val="none"/>
              </w:rPr>
              <w:t>施工人员生活污水</w:t>
            </w:r>
          </w:p>
        </w:tc>
        <w:tc>
          <w:tcPr>
            <w:tcW w:w="1776" w:type="dxa"/>
            <w:vAlign w:val="center"/>
          </w:tcPr>
          <w:p>
            <w:pPr>
              <w:spacing w:line="240" w:lineRule="auto"/>
              <w:jc w:val="center"/>
              <w:rPr>
                <w:bCs/>
                <w:color w:val="auto"/>
                <w:szCs w:val="21"/>
                <w:highlight w:val="none"/>
              </w:rPr>
            </w:pPr>
            <w:r>
              <w:rPr>
                <w:bCs/>
                <w:color w:val="auto"/>
                <w:szCs w:val="21"/>
                <w:highlight w:val="none"/>
              </w:rPr>
              <w:t>COD、BOD</w:t>
            </w:r>
            <w:r>
              <w:rPr>
                <w:bCs/>
                <w:color w:val="auto"/>
                <w:szCs w:val="21"/>
                <w:highlight w:val="none"/>
                <w:vertAlign w:val="subscript"/>
              </w:rPr>
              <w:t>5</w:t>
            </w:r>
            <w:r>
              <w:rPr>
                <w:bCs/>
                <w:color w:val="auto"/>
                <w:szCs w:val="21"/>
                <w:highlight w:val="none"/>
              </w:rPr>
              <w:t>、</w:t>
            </w:r>
          </w:p>
          <w:p>
            <w:pPr>
              <w:spacing w:line="240" w:lineRule="auto"/>
              <w:jc w:val="center"/>
              <w:rPr>
                <w:color w:val="auto"/>
                <w:spacing w:val="4"/>
                <w:szCs w:val="21"/>
                <w:highlight w:val="none"/>
              </w:rPr>
            </w:pPr>
            <w:r>
              <w:rPr>
                <w:bCs/>
                <w:color w:val="auto"/>
                <w:szCs w:val="21"/>
                <w:highlight w:val="none"/>
              </w:rPr>
              <w:t>NH</w:t>
            </w:r>
            <w:r>
              <w:rPr>
                <w:bCs/>
                <w:color w:val="auto"/>
                <w:szCs w:val="21"/>
                <w:highlight w:val="none"/>
                <w:vertAlign w:val="subscript"/>
              </w:rPr>
              <w:t>3</w:t>
            </w:r>
            <w:r>
              <w:rPr>
                <w:bCs/>
                <w:color w:val="auto"/>
                <w:szCs w:val="21"/>
                <w:highlight w:val="non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pPr>
              <w:spacing w:line="240" w:lineRule="auto"/>
              <w:jc w:val="center"/>
              <w:rPr>
                <w:color w:val="auto"/>
                <w:spacing w:val="4"/>
                <w:szCs w:val="21"/>
                <w:highlight w:val="none"/>
              </w:rPr>
            </w:pPr>
            <w:r>
              <w:rPr>
                <w:color w:val="auto"/>
                <w:spacing w:val="4"/>
                <w:szCs w:val="21"/>
                <w:highlight w:val="none"/>
              </w:rPr>
              <w:t>噪声</w:t>
            </w:r>
          </w:p>
        </w:tc>
        <w:tc>
          <w:tcPr>
            <w:tcW w:w="2853" w:type="dxa"/>
            <w:vAlign w:val="center"/>
          </w:tcPr>
          <w:p>
            <w:pPr>
              <w:spacing w:line="240" w:lineRule="auto"/>
              <w:jc w:val="center"/>
              <w:rPr>
                <w:color w:val="auto"/>
                <w:spacing w:val="4"/>
                <w:szCs w:val="21"/>
                <w:highlight w:val="none"/>
              </w:rPr>
            </w:pPr>
            <w:r>
              <w:rPr>
                <w:color w:val="auto"/>
                <w:spacing w:val="4"/>
                <w:szCs w:val="21"/>
                <w:highlight w:val="none"/>
              </w:rPr>
              <w:t>物料运输、施工机械设备</w:t>
            </w:r>
          </w:p>
        </w:tc>
        <w:tc>
          <w:tcPr>
            <w:tcW w:w="2868" w:type="dxa"/>
            <w:vAlign w:val="center"/>
          </w:tcPr>
          <w:p>
            <w:pPr>
              <w:spacing w:line="240" w:lineRule="auto"/>
              <w:jc w:val="center"/>
              <w:rPr>
                <w:color w:val="auto"/>
                <w:spacing w:val="4"/>
                <w:szCs w:val="21"/>
                <w:highlight w:val="none"/>
              </w:rPr>
            </w:pPr>
            <w:r>
              <w:rPr>
                <w:color w:val="auto"/>
                <w:spacing w:val="4"/>
                <w:szCs w:val="21"/>
                <w:highlight w:val="none"/>
              </w:rPr>
              <w:t>施工机械和运输车辆噪声</w:t>
            </w:r>
          </w:p>
        </w:tc>
        <w:tc>
          <w:tcPr>
            <w:tcW w:w="1776" w:type="dxa"/>
            <w:vAlign w:val="center"/>
          </w:tcPr>
          <w:p>
            <w:pPr>
              <w:spacing w:line="240" w:lineRule="auto"/>
              <w:jc w:val="center"/>
              <w:rPr>
                <w:color w:val="auto"/>
                <w:highlight w:val="none"/>
              </w:rPr>
            </w:pPr>
            <w:r>
              <w:rPr>
                <w:snapToGrid w:val="0"/>
                <w:color w:val="auto"/>
                <w:szCs w:val="21"/>
                <w:highlight w:val="none"/>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Merge w:val="restart"/>
            <w:vAlign w:val="center"/>
          </w:tcPr>
          <w:p>
            <w:pPr>
              <w:spacing w:line="240"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固体废物</w:t>
            </w:r>
          </w:p>
        </w:tc>
        <w:tc>
          <w:tcPr>
            <w:tcW w:w="2853" w:type="dxa"/>
            <w:vAlign w:val="center"/>
          </w:tcPr>
          <w:p>
            <w:pPr>
              <w:spacing w:line="240" w:lineRule="auto"/>
              <w:ind w:firstLine="109" w:firstLineChars="50"/>
              <w:jc w:val="center"/>
              <w:rPr>
                <w:color w:val="auto"/>
                <w:spacing w:val="4"/>
                <w:szCs w:val="21"/>
                <w:highlight w:val="none"/>
              </w:rPr>
            </w:pPr>
            <w:r>
              <w:rPr>
                <w:color w:val="auto"/>
                <w:spacing w:val="4"/>
                <w:szCs w:val="21"/>
                <w:highlight w:val="none"/>
              </w:rPr>
              <w:t>建筑垃圾</w:t>
            </w:r>
          </w:p>
        </w:tc>
        <w:tc>
          <w:tcPr>
            <w:tcW w:w="2868" w:type="dxa"/>
            <w:vAlign w:val="center"/>
          </w:tcPr>
          <w:p>
            <w:pPr>
              <w:spacing w:line="240" w:lineRule="auto"/>
              <w:jc w:val="center"/>
              <w:rPr>
                <w:color w:val="auto"/>
                <w:spacing w:val="4"/>
                <w:szCs w:val="21"/>
                <w:highlight w:val="none"/>
              </w:rPr>
            </w:pPr>
            <w:r>
              <w:rPr>
                <w:color w:val="auto"/>
                <w:spacing w:val="4"/>
                <w:szCs w:val="21"/>
                <w:highlight w:val="none"/>
              </w:rPr>
              <w:t>建设过程中产生的废钢材、设备包装物等固体废弃物</w:t>
            </w:r>
          </w:p>
        </w:tc>
        <w:tc>
          <w:tcPr>
            <w:tcW w:w="1776" w:type="dxa"/>
            <w:vAlign w:val="center"/>
          </w:tcPr>
          <w:p>
            <w:pPr>
              <w:spacing w:line="240" w:lineRule="auto"/>
              <w:jc w:val="center"/>
              <w:rPr>
                <w:color w:val="auto"/>
                <w:spacing w:val="4"/>
                <w:szCs w:val="21"/>
                <w:highlight w:val="none"/>
              </w:rPr>
            </w:pPr>
            <w:r>
              <w:rPr>
                <w:color w:val="auto"/>
                <w:spacing w:val="4"/>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52" w:type="dxa"/>
            <w:vMerge w:val="continue"/>
            <w:vAlign w:val="center"/>
          </w:tcPr>
          <w:p>
            <w:pPr>
              <w:spacing w:line="240" w:lineRule="auto"/>
              <w:jc w:val="center"/>
              <w:rPr>
                <w:color w:val="auto"/>
                <w:spacing w:val="4"/>
                <w:szCs w:val="21"/>
                <w:highlight w:val="none"/>
              </w:rPr>
            </w:pPr>
          </w:p>
        </w:tc>
        <w:tc>
          <w:tcPr>
            <w:tcW w:w="2853" w:type="dxa"/>
            <w:vAlign w:val="center"/>
          </w:tcPr>
          <w:p>
            <w:pPr>
              <w:spacing w:line="240" w:lineRule="auto"/>
              <w:ind w:firstLine="218" w:firstLineChars="100"/>
              <w:jc w:val="center"/>
              <w:rPr>
                <w:color w:val="auto"/>
                <w:spacing w:val="4"/>
                <w:szCs w:val="21"/>
                <w:highlight w:val="none"/>
              </w:rPr>
            </w:pPr>
            <w:r>
              <w:rPr>
                <w:color w:val="auto"/>
                <w:spacing w:val="4"/>
                <w:szCs w:val="21"/>
                <w:highlight w:val="none"/>
              </w:rPr>
              <w:t>生活垃圾</w:t>
            </w:r>
          </w:p>
        </w:tc>
        <w:tc>
          <w:tcPr>
            <w:tcW w:w="2868" w:type="dxa"/>
            <w:vAlign w:val="center"/>
          </w:tcPr>
          <w:p>
            <w:pPr>
              <w:spacing w:line="240" w:lineRule="auto"/>
              <w:jc w:val="center"/>
              <w:rPr>
                <w:color w:val="auto"/>
                <w:spacing w:val="4"/>
                <w:szCs w:val="21"/>
                <w:highlight w:val="none"/>
              </w:rPr>
            </w:pPr>
            <w:r>
              <w:rPr>
                <w:color w:val="auto"/>
                <w:spacing w:val="4"/>
                <w:szCs w:val="21"/>
                <w:highlight w:val="none"/>
              </w:rPr>
              <w:t>施工人员生活垃圾</w:t>
            </w:r>
          </w:p>
        </w:tc>
        <w:tc>
          <w:tcPr>
            <w:tcW w:w="1776" w:type="dxa"/>
            <w:vAlign w:val="center"/>
          </w:tcPr>
          <w:p>
            <w:pPr>
              <w:spacing w:line="240" w:lineRule="auto"/>
              <w:jc w:val="center"/>
              <w:rPr>
                <w:color w:val="auto"/>
                <w:spacing w:val="4"/>
                <w:szCs w:val="21"/>
                <w:highlight w:val="none"/>
              </w:rPr>
            </w:pPr>
            <w:r>
              <w:rPr>
                <w:color w:val="auto"/>
                <w:spacing w:val="4"/>
                <w:szCs w:val="21"/>
                <w:highlight w:val="none"/>
              </w:rPr>
              <w:t>生活垃圾</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b/>
          <w:bCs/>
          <w:color w:val="auto"/>
          <w:sz w:val="24"/>
          <w:szCs w:val="20"/>
          <w:highlight w:val="none"/>
          <w:lang w:val="en-US" w:eastAsia="zh-CN"/>
        </w:rPr>
      </w:pPr>
      <w:bookmarkStart w:id="371" w:name="_Toc75908640"/>
      <w:r>
        <w:rPr>
          <w:b/>
          <w:bCs/>
          <w:color w:val="auto"/>
          <w:sz w:val="24"/>
          <w:szCs w:val="20"/>
          <w:highlight w:val="none"/>
        </w:rPr>
        <w:t>施工期</w:t>
      </w:r>
      <w:r>
        <w:rPr>
          <w:rFonts w:hint="eastAsia"/>
          <w:b/>
          <w:bCs/>
          <w:color w:val="auto"/>
          <w:sz w:val="24"/>
          <w:szCs w:val="20"/>
          <w:highlight w:val="none"/>
          <w:lang w:val="en-US" w:eastAsia="zh-CN"/>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0"/>
          <w:highlight w:val="none"/>
        </w:rPr>
      </w:pPr>
      <w:r>
        <w:rPr>
          <w:rFonts w:hint="eastAsia" w:ascii="Times New Roman" w:hAnsi="Times New Roman" w:cs="Times New Roman"/>
          <w:color w:val="auto"/>
          <w:sz w:val="24"/>
          <w:szCs w:val="20"/>
          <w:highlight w:val="none"/>
          <w:lang w:val="en-US" w:eastAsia="zh-CN"/>
        </w:rPr>
        <w:t>1、主体工程及辅助工程施工：项目</w:t>
      </w:r>
      <w:r>
        <w:rPr>
          <w:rFonts w:hint="default" w:ascii="Times New Roman" w:hAnsi="Times New Roman" w:cs="Times New Roman"/>
          <w:color w:val="auto"/>
          <w:sz w:val="24"/>
          <w:szCs w:val="20"/>
          <w:highlight w:val="none"/>
        </w:rPr>
        <w:t>主体工程主要为生产厂房的</w:t>
      </w:r>
      <w:r>
        <w:rPr>
          <w:rFonts w:hint="eastAsia" w:ascii="Times New Roman" w:hAnsi="Times New Roman" w:cs="Times New Roman"/>
          <w:color w:val="auto"/>
          <w:sz w:val="24"/>
          <w:szCs w:val="20"/>
          <w:highlight w:val="none"/>
          <w:lang w:val="en-US" w:eastAsia="zh-CN"/>
        </w:rPr>
        <w:t>装修隔断</w:t>
      </w:r>
      <w:r>
        <w:rPr>
          <w:rFonts w:hint="default" w:ascii="Times New Roman" w:hAnsi="Times New Roman" w:cs="Times New Roman"/>
          <w:color w:val="auto"/>
          <w:sz w:val="24"/>
          <w:szCs w:val="20"/>
          <w:highlight w:val="none"/>
        </w:rPr>
        <w:t>，项目生产房主要为钢架结构，施工工艺较为简单，该过程施工中主要产生施工扬尘、</w:t>
      </w:r>
      <w:r>
        <w:rPr>
          <w:rFonts w:hint="eastAsia" w:ascii="Times New Roman" w:hAnsi="Times New Roman" w:cs="Times New Roman"/>
          <w:color w:val="auto"/>
          <w:sz w:val="24"/>
          <w:szCs w:val="20"/>
          <w:highlight w:val="none"/>
          <w:lang w:val="en-US" w:eastAsia="zh-CN"/>
        </w:rPr>
        <w:t>机械及运输车辆废气</w:t>
      </w:r>
      <w:r>
        <w:rPr>
          <w:rFonts w:hint="default" w:ascii="Times New Roman" w:hAnsi="Times New Roman" w:cs="Times New Roman"/>
          <w:color w:val="auto"/>
          <w:sz w:val="24"/>
          <w:szCs w:val="20"/>
          <w:highlight w:val="none"/>
        </w:rPr>
        <w:t>、施工噪声、</w:t>
      </w:r>
      <w:r>
        <w:rPr>
          <w:rFonts w:hint="eastAsia" w:ascii="Times New Roman" w:hAnsi="Times New Roman" w:cs="Times New Roman"/>
          <w:color w:val="auto"/>
          <w:sz w:val="24"/>
          <w:szCs w:val="20"/>
          <w:highlight w:val="none"/>
          <w:lang w:val="en-US" w:eastAsia="zh-CN"/>
        </w:rPr>
        <w:t>施工人员</w:t>
      </w:r>
      <w:r>
        <w:rPr>
          <w:rFonts w:hint="default" w:ascii="Times New Roman" w:hAnsi="Times New Roman" w:cs="Times New Roman"/>
          <w:color w:val="auto"/>
          <w:sz w:val="24"/>
          <w:szCs w:val="20"/>
          <w:highlight w:val="none"/>
        </w:rPr>
        <w:t>废水和建筑垃圾</w:t>
      </w:r>
      <w:r>
        <w:rPr>
          <w:rFonts w:hint="eastAsia" w:ascii="Times New Roman" w:hAnsi="Times New Roman" w:cs="Times New Roman"/>
          <w:color w:val="auto"/>
          <w:sz w:val="24"/>
          <w:szCs w:val="20"/>
          <w:highlight w:val="none"/>
          <w:lang w:eastAsia="zh-CN"/>
        </w:rPr>
        <w:t>、</w:t>
      </w:r>
      <w:r>
        <w:rPr>
          <w:rFonts w:hint="eastAsia" w:ascii="Times New Roman" w:hAnsi="Times New Roman" w:cs="Times New Roman"/>
          <w:color w:val="auto"/>
          <w:sz w:val="24"/>
          <w:szCs w:val="20"/>
          <w:highlight w:val="none"/>
          <w:lang w:val="en-US" w:eastAsia="zh-CN"/>
        </w:rPr>
        <w:t>生活垃圾</w:t>
      </w:r>
      <w:r>
        <w:rPr>
          <w:rFonts w:hint="default" w:ascii="Times New Roman" w:hAnsi="Times New Roman" w:cs="Times New Roman"/>
          <w:color w:val="auto"/>
          <w:sz w:val="24"/>
          <w:szCs w:val="20"/>
          <w:highlight w:val="none"/>
        </w:rPr>
        <w:t>等污染物。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0"/>
          <w:highlight w:val="none"/>
          <w:lang w:val="en-US" w:eastAsia="zh-CN"/>
        </w:rPr>
      </w:pPr>
      <w:r>
        <w:rPr>
          <w:rFonts w:hint="eastAsia" w:ascii="Times New Roman" w:hAnsi="Times New Roman" w:cs="Times New Roman"/>
          <w:color w:val="auto"/>
          <w:sz w:val="24"/>
          <w:szCs w:val="20"/>
          <w:highlight w:val="none"/>
          <w:lang w:val="en-US" w:eastAsia="zh-CN"/>
        </w:rPr>
        <w:t>2、环保工程建设：</w:t>
      </w:r>
      <w:r>
        <w:rPr>
          <w:rFonts w:hint="default" w:ascii="Times New Roman" w:hAnsi="Times New Roman" w:cs="Times New Roman"/>
          <w:color w:val="auto"/>
          <w:sz w:val="24"/>
          <w:szCs w:val="20"/>
          <w:highlight w:val="none"/>
          <w:lang w:val="en-US" w:eastAsia="zh-CN"/>
        </w:rPr>
        <w:t>项目环保工程主要为废气处理设施、冷却</w:t>
      </w:r>
      <w:r>
        <w:rPr>
          <w:rFonts w:hint="eastAsia" w:ascii="Times New Roman" w:hAnsi="Times New Roman" w:cs="Times New Roman"/>
          <w:color w:val="auto"/>
          <w:sz w:val="24"/>
          <w:szCs w:val="20"/>
          <w:highlight w:val="none"/>
          <w:lang w:val="en-US" w:eastAsia="zh-CN"/>
        </w:rPr>
        <w:t>水池</w:t>
      </w:r>
      <w:r>
        <w:rPr>
          <w:rFonts w:hint="default" w:ascii="Times New Roman" w:hAnsi="Times New Roman" w:cs="Times New Roman"/>
          <w:color w:val="auto"/>
          <w:sz w:val="24"/>
          <w:szCs w:val="20"/>
          <w:highlight w:val="none"/>
          <w:lang w:val="en-US" w:eastAsia="zh-CN"/>
        </w:rPr>
        <w:t>、一般固废暂存间、危废暂存间等的</w:t>
      </w:r>
      <w:r>
        <w:rPr>
          <w:rFonts w:hint="eastAsia" w:ascii="Times New Roman" w:hAnsi="Times New Roman" w:cs="Times New Roman"/>
          <w:color w:val="auto"/>
          <w:sz w:val="24"/>
          <w:szCs w:val="20"/>
          <w:highlight w:val="none"/>
          <w:lang w:val="en-US" w:eastAsia="zh-CN"/>
        </w:rPr>
        <w:t>建设</w:t>
      </w:r>
      <w:r>
        <w:rPr>
          <w:rFonts w:hint="default" w:ascii="Times New Roman" w:hAnsi="Times New Roman" w:cs="Times New Roman"/>
          <w:color w:val="auto"/>
          <w:sz w:val="24"/>
          <w:szCs w:val="20"/>
          <w:highlight w:val="none"/>
          <w:lang w:val="en-US" w:eastAsia="zh-CN"/>
        </w:rPr>
        <w:t>，</w:t>
      </w:r>
      <w:r>
        <w:rPr>
          <w:rFonts w:hint="eastAsia" w:ascii="Times New Roman" w:hAnsi="Times New Roman" w:cs="Times New Roman"/>
          <w:color w:val="auto"/>
          <w:sz w:val="24"/>
          <w:szCs w:val="20"/>
          <w:highlight w:val="none"/>
          <w:lang w:val="en-US" w:eastAsia="zh-CN"/>
        </w:rPr>
        <w:t>施工期间以人力施工为主，工程安排在主体工程基本完成后实施。</w:t>
      </w:r>
      <w:r>
        <w:rPr>
          <w:rFonts w:hint="default" w:ascii="Times New Roman" w:hAnsi="Times New Roman" w:cs="Times New Roman"/>
          <w:color w:val="auto"/>
          <w:sz w:val="24"/>
          <w:szCs w:val="20"/>
          <w:highlight w:val="none"/>
          <w:lang w:val="en-US" w:eastAsia="zh-CN"/>
        </w:rPr>
        <w:t>环保工程施工过程中会产生</w:t>
      </w:r>
      <w:r>
        <w:rPr>
          <w:rFonts w:hint="eastAsia" w:ascii="Times New Roman" w:hAnsi="Times New Roman" w:cs="Times New Roman"/>
          <w:color w:val="auto"/>
          <w:sz w:val="24"/>
          <w:szCs w:val="20"/>
          <w:highlight w:val="none"/>
          <w:lang w:val="en-US" w:eastAsia="zh-CN"/>
        </w:rPr>
        <w:t>扬尘</w:t>
      </w:r>
      <w:r>
        <w:rPr>
          <w:rFonts w:hint="default" w:ascii="Times New Roman" w:hAnsi="Times New Roman" w:cs="Times New Roman"/>
          <w:color w:val="auto"/>
          <w:sz w:val="24"/>
          <w:szCs w:val="20"/>
          <w:highlight w:val="none"/>
          <w:lang w:val="en-US" w:eastAsia="zh-CN"/>
        </w:rPr>
        <w:t>、</w:t>
      </w:r>
      <w:r>
        <w:rPr>
          <w:rFonts w:hint="eastAsia" w:ascii="Times New Roman" w:hAnsi="Times New Roman" w:cs="Times New Roman"/>
          <w:color w:val="auto"/>
          <w:sz w:val="24"/>
          <w:szCs w:val="20"/>
          <w:highlight w:val="none"/>
          <w:lang w:val="en-US" w:eastAsia="zh-CN"/>
        </w:rPr>
        <w:t>机械及运输车辆废气、</w:t>
      </w:r>
      <w:r>
        <w:rPr>
          <w:rFonts w:hint="default" w:ascii="Times New Roman" w:hAnsi="Times New Roman" w:cs="Times New Roman"/>
          <w:color w:val="auto"/>
          <w:sz w:val="24"/>
          <w:szCs w:val="20"/>
          <w:highlight w:val="none"/>
          <w:lang w:val="en-US" w:eastAsia="zh-CN"/>
        </w:rPr>
        <w:t>噪声、</w:t>
      </w:r>
      <w:r>
        <w:rPr>
          <w:rFonts w:hint="eastAsia" w:ascii="Times New Roman" w:hAnsi="Times New Roman" w:cs="Times New Roman"/>
          <w:color w:val="auto"/>
          <w:sz w:val="24"/>
          <w:szCs w:val="20"/>
          <w:highlight w:val="none"/>
          <w:lang w:val="en-US" w:eastAsia="zh-CN"/>
        </w:rPr>
        <w:t>施工人员废水、建筑垃圾及生活垃圾</w:t>
      </w:r>
      <w:r>
        <w:rPr>
          <w:rFonts w:hint="default" w:ascii="Times New Roman" w:hAnsi="Times New Roman" w:cs="Times New Roman"/>
          <w:color w:val="auto"/>
          <w:sz w:val="24"/>
          <w:szCs w:val="20"/>
          <w:highlight w:val="none"/>
          <w:lang w:val="en-US" w:eastAsia="zh-CN"/>
        </w:rPr>
        <w:t>等污染物。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0"/>
          <w:highlight w:val="none"/>
          <w:lang w:val="en-US" w:eastAsia="zh-CN"/>
        </w:rPr>
      </w:pPr>
      <w:r>
        <w:rPr>
          <w:rFonts w:hint="eastAsia" w:ascii="Times New Roman" w:hAnsi="Times New Roman" w:cs="Times New Roman"/>
          <w:color w:val="auto"/>
          <w:sz w:val="24"/>
          <w:szCs w:val="20"/>
          <w:highlight w:val="none"/>
          <w:lang w:val="en-US" w:eastAsia="zh-CN"/>
        </w:rPr>
        <w:t>3、设备安装调试：</w:t>
      </w:r>
      <w:r>
        <w:rPr>
          <w:rFonts w:hint="default" w:ascii="Times New Roman" w:hAnsi="Times New Roman" w:cs="Times New Roman"/>
          <w:color w:val="auto"/>
          <w:sz w:val="24"/>
          <w:szCs w:val="20"/>
          <w:highlight w:val="none"/>
        </w:rPr>
        <w:t>设备安装在生产厂房施工完成后即可进行，主要是对购入设备进行摆放和固定。设备安装过程主要产生施工噪声、</w:t>
      </w:r>
      <w:r>
        <w:rPr>
          <w:rFonts w:hint="eastAsia" w:ascii="Times New Roman" w:hAnsi="Times New Roman" w:cs="Times New Roman"/>
          <w:color w:val="auto"/>
          <w:sz w:val="24"/>
          <w:szCs w:val="20"/>
          <w:highlight w:val="none"/>
          <w:lang w:val="en-US" w:eastAsia="zh-CN"/>
        </w:rPr>
        <w:t>机械和运输车辆废气、建筑垃圾及施工人员生活废水。</w:t>
      </w:r>
      <w:r>
        <w:rPr>
          <w:rFonts w:hint="default" w:ascii="Times New Roman" w:hAnsi="Times New Roman" w:cs="Times New Roman"/>
          <w:color w:val="auto"/>
          <w:sz w:val="24"/>
          <w:szCs w:val="20"/>
          <w:highlight w:val="none"/>
        </w:rPr>
        <w:t>设备调试主要是对搭建好的生产设备进行参数调试以及运行稳定性测试，调试过程中会产生设备噪声及包装废弃材料等污染物。</w:t>
      </w:r>
    </w:p>
    <w:p>
      <w:pPr>
        <w:keepNext/>
        <w:keepLines/>
        <w:spacing w:line="360" w:lineRule="auto"/>
        <w:outlineLvl w:val="1"/>
        <w:rPr>
          <w:b/>
          <w:color w:val="auto"/>
          <w:sz w:val="28"/>
          <w:szCs w:val="32"/>
          <w:highlight w:val="none"/>
        </w:rPr>
      </w:pPr>
      <w:bookmarkStart w:id="372" w:name="_Toc5285"/>
      <w:r>
        <w:rPr>
          <w:b/>
          <w:color w:val="auto"/>
          <w:sz w:val="28"/>
          <w:szCs w:val="32"/>
          <w:highlight w:val="none"/>
        </w:rPr>
        <w:t>3.2运营期环境影响因素分析</w:t>
      </w:r>
      <w:bookmarkEnd w:id="371"/>
      <w:bookmarkEnd w:id="372"/>
    </w:p>
    <w:p>
      <w:pPr>
        <w:spacing w:line="360" w:lineRule="auto"/>
        <w:ind w:firstLine="480" w:firstLineChars="200"/>
        <w:rPr>
          <w:color w:val="auto"/>
          <w:sz w:val="24"/>
          <w:szCs w:val="20"/>
          <w:highlight w:val="none"/>
        </w:rPr>
      </w:pPr>
      <w:r>
        <w:rPr>
          <w:color w:val="auto"/>
          <w:sz w:val="24"/>
          <w:szCs w:val="20"/>
          <w:highlight w:val="none"/>
        </w:rPr>
        <w:t>（1）工艺流程及产污环节分析</w:t>
      </w:r>
    </w:p>
    <w:p>
      <w:pPr>
        <w:pStyle w:val="18"/>
        <w:adjustRightInd w:val="0"/>
        <w:snapToGrid w:val="0"/>
        <w:spacing w:line="360" w:lineRule="auto"/>
        <w:ind w:firstLine="480" w:firstLineChars="200"/>
        <w:rPr>
          <w:rFonts w:hint="default"/>
          <w:color w:val="auto"/>
          <w:sz w:val="24"/>
          <w:szCs w:val="20"/>
          <w:highlight w:val="none"/>
          <w:lang w:val="en-US" w:eastAsia="zh-CN"/>
        </w:rPr>
      </w:pPr>
      <w:r>
        <w:rPr>
          <w:rFonts w:hint="eastAsia"/>
          <w:color w:val="auto"/>
          <w:sz w:val="24"/>
          <w:szCs w:val="20"/>
          <w:highlight w:val="none"/>
          <w:lang w:val="en-US" w:eastAsia="zh-CN"/>
        </w:rPr>
        <w:t>项目以聚丙烯树脂颗粒（新料、再生料，内含滑石粉）为原料生产塑料蔬菜框，蔬菜框生产主体设备注塑机为密闭一体化生产设备，是利用塑料成型模具将热塑性塑料或热固性塑料制成各种形状的塑料制品的成型设备，热熔、挤出、注塑、冷却成型均在注塑机内完成。此过程采用电加热使再生塑料颗粒呈熔融状态，然后借助螺杆的推力，将已塑化好的熔融状态（即粘流态）的塑料注射入模具闭合好的模腔内，注塑成型的产品经过冷却后脱模，进行修整及检验，合格的产品统一收集整理后堆存外售。</w:t>
      </w:r>
    </w:p>
    <w:p>
      <w:pPr>
        <w:spacing w:line="360" w:lineRule="auto"/>
        <w:ind w:firstLine="480" w:firstLineChars="200"/>
        <w:rPr>
          <w:color w:val="auto"/>
          <w:sz w:val="24"/>
          <w:szCs w:val="20"/>
          <w:highlight w:val="none"/>
        </w:rPr>
      </w:pPr>
      <w:r>
        <w:rPr>
          <w:color w:val="auto"/>
          <w:sz w:val="24"/>
          <w:szCs w:val="20"/>
          <w:highlight w:val="none"/>
        </w:rPr>
        <w:t>工艺流程及产污环节见图</w:t>
      </w:r>
      <w:r>
        <w:rPr>
          <w:rFonts w:hint="eastAsia"/>
          <w:color w:val="auto"/>
          <w:sz w:val="24"/>
          <w:szCs w:val="20"/>
          <w:highlight w:val="none"/>
        </w:rPr>
        <w:t>3</w:t>
      </w:r>
      <w:r>
        <w:rPr>
          <w:color w:val="auto"/>
          <w:sz w:val="24"/>
          <w:szCs w:val="20"/>
          <w:highlight w:val="none"/>
        </w:rPr>
        <w:t>.2-1。</w:t>
      </w:r>
    </w:p>
    <w:p>
      <w:pPr>
        <w:spacing w:line="360" w:lineRule="auto"/>
        <w:jc w:val="center"/>
        <w:rPr>
          <w:color w:val="auto"/>
          <w:highlight w:val="none"/>
        </w:rPr>
      </w:pPr>
      <w:r>
        <w:rPr>
          <w:color w:val="auto"/>
          <w:highlight w:val="none"/>
        </w:rPr>
        <w:object>
          <v:shape id="_x0000_i1026" o:spt="75" type="#_x0000_t75" style="height:374.4pt;width:406.1pt;" o:ole="t" filled="f" o:preferrelative="t" stroked="f" coordsize="21600,21600">
            <v:path/>
            <v:fill on="f" focussize="0,0"/>
            <v:stroke on="f"/>
            <v:imagedata r:id="rId17" o:title=""/>
            <o:lock v:ext="edit" aspectratio="t"/>
            <w10:wrap type="none"/>
            <w10:anchorlock/>
          </v:shape>
          <o:OLEObject Type="Embed" ProgID="Visio.Drawing.11" ShapeID="_x0000_i1026" DrawAspect="Content" ObjectID="_1468075726" r:id="rId16">
            <o:LockedField>false</o:LockedField>
          </o:OLEObject>
        </w:object>
      </w:r>
    </w:p>
    <w:p>
      <w:pPr>
        <w:spacing w:line="360" w:lineRule="auto"/>
        <w:jc w:val="center"/>
        <w:rPr>
          <w:b/>
          <w:color w:val="auto"/>
          <w:sz w:val="24"/>
          <w:szCs w:val="20"/>
          <w:highlight w:val="none"/>
        </w:rPr>
      </w:pPr>
      <w:r>
        <w:rPr>
          <w:b/>
          <w:color w:val="auto"/>
          <w:sz w:val="24"/>
          <w:szCs w:val="20"/>
          <w:highlight w:val="none"/>
        </w:rPr>
        <w:t>图3.2-1  运营期工艺流程及产污环节图</w:t>
      </w:r>
    </w:p>
    <w:p>
      <w:pPr>
        <w:spacing w:line="360" w:lineRule="auto"/>
        <w:ind w:firstLine="482" w:firstLineChars="200"/>
        <w:rPr>
          <w:b/>
          <w:color w:val="auto"/>
          <w:sz w:val="24"/>
          <w:szCs w:val="20"/>
          <w:highlight w:val="none"/>
        </w:rPr>
      </w:pPr>
      <w:r>
        <w:rPr>
          <w:b/>
          <w:color w:val="auto"/>
          <w:sz w:val="24"/>
          <w:szCs w:val="20"/>
          <w:highlight w:val="none"/>
        </w:rPr>
        <w:t>工艺流程说明：</w:t>
      </w:r>
    </w:p>
    <w:p>
      <w:pPr>
        <w:pStyle w:val="226"/>
        <w:spacing w:line="360" w:lineRule="auto"/>
        <w:ind w:firstLine="480"/>
        <w:rPr>
          <w:rFonts w:hint="eastAsia" w:ascii="Times New Roman" w:hAnsi="Times New Roman" w:eastAsia="宋体"/>
          <w:color w:val="auto"/>
          <w:sz w:val="24"/>
          <w:szCs w:val="20"/>
          <w:highlight w:val="none"/>
          <w:lang w:val="en-US" w:eastAsia="zh-CN"/>
        </w:rPr>
      </w:pPr>
      <w:r>
        <w:rPr>
          <w:rFonts w:ascii="Times New Roman" w:hAnsi="Times New Roman"/>
          <w:color w:val="auto"/>
          <w:sz w:val="24"/>
          <w:szCs w:val="20"/>
          <w:highlight w:val="none"/>
        </w:rPr>
        <w:t>①</w:t>
      </w:r>
      <w:r>
        <w:rPr>
          <w:rFonts w:hint="eastAsia" w:ascii="Times New Roman" w:hAnsi="Times New Roman"/>
          <w:color w:val="auto"/>
          <w:sz w:val="24"/>
          <w:szCs w:val="20"/>
          <w:highlight w:val="none"/>
          <w:lang w:val="en-US" w:eastAsia="zh-CN"/>
        </w:rPr>
        <w:t>拌料</w:t>
      </w:r>
    </w:p>
    <w:p>
      <w:pPr>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项目外购来的</w:t>
      </w:r>
      <w:r>
        <w:rPr>
          <w:rFonts w:hint="eastAsia" w:ascii="Times New Roman" w:hAnsi="Times New Roman" w:cs="Times New Roman"/>
          <w:color w:val="auto"/>
          <w:sz w:val="24"/>
          <w:szCs w:val="20"/>
          <w:highlight w:val="none"/>
          <w:lang w:val="en-US" w:eastAsia="zh-CN"/>
        </w:rPr>
        <w:t>聚丙烯树脂颗粒</w:t>
      </w:r>
      <w:r>
        <w:rPr>
          <w:rFonts w:hint="eastAsia" w:cs="Times New Roman"/>
          <w:color w:val="auto"/>
          <w:sz w:val="24"/>
          <w:szCs w:val="20"/>
          <w:highlight w:val="none"/>
          <w:lang w:val="en-US" w:eastAsia="zh-CN"/>
        </w:rPr>
        <w:t>（新料、再生料）</w:t>
      </w:r>
      <w:r>
        <w:rPr>
          <w:rFonts w:hint="default" w:ascii="Times New Roman" w:hAnsi="Times New Roman" w:eastAsia="宋体" w:cs="Times New Roman"/>
          <w:color w:val="auto"/>
          <w:sz w:val="24"/>
          <w:szCs w:val="20"/>
          <w:highlight w:val="none"/>
          <w:lang w:val="en-US" w:eastAsia="zh-CN"/>
        </w:rPr>
        <w:t>在原料仓库内分别贮存，</w:t>
      </w:r>
      <w:r>
        <w:rPr>
          <w:rFonts w:hint="default" w:ascii="Times New Roman" w:hAnsi="Times New Roman" w:eastAsia="宋体" w:cs="Times New Roman"/>
          <w:color w:val="auto"/>
          <w:sz w:val="24"/>
          <w:szCs w:val="20"/>
          <w:highlight w:val="none"/>
        </w:rPr>
        <w:t>将原料</w:t>
      </w:r>
      <w:r>
        <w:rPr>
          <w:rFonts w:hint="default" w:ascii="Times New Roman" w:hAnsi="Times New Roman" w:eastAsia="宋体" w:cs="Times New Roman"/>
          <w:color w:val="auto"/>
          <w:sz w:val="24"/>
          <w:szCs w:val="20"/>
          <w:highlight w:val="none"/>
          <w:lang w:val="en-US" w:eastAsia="zh-CN"/>
        </w:rPr>
        <w:t>仓库</w:t>
      </w:r>
      <w:r>
        <w:rPr>
          <w:rFonts w:hint="default" w:ascii="Times New Roman" w:hAnsi="Times New Roman" w:eastAsia="宋体" w:cs="Times New Roman"/>
          <w:color w:val="auto"/>
          <w:sz w:val="24"/>
          <w:szCs w:val="20"/>
          <w:highlight w:val="none"/>
        </w:rPr>
        <w:t>堆放区内的</w:t>
      </w:r>
      <w:r>
        <w:rPr>
          <w:rFonts w:hint="default" w:ascii="Times New Roman" w:hAnsi="Times New Roman" w:eastAsia="宋体" w:cs="Times New Roman"/>
          <w:color w:val="auto"/>
          <w:sz w:val="24"/>
          <w:szCs w:val="20"/>
          <w:highlight w:val="none"/>
          <w:lang w:val="en-US" w:eastAsia="zh-CN"/>
        </w:rPr>
        <w:t>原辅</w:t>
      </w:r>
      <w:r>
        <w:rPr>
          <w:rFonts w:hint="default" w:ascii="Times New Roman" w:hAnsi="Times New Roman" w:eastAsia="宋体" w:cs="Times New Roman"/>
          <w:color w:val="auto"/>
          <w:sz w:val="24"/>
          <w:szCs w:val="20"/>
          <w:highlight w:val="none"/>
        </w:rPr>
        <w:t>料搬运到生产车间，人工开包拆除</w:t>
      </w:r>
      <w:r>
        <w:rPr>
          <w:rFonts w:hint="default" w:ascii="Times New Roman" w:hAnsi="Times New Roman" w:eastAsia="宋体" w:cs="Times New Roman"/>
          <w:color w:val="auto"/>
          <w:sz w:val="24"/>
          <w:szCs w:val="20"/>
          <w:highlight w:val="none"/>
          <w:lang w:val="en-US" w:eastAsia="zh-CN"/>
        </w:rPr>
        <w:t>原辅</w:t>
      </w:r>
      <w:r>
        <w:rPr>
          <w:rFonts w:hint="default" w:ascii="Times New Roman" w:hAnsi="Times New Roman" w:eastAsia="宋体" w:cs="Times New Roman"/>
          <w:color w:val="auto"/>
          <w:sz w:val="24"/>
          <w:szCs w:val="20"/>
          <w:highlight w:val="none"/>
        </w:rPr>
        <w:t>料包装的封口线，</w:t>
      </w:r>
      <w:r>
        <w:rPr>
          <w:rFonts w:hint="eastAsia" w:ascii="Times New Roman" w:hAnsi="Times New Roman" w:cs="Times New Roman"/>
          <w:color w:val="auto"/>
          <w:sz w:val="24"/>
          <w:szCs w:val="20"/>
          <w:highlight w:val="none"/>
          <w:lang w:val="en-US" w:eastAsia="zh-CN"/>
        </w:rPr>
        <w:t>在密闭搅拌机内进行混合搅拌</w:t>
      </w:r>
      <w:r>
        <w:rPr>
          <w:rFonts w:hint="eastAsia" w:cs="Times New Roman"/>
          <w:color w:val="auto"/>
          <w:sz w:val="24"/>
          <w:szCs w:val="20"/>
          <w:highlight w:val="none"/>
          <w:lang w:val="en-US" w:eastAsia="zh-CN"/>
        </w:rPr>
        <w:t>均匀</w:t>
      </w:r>
      <w:r>
        <w:rPr>
          <w:rFonts w:hint="eastAsia" w:ascii="Times New Roman" w:hAnsi="Times New Roman" w:cs="Times New Roman"/>
          <w:color w:val="auto"/>
          <w:sz w:val="24"/>
          <w:szCs w:val="20"/>
          <w:highlight w:val="none"/>
          <w:lang w:val="en-US" w:eastAsia="zh-CN"/>
        </w:rPr>
        <w:t>。聚丙烯再生树脂颗粒为颗粒状，粒径在</w:t>
      </w:r>
      <w:r>
        <w:rPr>
          <w:rFonts w:hint="eastAsia" w:cs="Times New Roman"/>
          <w:color w:val="auto"/>
          <w:sz w:val="24"/>
          <w:szCs w:val="20"/>
          <w:highlight w:val="none"/>
          <w:lang w:val="en-US" w:eastAsia="zh-CN"/>
        </w:rPr>
        <w:t>4-6</w:t>
      </w:r>
      <w:r>
        <w:rPr>
          <w:rFonts w:hint="eastAsia" w:ascii="Times New Roman" w:hAnsi="Times New Roman" w:cs="Times New Roman"/>
          <w:color w:val="auto"/>
          <w:sz w:val="24"/>
          <w:szCs w:val="20"/>
          <w:highlight w:val="none"/>
          <w:lang w:val="en-US" w:eastAsia="zh-CN"/>
        </w:rPr>
        <w:t>mm；</w:t>
      </w:r>
      <w:r>
        <w:rPr>
          <w:rFonts w:hint="eastAsia" w:cs="Times New Roman"/>
          <w:color w:val="auto"/>
          <w:sz w:val="24"/>
          <w:szCs w:val="20"/>
          <w:highlight w:val="none"/>
          <w:lang w:val="en-US" w:eastAsia="zh-CN"/>
        </w:rPr>
        <w:t>搅拌过程在密闭装置内进行，仅在进料与出料过程中产生少量粉尘。</w:t>
      </w:r>
      <w:r>
        <w:rPr>
          <w:rFonts w:hint="eastAsia" w:ascii="Times New Roman" w:hAnsi="Times New Roman" w:cs="Times New Roman"/>
          <w:color w:val="auto"/>
          <w:sz w:val="24"/>
          <w:szCs w:val="20"/>
          <w:highlight w:val="none"/>
          <w:lang w:val="en-US" w:eastAsia="zh-CN"/>
        </w:rPr>
        <w:t>此过程会产生废包装材料、无组织颗粒物及设备噪声。</w:t>
      </w:r>
    </w:p>
    <w:p>
      <w:pPr>
        <w:pStyle w:val="226"/>
        <w:spacing w:line="360" w:lineRule="auto"/>
        <w:ind w:firstLine="480"/>
        <w:rPr>
          <w:rFonts w:hint="eastAsia"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②</w:t>
      </w:r>
      <w:r>
        <w:rPr>
          <w:rFonts w:hint="eastAsia" w:ascii="Times New Roman" w:hAnsi="Times New Roman"/>
          <w:color w:val="auto"/>
          <w:sz w:val="24"/>
          <w:szCs w:val="24"/>
          <w:highlight w:val="none"/>
          <w:lang w:val="en-US" w:eastAsia="zh-CN"/>
        </w:rPr>
        <w:t>上料</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0"/>
          <w:highlight w:val="none"/>
          <w:lang w:val="en-US" w:eastAsia="zh-CN"/>
        </w:rPr>
        <w:t>原辅材料</w:t>
      </w:r>
      <w:r>
        <w:rPr>
          <w:rFonts w:hint="eastAsia" w:ascii="Times New Roman" w:hAnsi="Times New Roman" w:cs="Times New Roman"/>
          <w:color w:val="auto"/>
          <w:sz w:val="24"/>
          <w:szCs w:val="20"/>
          <w:highlight w:val="none"/>
          <w:lang w:val="en-US" w:eastAsia="zh-CN"/>
        </w:rPr>
        <w:t>拌料完成</w:t>
      </w:r>
      <w:r>
        <w:rPr>
          <w:rFonts w:hint="default" w:ascii="Times New Roman" w:hAnsi="Times New Roman" w:eastAsia="宋体" w:cs="Times New Roman"/>
          <w:color w:val="auto"/>
          <w:sz w:val="24"/>
          <w:szCs w:val="20"/>
          <w:highlight w:val="none"/>
          <w:lang w:val="en-US" w:eastAsia="zh-CN"/>
        </w:rPr>
        <w:t>后通过上料机送入注塑机料仓内，</w:t>
      </w:r>
      <w:r>
        <w:rPr>
          <w:rFonts w:hint="eastAsia" w:ascii="Times New Roman" w:hAnsi="Times New Roman" w:cs="Times New Roman"/>
          <w:color w:val="auto"/>
          <w:sz w:val="24"/>
          <w:szCs w:val="20"/>
          <w:highlight w:val="none"/>
          <w:lang w:val="en-US" w:eastAsia="zh-CN"/>
        </w:rPr>
        <w:t>上料系统为全密封。此过程产生设备噪声。</w:t>
      </w:r>
    </w:p>
    <w:p>
      <w:pPr>
        <w:pStyle w:val="226"/>
        <w:spacing w:line="360" w:lineRule="auto"/>
        <w:ind w:firstLine="480"/>
        <w:rPr>
          <w:rFonts w:hint="default" w:ascii="Times New Roman" w:hAnsi="Times New Roman" w:eastAsia="宋体"/>
          <w:color w:val="auto"/>
          <w:sz w:val="24"/>
          <w:szCs w:val="20"/>
          <w:highlight w:val="none"/>
          <w:lang w:val="en-US" w:eastAsia="zh-CN"/>
        </w:rPr>
      </w:pPr>
      <w:r>
        <w:rPr>
          <w:rFonts w:ascii="Times New Roman" w:hAnsi="Times New Roman"/>
          <w:color w:val="auto"/>
          <w:sz w:val="24"/>
          <w:szCs w:val="20"/>
          <w:highlight w:val="none"/>
        </w:rPr>
        <w:t>③</w:t>
      </w:r>
      <w:r>
        <w:rPr>
          <w:rFonts w:hint="eastAsia" w:ascii="Times New Roman" w:hAnsi="Times New Roman"/>
          <w:color w:val="auto"/>
          <w:sz w:val="24"/>
          <w:szCs w:val="20"/>
          <w:highlight w:val="none"/>
          <w:lang w:val="en-US" w:eastAsia="zh-CN"/>
        </w:rPr>
        <w:t>加热、注塑、锁模</w:t>
      </w:r>
    </w:p>
    <w:p>
      <w:pPr>
        <w:spacing w:line="360" w:lineRule="auto"/>
        <w:ind w:firstLine="480" w:firstLineChars="200"/>
        <w:rPr>
          <w:rFonts w:hint="default" w:ascii="Times New Roman" w:hAnsi="Times New Roman"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原料进入注塑</w:t>
      </w:r>
      <w:r>
        <w:rPr>
          <w:rFonts w:hint="eastAsia" w:ascii="Times New Roman" w:hAnsi="Times New Roman" w:cs="Times New Roman"/>
          <w:color w:val="auto"/>
          <w:sz w:val="24"/>
          <w:szCs w:val="20"/>
          <w:highlight w:val="none"/>
          <w:lang w:val="en-US" w:eastAsia="zh-CN"/>
        </w:rPr>
        <w:t>机后，经加热熔融（电加热，熔融温度控制在180℃-2</w:t>
      </w:r>
      <w:r>
        <w:rPr>
          <w:rFonts w:hint="eastAsia" w:cs="Times New Roman"/>
          <w:color w:val="auto"/>
          <w:sz w:val="24"/>
          <w:szCs w:val="20"/>
          <w:highlight w:val="none"/>
          <w:lang w:val="en-US" w:eastAsia="zh-CN"/>
        </w:rPr>
        <w:t>0</w:t>
      </w:r>
      <w:r>
        <w:rPr>
          <w:rFonts w:hint="eastAsia" w:ascii="Times New Roman" w:hAnsi="Times New Roman" w:cs="Times New Roman"/>
          <w:color w:val="auto"/>
          <w:sz w:val="24"/>
          <w:szCs w:val="20"/>
          <w:highlight w:val="none"/>
          <w:lang w:val="en-US" w:eastAsia="zh-CN"/>
        </w:rPr>
        <w:t>0℃左右）使原料熔融，熔融状态的物料通过螺杆向前推进，注入产品模具内，通过锁模系统对进入模具的产品进行锁模（锁模系统是保证模具闭合、开启及顶出制品），产品锁模后通过锁模系统顶出制品。锁模过程经一定时间和压力保持（又称保压），使其固化成型，保压目的是防止模腔中熔料的反流、向模腔内补充物料，以及保证制品具有一定的密度和尺寸公差。注塑时，模腔内的平均压力一般在2MPa以内。将熔化后的塑料注射入闭合好的模腔内。此过程会产生</w:t>
      </w:r>
      <w:r>
        <w:rPr>
          <w:rFonts w:hint="eastAsia" w:cs="Times New Roman"/>
          <w:color w:val="auto"/>
          <w:sz w:val="24"/>
          <w:szCs w:val="20"/>
          <w:highlight w:val="none"/>
          <w:lang w:val="en-US" w:eastAsia="zh-CN"/>
        </w:rPr>
        <w:t>有机废气（非甲烷总烃）及异味</w:t>
      </w:r>
      <w:r>
        <w:rPr>
          <w:rFonts w:hint="eastAsia" w:ascii="Times New Roman" w:hAnsi="Times New Roman" w:cs="Times New Roman"/>
          <w:color w:val="auto"/>
          <w:sz w:val="24"/>
          <w:szCs w:val="20"/>
          <w:highlight w:val="none"/>
          <w:lang w:val="en-US" w:eastAsia="zh-CN"/>
        </w:rPr>
        <w:t>，产生的有机废气</w:t>
      </w:r>
      <w:r>
        <w:rPr>
          <w:rFonts w:hint="eastAsia" w:cs="Times New Roman"/>
          <w:color w:val="auto"/>
          <w:sz w:val="24"/>
          <w:szCs w:val="20"/>
          <w:highlight w:val="none"/>
          <w:lang w:val="en-US" w:eastAsia="zh-CN"/>
        </w:rPr>
        <w:t>及异味</w:t>
      </w:r>
      <w:r>
        <w:rPr>
          <w:rFonts w:hint="eastAsia" w:ascii="Times New Roman" w:hAnsi="Times New Roman" w:cs="Times New Roman"/>
          <w:color w:val="auto"/>
          <w:sz w:val="24"/>
          <w:szCs w:val="20"/>
          <w:highlight w:val="none"/>
          <w:lang w:val="en-US" w:eastAsia="zh-CN"/>
        </w:rPr>
        <w:t>经每台设备顶端的集气罩集中收集后通过引风机引入</w:t>
      </w:r>
      <w:r>
        <w:rPr>
          <w:rFonts w:hint="eastAsia" w:cs="Times New Roman"/>
          <w:color w:val="auto"/>
          <w:sz w:val="24"/>
          <w:szCs w:val="20"/>
          <w:highlight w:val="none"/>
          <w:lang w:val="en-US" w:eastAsia="zh-CN"/>
        </w:rPr>
        <w:t>三级</w:t>
      </w:r>
      <w:r>
        <w:rPr>
          <w:rFonts w:hint="eastAsia" w:ascii="Times New Roman" w:hAnsi="Times New Roman" w:cs="Times New Roman"/>
          <w:color w:val="auto"/>
          <w:sz w:val="24"/>
          <w:szCs w:val="20"/>
          <w:highlight w:val="none"/>
          <w:lang w:val="en-US" w:eastAsia="zh-CN"/>
        </w:rPr>
        <w:t>活性炭吸附装置处理后通过15m高排气筒（DA001）排放，此外，还会产生噪声、废活性炭。</w:t>
      </w:r>
    </w:p>
    <w:p>
      <w:pPr>
        <w:pStyle w:val="226"/>
        <w:spacing w:line="360" w:lineRule="auto"/>
        <w:ind w:firstLine="480"/>
        <w:contextualSpacing w:val="0"/>
        <w:rPr>
          <w:rFonts w:hint="default" w:ascii="Times New Roman" w:hAnsi="Times New Roman" w:eastAsia="宋体"/>
          <w:color w:val="auto"/>
          <w:sz w:val="24"/>
          <w:szCs w:val="20"/>
          <w:highlight w:val="none"/>
          <w:lang w:val="en-US" w:eastAsia="zh-CN"/>
        </w:rPr>
      </w:pPr>
      <w:r>
        <w:rPr>
          <w:rFonts w:ascii="Times New Roman" w:hAnsi="Times New Roman"/>
          <w:color w:val="auto"/>
          <w:sz w:val="24"/>
          <w:szCs w:val="20"/>
          <w:highlight w:val="none"/>
        </w:rPr>
        <w:t>④</w:t>
      </w:r>
      <w:r>
        <w:rPr>
          <w:rFonts w:hint="eastAsia" w:ascii="Times New Roman" w:hAnsi="Times New Roman"/>
          <w:color w:val="auto"/>
          <w:sz w:val="24"/>
          <w:szCs w:val="20"/>
          <w:highlight w:val="none"/>
          <w:lang w:val="en-US" w:eastAsia="zh-CN"/>
        </w:rPr>
        <w:t>冷却成型</w:t>
      </w:r>
    </w:p>
    <w:p>
      <w:pPr>
        <w:spacing w:line="360" w:lineRule="auto"/>
        <w:ind w:firstLine="480" w:firstLineChars="200"/>
        <w:rPr>
          <w:rFonts w:hint="eastAsia"/>
          <w:color w:val="auto"/>
          <w:sz w:val="24"/>
          <w:szCs w:val="20"/>
          <w:highlight w:val="none"/>
          <w:lang w:val="en-US" w:eastAsia="zh-CN"/>
        </w:rPr>
      </w:pPr>
      <w:r>
        <w:rPr>
          <w:rFonts w:hint="eastAsia"/>
          <w:color w:val="auto"/>
          <w:sz w:val="24"/>
          <w:szCs w:val="20"/>
          <w:highlight w:val="none"/>
          <w:lang w:val="en-US" w:eastAsia="zh-CN"/>
        </w:rPr>
        <w:t>产品在模具内初步成型后，通过外接水管将冷却水引入注塑机内置冷却管道，采用间接冷却，冷却时间为18s左右，注塑设备冷却水使用后由模具底部出水口排出进入循环冷却水系统，经车间外冷却水池冷却后循环使用不外排，由于蒸发损耗需定期补充新鲜水。</w:t>
      </w:r>
    </w:p>
    <w:p>
      <w:pPr>
        <w:spacing w:line="360" w:lineRule="auto"/>
        <w:ind w:firstLine="480" w:firstLineChars="200"/>
        <w:rPr>
          <w:rFonts w:hint="eastAsia" w:eastAsia="宋体"/>
          <w:color w:val="auto"/>
          <w:sz w:val="24"/>
          <w:szCs w:val="20"/>
          <w:highlight w:val="none"/>
          <w:lang w:val="en-US" w:eastAsia="zh-CN"/>
        </w:rPr>
      </w:pPr>
      <w:r>
        <w:rPr>
          <w:color w:val="auto"/>
          <w:sz w:val="24"/>
          <w:szCs w:val="20"/>
          <w:highlight w:val="none"/>
        </w:rPr>
        <w:t>⑤</w:t>
      </w:r>
      <w:r>
        <w:rPr>
          <w:rFonts w:hint="eastAsia"/>
          <w:color w:val="auto"/>
          <w:sz w:val="24"/>
          <w:szCs w:val="20"/>
          <w:highlight w:val="none"/>
          <w:lang w:val="en-US" w:eastAsia="zh-CN"/>
        </w:rPr>
        <w:t>脱模</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lang w:val="en-US" w:eastAsia="zh-CN"/>
        </w:rPr>
        <w:t>通过间接水冷却成型后脱模，脱模是利用锁模系统顶出制品，同时通过机械臂抓手取出成品。</w:t>
      </w:r>
    </w:p>
    <w:p>
      <w:pPr>
        <w:spacing w:line="360" w:lineRule="auto"/>
        <w:ind w:firstLine="480" w:firstLineChars="200"/>
        <w:rPr>
          <w:rFonts w:hint="default" w:eastAsia="宋体"/>
          <w:color w:val="auto"/>
          <w:sz w:val="24"/>
          <w:szCs w:val="20"/>
          <w:highlight w:val="none"/>
          <w:lang w:val="en-US" w:eastAsia="zh-CN"/>
        </w:rPr>
      </w:pPr>
      <w:r>
        <w:rPr>
          <w:color w:val="auto"/>
          <w:sz w:val="24"/>
          <w:szCs w:val="20"/>
          <w:highlight w:val="none"/>
        </w:rPr>
        <w:t>⑥</w:t>
      </w:r>
      <w:r>
        <w:rPr>
          <w:rFonts w:hint="eastAsia"/>
          <w:color w:val="auto"/>
          <w:sz w:val="24"/>
          <w:szCs w:val="20"/>
          <w:highlight w:val="none"/>
          <w:lang w:val="en-US" w:eastAsia="zh-CN"/>
        </w:rPr>
        <w:t>修边</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lang w:val="en-US" w:eastAsia="zh-CN"/>
        </w:rPr>
        <w:t>产品表面会有一定的毛刺，需进行人工修整，不采用抛光机，采用键刀、压棒对塑料框边口进行剔除。此过程会产生边角料。</w:t>
      </w:r>
    </w:p>
    <w:p>
      <w:pPr>
        <w:spacing w:line="360" w:lineRule="auto"/>
        <w:ind w:firstLine="480" w:firstLineChars="200"/>
        <w:rPr>
          <w:rFonts w:hint="eastAsia" w:eastAsia="宋体"/>
          <w:color w:val="auto"/>
          <w:sz w:val="24"/>
          <w:szCs w:val="20"/>
          <w:highlight w:val="none"/>
          <w:lang w:val="en-US" w:eastAsia="zh-CN"/>
        </w:rPr>
      </w:pPr>
      <w:r>
        <w:rPr>
          <w:rFonts w:hint="eastAsia"/>
          <w:color w:val="auto"/>
          <w:sz w:val="24"/>
          <w:szCs w:val="20"/>
          <w:highlight w:val="none"/>
        </w:rPr>
        <w:t>⑦</w:t>
      </w:r>
      <w:r>
        <w:rPr>
          <w:rFonts w:hint="eastAsia"/>
          <w:color w:val="auto"/>
          <w:sz w:val="24"/>
          <w:szCs w:val="20"/>
          <w:highlight w:val="none"/>
          <w:lang w:val="en-US" w:eastAsia="zh-CN"/>
        </w:rPr>
        <w:t>检验</w:t>
      </w:r>
    </w:p>
    <w:p>
      <w:pPr>
        <w:spacing w:line="360" w:lineRule="auto"/>
        <w:ind w:firstLine="480" w:firstLineChars="200"/>
        <w:rPr>
          <w:rFonts w:hint="eastAsia"/>
          <w:color w:val="auto"/>
          <w:sz w:val="24"/>
          <w:szCs w:val="20"/>
          <w:highlight w:val="none"/>
        </w:rPr>
      </w:pPr>
      <w:r>
        <w:rPr>
          <w:rFonts w:hint="eastAsia" w:cs="Times New Roman"/>
          <w:color w:val="auto"/>
          <w:sz w:val="24"/>
          <w:szCs w:val="20"/>
          <w:highlight w:val="none"/>
          <w:lang w:val="en-US" w:eastAsia="zh-CN"/>
        </w:rPr>
        <w:t>产品修整完成后，</w:t>
      </w:r>
      <w:r>
        <w:rPr>
          <w:rFonts w:hint="default" w:ascii="Times New Roman" w:hAnsi="Times New Roman" w:eastAsia="宋体" w:cs="Times New Roman"/>
          <w:color w:val="auto"/>
          <w:sz w:val="24"/>
          <w:szCs w:val="20"/>
          <w:highlight w:val="none"/>
          <w:lang w:val="en-US" w:eastAsia="zh-CN"/>
        </w:rPr>
        <w:t>对产品进行抽样检验（外观、颜色、硬度、重量等），</w:t>
      </w:r>
      <w:r>
        <w:rPr>
          <w:rFonts w:hint="eastAsia" w:cs="Times New Roman"/>
          <w:color w:val="auto"/>
          <w:sz w:val="24"/>
          <w:szCs w:val="20"/>
          <w:highlight w:val="none"/>
          <w:lang w:val="en-US" w:eastAsia="zh-CN"/>
        </w:rPr>
        <w:t>检验合格的成品堆存</w:t>
      </w:r>
      <w:r>
        <w:rPr>
          <w:rFonts w:hint="default" w:ascii="Times New Roman" w:hAnsi="Times New Roman" w:eastAsia="宋体" w:cs="Times New Roman"/>
          <w:color w:val="auto"/>
          <w:sz w:val="24"/>
          <w:szCs w:val="20"/>
          <w:highlight w:val="none"/>
          <w:lang w:val="en-US" w:eastAsia="zh-CN"/>
        </w:rPr>
        <w:t>待售，检验不合格产品经破碎后</w:t>
      </w:r>
      <w:r>
        <w:rPr>
          <w:rFonts w:hint="eastAsia" w:cs="Times New Roman"/>
          <w:color w:val="auto"/>
          <w:sz w:val="24"/>
          <w:szCs w:val="20"/>
          <w:highlight w:val="none"/>
          <w:lang w:val="en-US" w:eastAsia="zh-CN"/>
        </w:rPr>
        <w:t>返回</w:t>
      </w:r>
      <w:r>
        <w:rPr>
          <w:rFonts w:hint="default" w:ascii="Times New Roman" w:hAnsi="Times New Roman" w:eastAsia="宋体" w:cs="Times New Roman"/>
          <w:color w:val="auto"/>
          <w:sz w:val="24"/>
          <w:szCs w:val="20"/>
          <w:highlight w:val="none"/>
          <w:lang w:val="en-US" w:eastAsia="zh-CN"/>
        </w:rPr>
        <w:t>注塑工序，此过程主要产生不合格产品。</w:t>
      </w:r>
    </w:p>
    <w:p>
      <w:pPr>
        <w:spacing w:line="360" w:lineRule="auto"/>
        <w:ind w:firstLine="480" w:firstLineChars="200"/>
        <w:rPr>
          <w:rFonts w:hint="eastAsia" w:eastAsia="宋体"/>
          <w:color w:val="auto"/>
          <w:sz w:val="24"/>
          <w:szCs w:val="20"/>
          <w:highlight w:val="none"/>
          <w:lang w:val="en-US" w:eastAsia="zh-CN"/>
        </w:rPr>
      </w:pPr>
      <w:r>
        <w:rPr>
          <w:rFonts w:hint="eastAsia"/>
          <w:color w:val="auto"/>
          <w:sz w:val="24"/>
          <w:szCs w:val="20"/>
          <w:highlight w:val="none"/>
        </w:rPr>
        <w:t>⑧</w:t>
      </w:r>
      <w:r>
        <w:rPr>
          <w:rFonts w:hint="eastAsia"/>
          <w:color w:val="auto"/>
          <w:sz w:val="24"/>
          <w:szCs w:val="20"/>
          <w:highlight w:val="none"/>
          <w:lang w:val="en-US" w:eastAsia="zh-CN"/>
        </w:rPr>
        <w:t>破碎</w:t>
      </w:r>
    </w:p>
    <w:p>
      <w:pPr>
        <w:spacing w:line="360" w:lineRule="auto"/>
        <w:ind w:firstLine="480" w:firstLineChars="2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为实施清洁生产重复利用可回收物质，</w:t>
      </w:r>
      <w:bookmarkStart w:id="373" w:name="OLE_LINK9"/>
      <w:r>
        <w:rPr>
          <w:rFonts w:hint="default" w:ascii="Times New Roman" w:hAnsi="Times New Roman" w:eastAsia="宋体" w:cs="Times New Roman"/>
          <w:color w:val="auto"/>
          <w:sz w:val="24"/>
          <w:szCs w:val="20"/>
          <w:highlight w:val="none"/>
          <w:lang w:val="en-US" w:eastAsia="zh-CN"/>
        </w:rPr>
        <w:t>项目将检验过程产生的不合格品及</w:t>
      </w:r>
      <w:r>
        <w:rPr>
          <w:rFonts w:hint="eastAsia" w:cs="Times New Roman"/>
          <w:color w:val="auto"/>
          <w:sz w:val="24"/>
          <w:szCs w:val="20"/>
          <w:highlight w:val="none"/>
          <w:lang w:val="en-US" w:eastAsia="zh-CN"/>
        </w:rPr>
        <w:t>修整出的边角料</w:t>
      </w:r>
      <w:r>
        <w:rPr>
          <w:rFonts w:hint="default" w:ascii="Times New Roman" w:hAnsi="Times New Roman" w:eastAsia="宋体" w:cs="Times New Roman"/>
          <w:color w:val="auto"/>
          <w:sz w:val="24"/>
          <w:szCs w:val="20"/>
          <w:highlight w:val="none"/>
          <w:lang w:val="en-US" w:eastAsia="zh-CN"/>
        </w:rPr>
        <w:t>破碎</w:t>
      </w:r>
      <w:r>
        <w:rPr>
          <w:rFonts w:hint="eastAsia" w:cs="Times New Roman"/>
          <w:color w:val="auto"/>
          <w:sz w:val="24"/>
          <w:szCs w:val="20"/>
          <w:highlight w:val="none"/>
          <w:lang w:val="en-US" w:eastAsia="zh-CN"/>
        </w:rPr>
        <w:t>后</w:t>
      </w:r>
      <w:r>
        <w:rPr>
          <w:rFonts w:hint="default" w:ascii="Times New Roman" w:hAnsi="Times New Roman" w:eastAsia="宋体" w:cs="Times New Roman"/>
          <w:color w:val="auto"/>
          <w:sz w:val="24"/>
          <w:szCs w:val="20"/>
          <w:highlight w:val="none"/>
          <w:lang w:val="en-US" w:eastAsia="zh-CN"/>
        </w:rPr>
        <w:t>重新作为原料使用</w:t>
      </w:r>
      <w:bookmarkEnd w:id="373"/>
      <w:r>
        <w:rPr>
          <w:rFonts w:hint="eastAsia" w:cs="Times New Roman"/>
          <w:color w:val="auto"/>
          <w:sz w:val="24"/>
          <w:szCs w:val="20"/>
          <w:highlight w:val="none"/>
          <w:lang w:val="en-US" w:eastAsia="zh-CN"/>
        </w:rPr>
        <w:t>，不合格产品及边角料经统一收集后暂存于项目区一般固废暂存处，达到一定量后破碎回用。破碎机仅预留投料口，其余封闭建设，在破碎时，将投料口关闭，破碎过程全密闭，破碎至粒径为4-6mm的颗粒后回用于生产。</w:t>
      </w:r>
      <w:r>
        <w:rPr>
          <w:rFonts w:hint="default" w:ascii="Times New Roman" w:hAnsi="Times New Roman" w:eastAsia="宋体" w:cs="Times New Roman"/>
          <w:color w:val="auto"/>
          <w:sz w:val="24"/>
          <w:szCs w:val="20"/>
          <w:highlight w:val="none"/>
          <w:lang w:val="en-US" w:eastAsia="zh-CN"/>
        </w:rPr>
        <w:t>此过程会产生破碎粉尘和</w:t>
      </w:r>
      <w:r>
        <w:rPr>
          <w:rFonts w:hint="eastAsia" w:cs="Times New Roman"/>
          <w:color w:val="auto"/>
          <w:sz w:val="24"/>
          <w:szCs w:val="20"/>
          <w:highlight w:val="none"/>
          <w:lang w:val="en-US" w:eastAsia="zh-CN"/>
        </w:rPr>
        <w:t>设备</w:t>
      </w:r>
      <w:r>
        <w:rPr>
          <w:rFonts w:hint="default" w:ascii="Times New Roman" w:hAnsi="Times New Roman" w:eastAsia="宋体" w:cs="Times New Roman"/>
          <w:color w:val="auto"/>
          <w:sz w:val="24"/>
          <w:szCs w:val="20"/>
          <w:highlight w:val="none"/>
          <w:lang w:val="en-US" w:eastAsia="zh-CN"/>
        </w:rPr>
        <w:t>噪声。</w:t>
      </w:r>
      <w:r>
        <w:rPr>
          <w:rFonts w:hint="eastAsia" w:cs="Times New Roman"/>
          <w:color w:val="auto"/>
          <w:sz w:val="24"/>
          <w:szCs w:val="20"/>
          <w:highlight w:val="none"/>
          <w:lang w:val="en-US" w:eastAsia="zh-CN"/>
        </w:rPr>
        <w:t>破碎粉尘经集气罩和管道收集至布袋除尘器处理后与经处理后的注塑废气一同通过15m高排气筒（DA001）排放。</w:t>
      </w:r>
    </w:p>
    <w:p>
      <w:pPr>
        <w:keepNext/>
        <w:keepLines/>
        <w:spacing w:line="360" w:lineRule="auto"/>
        <w:outlineLvl w:val="1"/>
        <w:rPr>
          <w:b/>
          <w:color w:val="auto"/>
          <w:sz w:val="28"/>
          <w:szCs w:val="32"/>
          <w:highlight w:val="none"/>
        </w:rPr>
      </w:pPr>
      <w:bookmarkStart w:id="374" w:name="_Toc275730355"/>
      <w:bookmarkStart w:id="375" w:name="_Toc275001991"/>
      <w:bookmarkStart w:id="376" w:name="_Toc367281472"/>
      <w:bookmarkStart w:id="377" w:name="_Toc341369436"/>
      <w:bookmarkStart w:id="378" w:name="_Toc367282055"/>
      <w:bookmarkStart w:id="379" w:name="_Toc28897"/>
      <w:bookmarkStart w:id="380" w:name="_Toc75908661"/>
      <w:r>
        <w:rPr>
          <w:b/>
          <w:color w:val="auto"/>
          <w:sz w:val="28"/>
          <w:szCs w:val="32"/>
          <w:highlight w:val="none"/>
        </w:rPr>
        <w:t>3.3工程水平衡</w:t>
      </w:r>
      <w:bookmarkEnd w:id="374"/>
      <w:bookmarkEnd w:id="375"/>
      <w:bookmarkEnd w:id="376"/>
      <w:bookmarkEnd w:id="377"/>
      <w:bookmarkEnd w:id="378"/>
      <w:r>
        <w:rPr>
          <w:b/>
          <w:color w:val="auto"/>
          <w:sz w:val="28"/>
          <w:szCs w:val="32"/>
          <w:highlight w:val="none"/>
        </w:rPr>
        <w:t>与物料平衡</w:t>
      </w:r>
      <w:bookmarkEnd w:id="379"/>
      <w:bookmarkEnd w:id="380"/>
    </w:p>
    <w:p>
      <w:pPr>
        <w:keepNext/>
        <w:keepLines/>
        <w:spacing w:line="360" w:lineRule="auto"/>
        <w:outlineLvl w:val="2"/>
        <w:rPr>
          <w:b/>
          <w:bCs/>
          <w:color w:val="auto"/>
          <w:sz w:val="24"/>
          <w:highlight w:val="none"/>
        </w:rPr>
      </w:pPr>
      <w:bookmarkStart w:id="381" w:name="_Toc27328"/>
      <w:bookmarkStart w:id="382" w:name="_Toc75908662"/>
      <w:r>
        <w:rPr>
          <w:b/>
          <w:bCs/>
          <w:color w:val="auto"/>
          <w:sz w:val="24"/>
          <w:highlight w:val="none"/>
        </w:rPr>
        <w:t>3.3.1水平衡</w:t>
      </w:r>
      <w:bookmarkEnd w:id="381"/>
      <w:bookmarkEnd w:id="382"/>
    </w:p>
    <w:p>
      <w:pPr>
        <w:spacing w:line="360" w:lineRule="auto"/>
        <w:rPr>
          <w:b/>
          <w:color w:val="auto"/>
          <w:sz w:val="24"/>
          <w:highlight w:val="none"/>
        </w:rPr>
      </w:pPr>
      <w:r>
        <w:rPr>
          <w:b/>
          <w:color w:val="auto"/>
          <w:sz w:val="24"/>
          <w:highlight w:val="none"/>
        </w:rPr>
        <w:t>3.3.1.1给水</w:t>
      </w:r>
    </w:p>
    <w:p>
      <w:pPr>
        <w:adjustRightInd w:val="0"/>
        <w:snapToGrid w:val="0"/>
        <w:spacing w:line="360" w:lineRule="auto"/>
        <w:ind w:firstLine="480" w:firstLineChars="200"/>
        <w:rPr>
          <w:color w:val="auto"/>
          <w:sz w:val="24"/>
          <w:highlight w:val="none"/>
        </w:rPr>
      </w:pPr>
      <w:r>
        <w:rPr>
          <w:rFonts w:hint="default" w:ascii="Times New Roman" w:hAnsi="Times New Roman" w:cs="Times New Roman"/>
          <w:color w:val="auto"/>
          <w:sz w:val="24"/>
          <w:highlight w:val="none"/>
        </w:rPr>
        <w:t>项目用水包括生活用水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生产用水</w:t>
      </w:r>
      <w:r>
        <w:rPr>
          <w:rFonts w:hint="default" w:ascii="Times New Roman" w:hAnsi="Times New Roman" w:cs="Times New Roman"/>
          <w:color w:val="auto"/>
          <w:sz w:val="24"/>
          <w:highlight w:val="none"/>
          <w:lang w:val="en-US" w:eastAsia="zh-CN"/>
        </w:rPr>
        <w:t>和绿化用水</w:t>
      </w:r>
      <w:r>
        <w:rPr>
          <w:rFonts w:hint="default" w:ascii="Times New Roman" w:hAnsi="Times New Roman" w:cs="Times New Roman"/>
          <w:color w:val="auto"/>
          <w:sz w:val="24"/>
          <w:highlight w:val="none"/>
        </w:rPr>
        <w:t>，均由</w:t>
      </w:r>
      <w:r>
        <w:rPr>
          <w:rFonts w:hint="default" w:ascii="Times New Roman" w:hAnsi="Times New Roman" w:cs="Times New Roman"/>
          <w:color w:val="auto"/>
          <w:sz w:val="24"/>
          <w:highlight w:val="none"/>
          <w:lang w:val="en-US" w:eastAsia="zh-CN"/>
        </w:rPr>
        <w:t>市政</w:t>
      </w:r>
      <w:r>
        <w:rPr>
          <w:rFonts w:hint="default" w:ascii="Times New Roman" w:hAnsi="Times New Roman" w:cs="Times New Roman"/>
          <w:color w:val="auto"/>
          <w:sz w:val="24"/>
          <w:highlight w:val="none"/>
        </w:rPr>
        <w:t>供水管网供给。生产用水</w:t>
      </w:r>
      <w:r>
        <w:rPr>
          <w:rFonts w:hint="default" w:ascii="Times New Roman" w:hAnsi="Times New Roman" w:cs="Times New Roman"/>
          <w:color w:val="auto"/>
          <w:sz w:val="24"/>
          <w:highlight w:val="none"/>
          <w:lang w:val="en-US" w:eastAsia="zh-CN"/>
        </w:rPr>
        <w:t>为循环</w:t>
      </w:r>
      <w:r>
        <w:rPr>
          <w:rFonts w:hint="default" w:ascii="Times New Roman" w:hAnsi="Times New Roman" w:cs="Times New Roman"/>
          <w:color w:val="auto"/>
          <w:sz w:val="24"/>
          <w:szCs w:val="20"/>
          <w:highlight w:val="none"/>
        </w:rPr>
        <w:t>冷却用水</w:t>
      </w:r>
      <w:r>
        <w:rPr>
          <w:rFonts w:hint="default" w:ascii="Times New Roman" w:hAnsi="Times New Roman" w:cs="Times New Roman"/>
          <w:color w:val="auto"/>
          <w:sz w:val="24"/>
          <w:highlight w:val="none"/>
          <w:lang w:val="en-US" w:eastAsia="zh-CN"/>
        </w:rPr>
        <w:t>和</w:t>
      </w:r>
      <w:r>
        <w:rPr>
          <w:rFonts w:hint="default" w:ascii="Times New Roman" w:hAnsi="Times New Roman" w:cs="Times New Roman"/>
          <w:color w:val="auto"/>
          <w:sz w:val="24"/>
          <w:highlight w:val="none"/>
        </w:rPr>
        <w:t>车间地面清洗用水</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生活用水</w:t>
      </w:r>
      <w:r>
        <w:rPr>
          <w:rFonts w:hint="default" w:ascii="Times New Roman" w:hAnsi="Times New Roman" w:cs="Times New Roman"/>
          <w:color w:val="auto"/>
          <w:sz w:val="24"/>
          <w:highlight w:val="none"/>
          <w:lang w:val="en-US" w:eastAsia="zh-CN"/>
        </w:rPr>
        <w:t>仅为员工办公用水（办公洗手用水</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eastAsia="zh-CN"/>
        </w:rPr>
        <w:t>。</w:t>
      </w:r>
    </w:p>
    <w:p>
      <w:pPr>
        <w:spacing w:line="360" w:lineRule="auto"/>
        <w:ind w:firstLine="480" w:firstLineChars="200"/>
        <w:rPr>
          <w:rFonts w:hint="default" w:eastAsia="宋体"/>
          <w:color w:val="auto"/>
          <w:sz w:val="24"/>
          <w:highlight w:val="none"/>
          <w:lang w:val="en-US" w:eastAsia="zh-CN"/>
        </w:rPr>
      </w:pPr>
      <w:r>
        <w:rPr>
          <w:color w:val="auto"/>
          <w:sz w:val="24"/>
          <w:highlight w:val="none"/>
        </w:rPr>
        <w:t>（1）</w:t>
      </w:r>
      <w:r>
        <w:rPr>
          <w:rFonts w:hint="eastAsia"/>
          <w:color w:val="auto"/>
          <w:sz w:val="24"/>
          <w:highlight w:val="none"/>
          <w:lang w:val="en-US" w:eastAsia="zh-CN"/>
        </w:rPr>
        <w:t>循环冷却用水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根据建设单位提供的资料可知，产品</w:t>
      </w:r>
      <w:r>
        <w:rPr>
          <w:rFonts w:hint="eastAsia" w:cs="Times New Roman"/>
          <w:color w:val="auto"/>
          <w:sz w:val="24"/>
          <w:szCs w:val="24"/>
          <w:highlight w:val="none"/>
          <w:lang w:eastAsia="zh-CN"/>
        </w:rPr>
        <w:t>冷却水</w:t>
      </w:r>
      <w:r>
        <w:rPr>
          <w:rFonts w:hint="default" w:ascii="Times New Roman" w:hAnsi="Times New Roman" w:eastAsia="宋体" w:cs="Times New Roman"/>
          <w:color w:val="auto"/>
          <w:sz w:val="24"/>
          <w:szCs w:val="24"/>
          <w:highlight w:val="none"/>
        </w:rPr>
        <w:t>采用间接水冷却，通过外接水管将冷却水引入注塑设备内置冷却水道，冷却水使用后由模具箱底部出水口排出并进入循环冷却水系统，经车间外循环水池冷却后循环使用。因此该部分在冷却过程中因接触高温而发生蒸发，补充水以水蒸气形式散发至空气中。《云南省用水定额》（DB53/T168-2019），塑料制品业中“塑料周转箱、桶、瓶”用水量为8m³/t·产品</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lang w:val="en-US" w:eastAsia="zh-CN"/>
        </w:rPr>
        <w:t>年产</w:t>
      </w:r>
      <w:r>
        <w:rPr>
          <w:rFonts w:hint="eastAsia" w:cs="Times New Roman"/>
          <w:color w:val="auto"/>
          <w:sz w:val="24"/>
          <w:szCs w:val="24"/>
          <w:highlight w:val="none"/>
          <w:lang w:val="en-US" w:eastAsia="zh-CN"/>
        </w:rPr>
        <w:t>50</w:t>
      </w:r>
      <w:r>
        <w:rPr>
          <w:rFonts w:hint="default" w:ascii="Times New Roman" w:hAnsi="Times New Roman" w:cs="Times New Roman"/>
          <w:color w:val="auto"/>
          <w:sz w:val="24"/>
          <w:szCs w:val="24"/>
          <w:highlight w:val="none"/>
          <w:lang w:val="en-US" w:eastAsia="zh-CN"/>
        </w:rPr>
        <w:t>万只塑料</w:t>
      </w:r>
      <w:r>
        <w:rPr>
          <w:rFonts w:hint="eastAsia" w:cs="Times New Roman"/>
          <w:color w:val="auto"/>
          <w:sz w:val="24"/>
          <w:szCs w:val="24"/>
          <w:highlight w:val="none"/>
          <w:lang w:val="en-US" w:eastAsia="zh-CN"/>
        </w:rPr>
        <w:t>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约</w:t>
      </w:r>
      <w:r>
        <w:rPr>
          <w:rFonts w:hint="eastAsia" w:cs="Times New Roman"/>
          <w:color w:val="auto"/>
          <w:sz w:val="24"/>
          <w:szCs w:val="24"/>
          <w:highlight w:val="none"/>
          <w:lang w:val="en-US" w:eastAsia="zh-CN"/>
        </w:rPr>
        <w:t>1250</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lang w:eastAsia="zh-CN"/>
        </w:rPr>
        <w:t>则年产</w:t>
      </w:r>
      <w:r>
        <w:rPr>
          <w:rFonts w:hint="eastAsia" w:cs="Times New Roman"/>
          <w:color w:val="auto"/>
          <w:sz w:val="24"/>
          <w:szCs w:val="24"/>
          <w:highlight w:val="none"/>
          <w:lang w:val="en-US" w:eastAsia="zh-CN"/>
        </w:rPr>
        <w:t>50</w:t>
      </w:r>
      <w:r>
        <w:rPr>
          <w:rFonts w:hint="default" w:ascii="Times New Roman" w:hAnsi="Times New Roman" w:cs="Times New Roman"/>
          <w:color w:val="auto"/>
          <w:sz w:val="24"/>
          <w:szCs w:val="24"/>
          <w:highlight w:val="none"/>
          <w:lang w:eastAsia="zh-CN"/>
        </w:rPr>
        <w:t>万只塑料</w:t>
      </w:r>
      <w:r>
        <w:rPr>
          <w:rFonts w:hint="eastAsia" w:cs="Times New Roman"/>
          <w:color w:val="auto"/>
          <w:sz w:val="24"/>
          <w:szCs w:val="24"/>
          <w:highlight w:val="none"/>
          <w:lang w:eastAsia="zh-CN"/>
        </w:rPr>
        <w:t>框</w:t>
      </w:r>
      <w:r>
        <w:rPr>
          <w:rFonts w:hint="default" w:ascii="Times New Roman" w:hAnsi="Times New Roman" w:cs="Times New Roman"/>
          <w:color w:val="auto"/>
          <w:sz w:val="24"/>
          <w:szCs w:val="24"/>
          <w:highlight w:val="none"/>
          <w:lang w:eastAsia="zh-CN"/>
        </w:rPr>
        <w:t>的冷却水使用量为</w:t>
      </w:r>
      <w:r>
        <w:rPr>
          <w:rFonts w:hint="eastAsia" w:cs="Times New Roman"/>
          <w:color w:val="auto"/>
          <w:sz w:val="24"/>
          <w:szCs w:val="24"/>
          <w:highlight w:val="none"/>
          <w:lang w:val="en-US" w:eastAsia="zh-CN"/>
        </w:rPr>
        <w:t>10000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33.33</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w:t>
      </w:r>
      <w:r>
        <w:rPr>
          <w:rFonts w:hint="eastAsia" w:ascii="Times New Roman" w:hAnsi="Times New Roman" w:cs="Times New Roman"/>
          <w:color w:val="auto"/>
          <w:sz w:val="24"/>
          <w:szCs w:val="24"/>
          <w:highlight w:val="none"/>
          <w:lang w:val="en-US" w:eastAsia="zh-CN"/>
        </w:rPr>
        <w:t>4.1</w:t>
      </w:r>
      <w:r>
        <w:rPr>
          <w:rFonts w:hint="eastAsia" w:cs="Times New Roman"/>
          <w:color w:val="auto"/>
          <w:sz w:val="24"/>
          <w:szCs w:val="24"/>
          <w:highlight w:val="none"/>
          <w:lang w:val="en-US" w:eastAsia="zh-CN"/>
        </w:rPr>
        <w:t>67</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冷却过程中由于系统损耗（蒸发损耗），需要补充新鲜水。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冷却过程中由于系统损耗（蒸发损耗）补水量</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lang w:eastAsia="zh-CN"/>
        </w:rPr>
        <w:t>《工业循环冷却水处理设计规范》（GB50050-20</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7）</w:t>
      </w:r>
      <w:r>
        <w:rPr>
          <w:rFonts w:hint="eastAsia" w:cs="Times New Roman"/>
          <w:color w:val="auto"/>
          <w:sz w:val="24"/>
          <w:szCs w:val="24"/>
          <w:highlight w:val="none"/>
          <w:lang w:val="en-US" w:eastAsia="zh-CN"/>
        </w:rPr>
        <w:t>进行计算，补水量计算公式如下：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Cambria Math" w:cs="Times New Roman"/>
          <w:i w:val="0"/>
          <w:color w:val="auto"/>
          <w:sz w:val="24"/>
          <w:szCs w:val="24"/>
          <w:highlight w:val="none"/>
          <w:lang w:val="en-US" w:eastAsia="zh-CN"/>
        </w:rPr>
      </w:pPr>
      <m:oMathPara>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Q</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m</m:t>
              </m:r>
              <m:ctrlPr>
                <w:rPr>
                  <w:rFonts w:ascii="Cambria Math" w:hAnsi="Cambria Math" w:cs="Times New Roman"/>
                  <w:i/>
                  <w:color w:val="auto"/>
                  <w:sz w:val="24"/>
                  <w:szCs w:val="24"/>
                  <w:highlight w:val="none"/>
                </w:rPr>
              </m:ctrlPr>
            </m:sub>
          </m:sSub>
          <m:r>
            <m:rPr/>
            <w:rPr>
              <w:rFonts w:hint="eastAsia" w:ascii="Cambria Math" w:hAnsi="Cambria Math" w:cs="Times New Roman"/>
              <w:color w:val="auto"/>
              <w:sz w:val="24"/>
              <w:szCs w:val="24"/>
              <w:highlight w:val="none"/>
              <w:lang w:val="en-US" w:eastAsia="zh-CN"/>
            </w:rPr>
            <m:t>=</m:t>
          </m:r>
          <m:f>
            <m:fPr>
              <m:ctrlPr>
                <w:rPr>
                  <w:rFonts w:hint="eastAsia" w:ascii="Cambria Math" w:hAnsi="Cambria Math" w:cs="Times New Roman"/>
                  <w:i/>
                  <w:color w:val="auto"/>
                  <w:sz w:val="24"/>
                  <w:szCs w:val="24"/>
                  <w:highlight w:val="none"/>
                  <w:lang w:val="en-US" w:eastAsia="zh-CN"/>
                </w:rPr>
              </m:ctrlPr>
            </m:fPr>
            <m:num>
              <m:sSub>
                <m:sSubPr>
                  <m:ctrlPr>
                    <w:rPr>
                      <w:rFonts w:hint="eastAsia" w:ascii="Cambria Math" w:hAnsi="Cambria Math" w:cs="Times New Roman"/>
                      <w:i/>
                      <w:color w:val="auto"/>
                      <w:sz w:val="24"/>
                      <w:szCs w:val="24"/>
                      <w:highlight w:val="none"/>
                      <w:lang w:val="en-US" w:eastAsia="zh-CN"/>
                    </w:rPr>
                  </m:ctrlPr>
                </m:sSubPr>
                <m:e>
                  <m:r>
                    <m:rPr/>
                    <w:rPr>
                      <w:rFonts w:hint="default" w:ascii="Cambria Math" w:hAnsi="Cambria Math" w:cs="Times New Roman"/>
                      <w:color w:val="auto"/>
                      <w:sz w:val="24"/>
                      <w:szCs w:val="24"/>
                      <w:highlight w:val="none"/>
                      <w:lang w:val="en-US" w:eastAsia="zh-CN"/>
                    </w:rPr>
                    <m:t>Q</m:t>
                  </m:r>
                  <m:ctrlPr>
                    <w:rPr>
                      <w:rFonts w:hint="eastAsia" w:ascii="Cambria Math" w:hAnsi="Cambria Math" w:cs="Times New Roman"/>
                      <w:i/>
                      <w:color w:val="auto"/>
                      <w:sz w:val="24"/>
                      <w:szCs w:val="24"/>
                      <w:highlight w:val="none"/>
                      <w:lang w:val="en-US" w:eastAsia="zh-CN"/>
                    </w:rPr>
                  </m:ctrlPr>
                </m:e>
                <m:sub>
                  <m:r>
                    <m:rPr/>
                    <w:rPr>
                      <w:rFonts w:hint="default" w:ascii="Cambria Math" w:hAnsi="Cambria Math" w:cs="Times New Roman"/>
                      <w:color w:val="auto"/>
                      <w:sz w:val="24"/>
                      <w:szCs w:val="24"/>
                      <w:highlight w:val="none"/>
                      <w:lang w:val="en-US" w:eastAsia="zh-CN"/>
                    </w:rPr>
                    <m:t>e</m:t>
                  </m:r>
                  <m:ctrlPr>
                    <w:rPr>
                      <w:rFonts w:hint="eastAsia" w:ascii="Cambria Math" w:hAnsi="Cambria Math" w:cs="Times New Roman"/>
                      <w:i/>
                      <w:color w:val="auto"/>
                      <w:sz w:val="24"/>
                      <w:szCs w:val="24"/>
                      <w:highlight w:val="none"/>
                      <w:lang w:val="en-US" w:eastAsia="zh-CN"/>
                    </w:rPr>
                  </m:ctrlPr>
                </m:sub>
              </m:sSub>
              <m:r>
                <m:rPr/>
                <w:rPr>
                  <w:rFonts w:ascii="Cambria Math" w:hAnsi="Cambria Math" w:cs="Times New Roman"/>
                  <w:color w:val="auto"/>
                  <w:sz w:val="24"/>
                  <w:szCs w:val="24"/>
                  <w:highlight w:val="none"/>
                  <w:lang w:val="en-US"/>
                </w:rPr>
                <m:t>∙</m:t>
              </m:r>
              <m:r>
                <m:rPr/>
                <w:rPr>
                  <w:rFonts w:hint="default" w:ascii="Cambria Math" w:hAnsi="Cambria Math" w:cs="Times New Roman"/>
                  <w:color w:val="auto"/>
                  <w:sz w:val="24"/>
                  <w:szCs w:val="24"/>
                  <w:highlight w:val="none"/>
                  <w:lang w:val="en-US" w:eastAsia="zh-CN"/>
                </w:rPr>
                <m:t>N</m:t>
              </m:r>
              <m:ctrlPr>
                <w:rPr>
                  <w:rFonts w:hint="eastAsia" w:ascii="Cambria Math" w:hAnsi="Cambria Math" w:cs="Times New Roman"/>
                  <w:i/>
                  <w:color w:val="auto"/>
                  <w:sz w:val="24"/>
                  <w:szCs w:val="24"/>
                  <w:highlight w:val="none"/>
                  <w:lang w:val="en-US" w:eastAsia="zh-CN"/>
                </w:rPr>
              </m:ctrlPr>
            </m:num>
            <m:den>
              <m:r>
                <m:rPr/>
                <w:rPr>
                  <w:rFonts w:hint="default" w:ascii="Cambria Math" w:hAnsi="Cambria Math" w:cs="Times New Roman"/>
                  <w:color w:val="auto"/>
                  <w:sz w:val="24"/>
                  <w:szCs w:val="24"/>
                  <w:highlight w:val="none"/>
                  <w:lang w:val="en-US" w:eastAsia="zh-CN"/>
                </w:rPr>
                <m:t>N−1</m:t>
              </m:r>
              <m:ctrlPr>
                <w:rPr>
                  <w:rFonts w:hint="eastAsia" w:ascii="Cambria Math" w:hAnsi="Cambria Math" w:cs="Times New Roman"/>
                  <w:i/>
                  <w:color w:val="auto"/>
                  <w:sz w:val="24"/>
                  <w:szCs w:val="24"/>
                  <w:highlight w:val="none"/>
                  <w:lang w:val="en-US" w:eastAsia="zh-CN"/>
                </w:rPr>
              </m:ctrlPr>
            </m:den>
          </m:f>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Cambria Math" w:cs="Times New Roman"/>
          <w:i w:val="0"/>
          <w:color w:val="auto"/>
          <w:sz w:val="24"/>
          <w:szCs w:val="24"/>
          <w:highlight w:val="none"/>
          <w:lang w:val="en-US"/>
        </w:rPr>
      </w:pPr>
      <m:oMathPara>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Q</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e</m:t>
              </m:r>
              <m:ctrlPr>
                <w:rPr>
                  <w:rFonts w:ascii="Cambria Math" w:hAnsi="Cambria Math" w:cs="Times New Roman"/>
                  <w:i/>
                  <w:color w:val="auto"/>
                  <w:sz w:val="24"/>
                  <w:szCs w:val="24"/>
                  <w:highlight w:val="none"/>
                </w:rPr>
              </m:ctrlPr>
            </m:sub>
          </m:sSub>
          <m:r>
            <m:rPr/>
            <w:rPr>
              <w:rFonts w:hint="eastAsia" w:ascii="Cambria Math" w:hAnsi="Cambria Math" w:cs="Times New Roman"/>
              <w:color w:val="auto"/>
              <w:sz w:val="24"/>
              <w:szCs w:val="24"/>
              <w:highlight w:val="none"/>
              <w:lang w:val="en-US" w:eastAsia="zh-CN"/>
            </w:rPr>
            <m:t>=</m:t>
          </m:r>
          <m:r>
            <m:rPr/>
            <w:rPr>
              <w:rFonts w:hint="default" w:ascii="Cambria Math" w:hAnsi="Cambria Math" w:cs="Times New Roman"/>
              <w:color w:val="auto"/>
              <w:sz w:val="24"/>
              <w:szCs w:val="24"/>
              <w:highlight w:val="none"/>
              <w:lang w:val="en-US" w:eastAsia="zh-CN"/>
            </w:rPr>
            <m:t>k</m:t>
          </m:r>
          <m:r>
            <m:rPr/>
            <w:rPr>
              <w:rFonts w:ascii="Cambria Math" w:hAnsi="Cambria Math" w:cs="Times New Roman"/>
              <w:color w:val="auto"/>
              <w:sz w:val="24"/>
              <w:szCs w:val="24"/>
              <w:highlight w:val="none"/>
              <w:lang w:val="en-US"/>
            </w:rPr>
            <m:t>∙∆</m:t>
          </m:r>
          <m:r>
            <m:rPr/>
            <w:rPr>
              <w:rFonts w:hint="default" w:ascii="Cambria Math" w:hAnsi="Cambria Math" w:cs="Times New Roman"/>
              <w:color w:val="auto"/>
              <w:sz w:val="24"/>
              <w:szCs w:val="24"/>
              <w:highlight w:val="none"/>
              <w:lang w:val="en-US" w:eastAsia="zh-CN"/>
            </w:rPr>
            <m:t>t</m:t>
          </m:r>
          <m:r>
            <m:rPr/>
            <w:rPr>
              <w:rFonts w:ascii="Cambria Math" w:hAnsi="Cambria Math" w:cs="Times New Roman"/>
              <w:color w:val="auto"/>
              <w:sz w:val="24"/>
              <w:szCs w:val="24"/>
              <w:highlight w:val="none"/>
              <w:lang w:val="en-US"/>
            </w:rPr>
            <m:t>∙</m:t>
          </m:r>
          <m:sSub>
            <m:sSubPr>
              <m:ctrlPr>
                <w:rPr>
                  <w:rFonts w:ascii="Cambria Math" w:hAnsi="Cambria Math" w:cs="Times New Roman"/>
                  <w:i/>
                  <w:color w:val="auto"/>
                  <w:sz w:val="24"/>
                  <w:szCs w:val="24"/>
                  <w:highlight w:val="none"/>
                  <w:lang w:val="en-US"/>
                </w:rPr>
              </m:ctrlPr>
            </m:sSubPr>
            <m:e>
              <m:r>
                <m:rPr/>
                <w:rPr>
                  <w:rFonts w:hint="default" w:ascii="Cambria Math" w:hAnsi="Cambria Math" w:cs="Times New Roman"/>
                  <w:color w:val="auto"/>
                  <w:sz w:val="24"/>
                  <w:szCs w:val="24"/>
                  <w:highlight w:val="none"/>
                  <w:lang w:val="en-US" w:eastAsia="zh-CN"/>
                </w:rPr>
                <m:t>Q</m:t>
              </m:r>
              <m:ctrlPr>
                <w:rPr>
                  <w:rFonts w:ascii="Cambria Math" w:hAnsi="Cambria Math" w:cs="Times New Roman"/>
                  <w:i/>
                  <w:color w:val="auto"/>
                  <w:sz w:val="24"/>
                  <w:szCs w:val="24"/>
                  <w:highlight w:val="none"/>
                  <w:lang w:val="en-US"/>
                </w:rPr>
              </m:ctrlPr>
            </m:e>
            <m:sub>
              <m:r>
                <m:rPr/>
                <w:rPr>
                  <w:rFonts w:hint="default" w:ascii="Cambria Math" w:hAnsi="Cambria Math" w:cs="Times New Roman"/>
                  <w:color w:val="auto"/>
                  <w:sz w:val="24"/>
                  <w:szCs w:val="24"/>
                  <w:highlight w:val="none"/>
                  <w:lang w:val="en-US" w:eastAsia="zh-CN"/>
                </w:rPr>
                <m:t>r</m:t>
              </m:r>
              <m:ctrlPr>
                <w:rPr>
                  <w:rFonts w:ascii="Cambria Math" w:hAnsi="Cambria Math" w:cs="Times New Roman"/>
                  <w:i/>
                  <w:color w:val="auto"/>
                  <w:sz w:val="24"/>
                  <w:szCs w:val="24"/>
                  <w:highlight w:val="none"/>
                  <w:lang w:val="en-US"/>
                </w:rPr>
              </m:ctrlPr>
            </m:sub>
          </m:sSub>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式中：Q</w:t>
      </w:r>
      <w:r>
        <w:rPr>
          <w:rFonts w:hint="eastAsia" w:cs="Times New Roman"/>
          <w:color w:val="auto"/>
          <w:sz w:val="24"/>
          <w:szCs w:val="24"/>
          <w:highlight w:val="none"/>
          <w:vertAlign w:val="subscript"/>
          <w:lang w:val="en-US" w:eastAsia="zh-CN"/>
        </w:rPr>
        <w:t>e</w:t>
      </w:r>
      <w:r>
        <w:rPr>
          <w:rFonts w:hint="eastAsia" w:cs="Times New Roman"/>
          <w:color w:val="auto"/>
          <w:sz w:val="24"/>
          <w:szCs w:val="24"/>
          <w:highlight w:val="none"/>
          <w:lang w:val="en-US" w:eastAsia="zh-CN"/>
        </w:rPr>
        <w:t>—蒸发水量（m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color w:val="auto"/>
          <w:highlight w:val="none"/>
          <w:lang w:val="en-US" w:eastAsia="zh-CN"/>
        </w:rPr>
      </w:pPr>
      <w:r>
        <w:rPr>
          <w:rFonts w:hint="eastAsia" w:cs="Times New Roman"/>
          <w:color w:val="auto"/>
          <w:sz w:val="24"/>
          <w:szCs w:val="24"/>
          <w:highlight w:val="none"/>
          <w:lang w:val="en-US" w:eastAsia="zh-CN"/>
        </w:rPr>
        <w:t>Q</w:t>
      </w:r>
      <w:r>
        <w:rPr>
          <w:rFonts w:hint="eastAsia" w:cs="Times New Roman"/>
          <w:color w:val="auto"/>
          <w:sz w:val="24"/>
          <w:szCs w:val="24"/>
          <w:highlight w:val="none"/>
          <w:vertAlign w:val="subscript"/>
          <w:lang w:val="en-US" w:eastAsia="zh-CN"/>
        </w:rPr>
        <w:t>r</w:t>
      </w:r>
      <w:r>
        <w:rPr>
          <w:rFonts w:hint="eastAsia" w:cs="Times New Roman"/>
          <w:color w:val="auto"/>
          <w:sz w:val="24"/>
          <w:szCs w:val="24"/>
          <w:highlight w:val="none"/>
          <w:lang w:val="en-US" w:eastAsia="zh-CN"/>
        </w:rPr>
        <w:t>—循环冷却水量（m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/h）；由上计算可知循环水量为4.17m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Q</w:t>
      </w:r>
      <w:r>
        <w:rPr>
          <w:rFonts w:hint="eastAsia" w:ascii="Times New Roman" w:hAnsi="Times New Roman" w:eastAsia="宋体" w:cs="Times New Roman"/>
          <w:color w:val="auto"/>
          <w:sz w:val="24"/>
          <w:szCs w:val="24"/>
          <w:highlight w:val="none"/>
          <w:vertAlign w:val="subscript"/>
          <w:lang w:val="en-US" w:eastAsia="zh-CN"/>
        </w:rPr>
        <w:t>m</w:t>
      </w:r>
      <w:r>
        <w:rPr>
          <w:rFonts w:hint="eastAsia" w:ascii="Times New Roman" w:hAnsi="Times New Roman" w:eastAsia="宋体" w:cs="Times New Roman"/>
          <w:color w:val="auto"/>
          <w:sz w:val="24"/>
          <w:szCs w:val="24"/>
          <w:highlight w:val="none"/>
          <w:lang w:val="en-US" w:eastAsia="zh-CN"/>
        </w:rPr>
        <w:t>—补充水量（m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Δ</w:t>
      </w:r>
      <w:r>
        <w:rPr>
          <w:rFonts w:hint="eastAsia" w:ascii="Times New Roman" w:hAnsi="Times New Roman" w:eastAsia="宋体" w:cs="Times New Roman"/>
          <w:color w:val="auto"/>
          <w:sz w:val="24"/>
          <w:szCs w:val="24"/>
          <w:highlight w:val="none"/>
          <w:lang w:val="en-US" w:eastAsia="zh-CN"/>
        </w:rPr>
        <w:t>t—循环冷却水进、出冷却塔温差（℃）；本项目取40℃（进水温度为20℃，出水温度60℃）；</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k—蒸发损失系数（1/℃），大气温度为25℃时，k取0.0015；</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N—浓缩倍数，间冷开始系统的设计浓缩倍数不宜小于5.0，且不应小于3.0；本项目取5.0；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根据计算，本项目塑料框生产车间蒸发水量Q</w:t>
      </w:r>
      <w:r>
        <w:rPr>
          <w:rFonts w:hint="eastAsia" w:cs="Times New Roman"/>
          <w:color w:val="auto"/>
          <w:sz w:val="24"/>
          <w:szCs w:val="24"/>
          <w:highlight w:val="none"/>
          <w:vertAlign w:val="subscript"/>
          <w:lang w:val="en-US" w:eastAsia="zh-CN"/>
        </w:rPr>
        <w:t>e</w:t>
      </w:r>
      <w:r>
        <w:rPr>
          <w:rFonts w:hint="eastAsia" w:cs="Times New Roman"/>
          <w:color w:val="auto"/>
          <w:sz w:val="24"/>
          <w:szCs w:val="24"/>
          <w:highlight w:val="none"/>
          <w:lang w:val="en-US" w:eastAsia="zh-CN"/>
        </w:rPr>
        <w:t>为0.25m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/h，补充水量Q</w:t>
      </w:r>
      <w:r>
        <w:rPr>
          <w:rFonts w:hint="eastAsia" w:cs="Times New Roman"/>
          <w:color w:val="auto"/>
          <w:sz w:val="24"/>
          <w:szCs w:val="24"/>
          <w:highlight w:val="none"/>
          <w:vertAlign w:val="subscript"/>
          <w:lang w:val="en-US" w:eastAsia="zh-CN"/>
        </w:rPr>
        <w:t>m</w:t>
      </w:r>
      <w:r>
        <w:rPr>
          <w:rFonts w:hint="eastAsia" w:cs="Times New Roman"/>
          <w:color w:val="auto"/>
          <w:sz w:val="24"/>
          <w:szCs w:val="24"/>
          <w:highlight w:val="none"/>
          <w:lang w:val="en-US" w:eastAsia="zh-CN"/>
        </w:rPr>
        <w:t>为0.3125m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/h，项目每天生产8小时，每年生产300天，则每天补充水量为2.5m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/d，每年补充水量为750m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/a。补充水量全部来源于新鲜水。</w:t>
      </w:r>
    </w:p>
    <w:p>
      <w:pPr>
        <w:pStyle w:val="510"/>
        <w:ind w:firstLine="480"/>
        <w:rPr>
          <w:color w:val="auto"/>
          <w:sz w:val="24"/>
          <w:highlight w:val="none"/>
        </w:rPr>
      </w:pPr>
      <w:r>
        <w:rPr>
          <w:rFonts w:hint="default" w:ascii="Times New Roman" w:hAnsi="Times New Roman" w:cs="Times New Roman"/>
          <w:color w:val="auto"/>
          <w:sz w:val="24"/>
          <w:highlight w:val="none"/>
        </w:rPr>
        <w:t>（2）车间地面</w:t>
      </w:r>
      <w:r>
        <w:rPr>
          <w:color w:val="auto"/>
          <w:sz w:val="24"/>
          <w:highlight w:val="none"/>
        </w:rPr>
        <w:t>清洗用水</w:t>
      </w:r>
    </w:p>
    <w:p>
      <w:pPr>
        <w:spacing w:line="360" w:lineRule="auto"/>
        <w:ind w:firstLine="480" w:firstLineChars="200"/>
        <w:rPr>
          <w:color w:val="auto"/>
          <w:sz w:val="24"/>
          <w:highlight w:val="none"/>
        </w:rPr>
      </w:pPr>
      <w:r>
        <w:rPr>
          <w:color w:val="auto"/>
          <w:sz w:val="24"/>
          <w:highlight w:val="none"/>
        </w:rPr>
        <w:t>生产车间占地面积约</w:t>
      </w:r>
      <w:r>
        <w:rPr>
          <w:rFonts w:hint="eastAsia"/>
          <w:color w:val="auto"/>
          <w:sz w:val="24"/>
          <w:highlight w:val="none"/>
          <w:lang w:val="en-US" w:eastAsia="zh-CN"/>
        </w:rPr>
        <w:t>500</w:t>
      </w:r>
      <w:r>
        <w:rPr>
          <w:color w:val="auto"/>
          <w:sz w:val="24"/>
          <w:highlight w:val="none"/>
        </w:rPr>
        <w:t>m</w:t>
      </w:r>
      <w:r>
        <w:rPr>
          <w:color w:val="auto"/>
          <w:sz w:val="24"/>
          <w:highlight w:val="none"/>
          <w:vertAlign w:val="superscript"/>
        </w:rPr>
        <w:t>2</w:t>
      </w:r>
      <w:r>
        <w:rPr>
          <w:color w:val="auto"/>
          <w:sz w:val="24"/>
          <w:highlight w:val="none"/>
        </w:rPr>
        <w:t>，车间地面清洗用水量按2L/m</w:t>
      </w:r>
      <w:r>
        <w:rPr>
          <w:color w:val="auto"/>
          <w:sz w:val="24"/>
          <w:highlight w:val="none"/>
          <w:vertAlign w:val="superscript"/>
        </w:rPr>
        <w:t>2</w:t>
      </w:r>
      <w:r>
        <w:rPr>
          <w:color w:val="auto"/>
          <w:sz w:val="24"/>
          <w:highlight w:val="none"/>
        </w:rPr>
        <w:t>.次，每5天清洗一次，则用水量为</w:t>
      </w:r>
      <w:r>
        <w:rPr>
          <w:rFonts w:hint="eastAsia"/>
          <w:color w:val="auto"/>
          <w:sz w:val="24"/>
          <w:highlight w:val="none"/>
          <w:lang w:val="en-US" w:eastAsia="zh-CN"/>
        </w:rPr>
        <w:t>1</w:t>
      </w:r>
      <w:r>
        <w:rPr>
          <w:color w:val="auto"/>
          <w:sz w:val="24"/>
          <w:highlight w:val="none"/>
        </w:rPr>
        <w:t>m</w:t>
      </w:r>
      <w:r>
        <w:rPr>
          <w:color w:val="auto"/>
          <w:sz w:val="24"/>
          <w:highlight w:val="none"/>
          <w:vertAlign w:val="superscript"/>
        </w:rPr>
        <w:t>3</w:t>
      </w:r>
      <w:r>
        <w:rPr>
          <w:color w:val="auto"/>
          <w:sz w:val="24"/>
          <w:highlight w:val="none"/>
        </w:rPr>
        <w:t>/次、0.2m</w:t>
      </w:r>
      <w:r>
        <w:rPr>
          <w:color w:val="auto"/>
          <w:sz w:val="24"/>
          <w:highlight w:val="none"/>
          <w:vertAlign w:val="superscript"/>
        </w:rPr>
        <w:t>3</w:t>
      </w:r>
      <w:r>
        <w:rPr>
          <w:color w:val="auto"/>
          <w:sz w:val="24"/>
          <w:highlight w:val="none"/>
        </w:rPr>
        <w:t>/d，每年清洗60次，则车间地面清洗用水总用水量为</w:t>
      </w:r>
      <w:r>
        <w:rPr>
          <w:rFonts w:hint="eastAsia"/>
          <w:color w:val="auto"/>
          <w:sz w:val="24"/>
          <w:highlight w:val="none"/>
          <w:lang w:val="en-US" w:eastAsia="zh-CN"/>
        </w:rPr>
        <w:t>60</w:t>
      </w:r>
      <w:r>
        <w:rPr>
          <w:color w:val="auto"/>
          <w:sz w:val="24"/>
          <w:highlight w:val="none"/>
        </w:rPr>
        <w:t>m</w:t>
      </w:r>
      <w:r>
        <w:rPr>
          <w:color w:val="auto"/>
          <w:sz w:val="24"/>
          <w:highlight w:val="none"/>
          <w:vertAlign w:val="superscript"/>
        </w:rPr>
        <w:t>3</w:t>
      </w:r>
      <w:r>
        <w:rPr>
          <w:color w:val="auto"/>
          <w:sz w:val="24"/>
          <w:highlight w:val="none"/>
        </w:rPr>
        <w:t>/a，采用新鲜水。</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）生活用水</w:t>
      </w:r>
    </w:p>
    <w:p>
      <w:pPr>
        <w:spacing w:line="360" w:lineRule="auto"/>
        <w:ind w:firstLine="480" w:firstLineChars="200"/>
        <w:rPr>
          <w:rFonts w:hint="default" w:ascii="Times New Roman" w:hAnsi="Times New Roman" w:cs="Times New Roman"/>
          <w:color w:val="auto"/>
          <w:sz w:val="24"/>
          <w:highlight w:val="none"/>
        </w:rPr>
      </w:pPr>
      <w:r>
        <w:rPr>
          <w:color w:val="auto"/>
          <w:sz w:val="24"/>
          <w:highlight w:val="none"/>
        </w:rPr>
        <w:t>项目劳动定员</w:t>
      </w:r>
      <w:r>
        <w:rPr>
          <w:rFonts w:hint="eastAsia"/>
          <w:color w:val="auto"/>
          <w:sz w:val="24"/>
          <w:highlight w:val="none"/>
          <w:lang w:val="en-US" w:eastAsia="zh-CN"/>
        </w:rPr>
        <w:t>6</w:t>
      </w:r>
      <w:r>
        <w:rPr>
          <w:color w:val="auto"/>
          <w:sz w:val="24"/>
          <w:highlight w:val="none"/>
        </w:rPr>
        <w:t>人，厂房内不设职工宿舍和食堂，</w:t>
      </w:r>
      <w:r>
        <w:rPr>
          <w:rFonts w:hint="eastAsia"/>
          <w:color w:val="auto"/>
          <w:sz w:val="24"/>
          <w:highlight w:val="none"/>
          <w:lang w:val="en-US" w:eastAsia="zh-CN"/>
        </w:rPr>
        <w:t>员工均不在厂内食宿</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生活用水仅为员工办公用水（办公洗手用水）</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本项目职工生活用水</w:t>
      </w:r>
      <w:r>
        <w:rPr>
          <w:rFonts w:hint="default" w:ascii="Times New Roman" w:hAnsi="Times New Roman" w:cs="Times New Roman"/>
          <w:color w:val="auto"/>
          <w:sz w:val="24"/>
          <w:highlight w:val="none"/>
        </w:rPr>
        <w:t>根据《云南地方标准 用水定额》（DB53/T168-2019）城镇公共服务用水定额办公写字楼</w:t>
      </w:r>
      <w:r>
        <w:rPr>
          <w:rFonts w:hint="default" w:ascii="Times New Roman" w:hAnsi="Times New Roman" w:cs="Times New Roman"/>
          <w:color w:val="auto"/>
          <w:sz w:val="24"/>
          <w:highlight w:val="none"/>
          <w:lang w:val="en-US" w:eastAsia="zh-CN"/>
        </w:rPr>
        <w:t>计</w:t>
      </w:r>
      <w:r>
        <w:rPr>
          <w:rFonts w:hint="default" w:ascii="Times New Roman" w:hAnsi="Times New Roman" w:cs="Times New Roman"/>
          <w:color w:val="auto"/>
          <w:sz w:val="24"/>
          <w:highlight w:val="none"/>
        </w:rPr>
        <w:t>，管理人员</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技术人员、</w:t>
      </w:r>
      <w:r>
        <w:rPr>
          <w:rFonts w:hint="default" w:ascii="Times New Roman" w:hAnsi="Times New Roman" w:cs="Times New Roman"/>
          <w:color w:val="auto"/>
          <w:sz w:val="24"/>
          <w:highlight w:val="none"/>
        </w:rPr>
        <w:t>工作人员用水量按40L/（人·d），则生活用水量约为</w:t>
      </w:r>
      <w:r>
        <w:rPr>
          <w:rFonts w:hint="eastAsia" w:cs="Times New Roman"/>
          <w:color w:val="auto"/>
          <w:sz w:val="24"/>
          <w:highlight w:val="none"/>
          <w:lang w:val="en-US" w:eastAsia="zh-CN"/>
        </w:rPr>
        <w:t>0.24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72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p>
    <w:p>
      <w:pPr>
        <w:spacing w:line="360" w:lineRule="auto"/>
        <w:ind w:firstLine="480" w:firstLineChars="200"/>
        <w:rPr>
          <w:rFonts w:hint="default" w:eastAsia="宋体"/>
          <w:color w:val="auto"/>
          <w:sz w:val="24"/>
          <w:highlight w:val="none"/>
          <w:lang w:val="en-US" w:eastAsia="zh-CN"/>
        </w:rPr>
      </w:pPr>
      <w:r>
        <w:rPr>
          <w:color w:val="auto"/>
          <w:sz w:val="24"/>
          <w:highlight w:val="none"/>
        </w:rPr>
        <w:t>（</w:t>
      </w:r>
      <w:r>
        <w:rPr>
          <w:rFonts w:hint="eastAsia"/>
          <w:color w:val="auto"/>
          <w:sz w:val="24"/>
          <w:highlight w:val="none"/>
          <w:lang w:val="en-US" w:eastAsia="zh-CN"/>
        </w:rPr>
        <w:t>4</w:t>
      </w:r>
      <w:r>
        <w:rPr>
          <w:color w:val="auto"/>
          <w:sz w:val="24"/>
          <w:highlight w:val="none"/>
        </w:rPr>
        <w:t>）</w:t>
      </w:r>
      <w:r>
        <w:rPr>
          <w:rFonts w:hint="eastAsia"/>
          <w:color w:val="auto"/>
          <w:sz w:val="24"/>
          <w:highlight w:val="none"/>
          <w:lang w:val="en-US" w:eastAsia="zh-CN"/>
        </w:rPr>
        <w:t>绿化用水</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项目绿化面积约为</w:t>
      </w:r>
      <w:r>
        <w:rPr>
          <w:rFonts w:hint="eastAsia" w:cs="Times New Roman"/>
          <w:bCs/>
          <w:color w:val="auto"/>
          <w:sz w:val="24"/>
          <w:highlight w:val="none"/>
          <w:lang w:val="en-US" w:eastAsia="zh-CN"/>
        </w:rPr>
        <w:t>180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，根据《云南省地方标准—用水定额》（DB53/T168-2019）标准城镇公共服务用水定额园林绿化可知，绿化用水量按3L/m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次</w:t>
      </w:r>
      <w:r>
        <w:rPr>
          <w:rFonts w:hint="default" w:ascii="Times New Roman" w:hAnsi="Times New Roman" w:cs="Times New Roman"/>
          <w:bCs/>
          <w:color w:val="auto"/>
          <w:sz w:val="24"/>
          <w:highlight w:val="none"/>
        </w:rPr>
        <w:t>计。</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根据寻甸县多年气象资料，寻甸县非雨天按209天计，雨天按156天计，非雨天每天浇一次，雨天则不需要浇水，则项目非雨天绿化用水量为</w:t>
      </w:r>
      <w:r>
        <w:rPr>
          <w:rFonts w:hint="eastAsia" w:cs="Times New Roman"/>
          <w:bCs/>
          <w:color w:val="auto"/>
          <w:sz w:val="24"/>
          <w:highlight w:val="none"/>
          <w:lang w:val="en-US" w:eastAsia="zh-CN"/>
        </w:rPr>
        <w:t>0.54</w:t>
      </w:r>
      <w:r>
        <w:rPr>
          <w:rFonts w:hint="default" w:ascii="Times New Roman" w:hAnsi="Times New Roman" w:cs="Times New Roman"/>
          <w:bCs/>
          <w:color w:val="auto"/>
          <w:sz w:val="24"/>
          <w:highlight w:val="none"/>
        </w:rPr>
        <w:t>m³/d，</w:t>
      </w:r>
      <w:r>
        <w:rPr>
          <w:rFonts w:hint="eastAsia" w:cs="Times New Roman"/>
          <w:bCs/>
          <w:color w:val="auto"/>
          <w:sz w:val="24"/>
          <w:highlight w:val="none"/>
          <w:lang w:val="en-US" w:eastAsia="zh-CN"/>
        </w:rPr>
        <w:t>112.86</w:t>
      </w:r>
      <w:r>
        <w:rPr>
          <w:rFonts w:hint="default" w:ascii="Times New Roman" w:hAnsi="Times New Roman" w:cs="Times New Roman"/>
          <w:bCs/>
          <w:color w:val="auto"/>
          <w:sz w:val="24"/>
          <w:highlight w:val="none"/>
        </w:rPr>
        <w:t>m³/a。项目绿化用水全部自然蒸发，不外排。</w:t>
      </w:r>
    </w:p>
    <w:p>
      <w:pPr>
        <w:spacing w:line="360" w:lineRule="auto"/>
        <w:rPr>
          <w:b/>
          <w:color w:val="auto"/>
          <w:sz w:val="24"/>
          <w:highlight w:val="none"/>
        </w:rPr>
      </w:pPr>
      <w:r>
        <w:rPr>
          <w:b/>
          <w:color w:val="auto"/>
          <w:sz w:val="24"/>
          <w:highlight w:val="none"/>
        </w:rPr>
        <w:t>3.3.1.2排水</w:t>
      </w:r>
    </w:p>
    <w:p>
      <w:pPr>
        <w:tabs>
          <w:tab w:val="left" w:pos="6075"/>
        </w:tabs>
        <w:spacing w:line="360" w:lineRule="auto"/>
        <w:ind w:firstLine="480" w:firstLineChars="200"/>
        <w:rPr>
          <w:color w:val="auto"/>
          <w:sz w:val="24"/>
          <w:highlight w:val="none"/>
        </w:rPr>
      </w:pPr>
      <w:r>
        <w:rPr>
          <w:rFonts w:hint="eastAsia"/>
          <w:color w:val="auto"/>
          <w:sz w:val="24"/>
          <w:highlight w:val="none"/>
          <w:lang w:val="en-US" w:eastAsia="zh-CN"/>
        </w:rPr>
        <w:t>本项目实行雨污分流排水体制，雨水经厂区雨水沟收集后排进附近自然排水沟，项目运营期</w:t>
      </w:r>
      <w:r>
        <w:rPr>
          <w:color w:val="auto"/>
          <w:sz w:val="24"/>
          <w:highlight w:val="none"/>
        </w:rPr>
        <w:t>产生的废水主要为生产废水和生活污水。</w:t>
      </w:r>
    </w:p>
    <w:p>
      <w:pPr>
        <w:spacing w:line="360" w:lineRule="auto"/>
        <w:ind w:firstLine="480" w:firstLineChars="200"/>
        <w:rPr>
          <w:color w:val="auto"/>
          <w:sz w:val="24"/>
          <w:highlight w:val="none"/>
        </w:rPr>
      </w:pPr>
      <w:r>
        <w:rPr>
          <w:color w:val="auto"/>
          <w:sz w:val="24"/>
          <w:highlight w:val="none"/>
        </w:rPr>
        <w:t>生产废水包括</w:t>
      </w:r>
      <w:r>
        <w:rPr>
          <w:rFonts w:hint="eastAsia"/>
          <w:color w:val="auto"/>
          <w:sz w:val="24"/>
          <w:highlight w:val="none"/>
          <w:lang w:val="en-US" w:eastAsia="zh-CN"/>
        </w:rPr>
        <w:t>循环冷却水和</w:t>
      </w:r>
      <w:r>
        <w:rPr>
          <w:color w:val="auto"/>
          <w:sz w:val="24"/>
          <w:highlight w:val="none"/>
        </w:rPr>
        <w:t>车间地面清洗废水</w:t>
      </w:r>
      <w:r>
        <w:rPr>
          <w:rFonts w:hint="eastAsia"/>
          <w:color w:val="auto"/>
          <w:sz w:val="24"/>
          <w:highlight w:val="none"/>
          <w:lang w:eastAsia="zh-CN"/>
        </w:rPr>
        <w:t>；</w:t>
      </w:r>
      <w:r>
        <w:rPr>
          <w:rFonts w:hint="eastAsia"/>
          <w:color w:val="auto"/>
          <w:sz w:val="24"/>
          <w:highlight w:val="none"/>
          <w:lang w:val="en-US" w:eastAsia="zh-CN"/>
        </w:rPr>
        <w:t>生活污水仅为员工办公用水（员工办公洗手污水）</w:t>
      </w:r>
      <w:r>
        <w:rPr>
          <w:color w:val="auto"/>
          <w:sz w:val="24"/>
          <w:highlight w:val="none"/>
        </w:rPr>
        <w:t>。</w:t>
      </w:r>
    </w:p>
    <w:p>
      <w:pPr>
        <w:spacing w:line="360" w:lineRule="auto"/>
        <w:ind w:firstLine="540" w:firstLineChars="225"/>
        <w:rPr>
          <w:color w:val="auto"/>
          <w:sz w:val="24"/>
          <w:highlight w:val="none"/>
        </w:rPr>
      </w:pPr>
      <w:r>
        <w:rPr>
          <w:color w:val="auto"/>
          <w:sz w:val="24"/>
          <w:highlight w:val="none"/>
        </w:rPr>
        <w:t>（1）</w:t>
      </w:r>
      <w:r>
        <w:rPr>
          <w:rFonts w:hint="eastAsia"/>
          <w:color w:val="auto"/>
          <w:sz w:val="24"/>
          <w:highlight w:val="none"/>
          <w:lang w:val="en-US" w:eastAsia="zh-CN"/>
        </w:rPr>
        <w:t>循环冷却</w:t>
      </w:r>
      <w:r>
        <w:rPr>
          <w:color w:val="auto"/>
          <w:sz w:val="24"/>
          <w:highlight w:val="none"/>
        </w:rPr>
        <w:t>水</w:t>
      </w:r>
    </w:p>
    <w:p>
      <w:pPr>
        <w:spacing w:line="360" w:lineRule="auto"/>
        <w:ind w:firstLine="480" w:firstLineChars="200"/>
        <w:rPr>
          <w:rFonts w:hint="default" w:cs="Times New Roman"/>
          <w:color w:val="auto"/>
          <w:sz w:val="24"/>
          <w:highlight w:val="none"/>
          <w:lang w:val="en-US" w:eastAsia="zh-CN"/>
        </w:rPr>
      </w:pPr>
      <w:r>
        <w:rPr>
          <w:rFonts w:hint="default" w:ascii="Times New Roman" w:hAnsi="Times New Roman" w:cs="Times New Roman"/>
          <w:color w:val="auto"/>
          <w:sz w:val="24"/>
          <w:highlight w:val="none"/>
        </w:rPr>
        <w:t>本项目塑料</w:t>
      </w:r>
      <w:r>
        <w:rPr>
          <w:rFonts w:hint="eastAsia" w:cs="Times New Roman"/>
          <w:color w:val="auto"/>
          <w:sz w:val="24"/>
          <w:highlight w:val="none"/>
          <w:lang w:val="en-US" w:eastAsia="zh-CN"/>
        </w:rPr>
        <w:t>注塑</w:t>
      </w:r>
      <w:r>
        <w:rPr>
          <w:rFonts w:hint="default" w:ascii="Times New Roman" w:hAnsi="Times New Roman" w:cs="Times New Roman"/>
          <w:color w:val="auto"/>
          <w:sz w:val="24"/>
          <w:highlight w:val="none"/>
        </w:rPr>
        <w:t>成型后采用</w:t>
      </w:r>
      <w:r>
        <w:rPr>
          <w:rFonts w:hint="default" w:ascii="Times New Roman" w:hAnsi="Times New Roman" w:cs="Times New Roman"/>
          <w:color w:val="auto"/>
          <w:sz w:val="24"/>
          <w:highlight w:val="none"/>
          <w:lang w:val="en-US" w:eastAsia="zh-CN"/>
        </w:rPr>
        <w:t>间</w:t>
      </w:r>
      <w:r>
        <w:rPr>
          <w:rFonts w:hint="default" w:ascii="Times New Roman" w:hAnsi="Times New Roman" w:cs="Times New Roman"/>
          <w:color w:val="auto"/>
          <w:sz w:val="24"/>
          <w:highlight w:val="none"/>
        </w:rPr>
        <w:t>接冷却方式进行冷却，</w:t>
      </w:r>
      <w:r>
        <w:rPr>
          <w:rFonts w:hint="eastAsia" w:cs="Times New Roman"/>
          <w:color w:val="auto"/>
          <w:sz w:val="24"/>
          <w:highlight w:val="none"/>
          <w:lang w:val="en-US" w:eastAsia="zh-CN"/>
        </w:rPr>
        <w:t>冷却水通过冷却水池收冷却后全部循环使用不外排，定期补充蒸发损耗。经计算，冷却水循环使用量为3.854m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/h，30.83m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/d，9250m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rPr>
        <w:t>冷却水在冷却过程中的</w:t>
      </w:r>
      <w:r>
        <w:rPr>
          <w:rFonts w:hint="eastAsia" w:cs="Times New Roman"/>
          <w:color w:val="auto"/>
          <w:sz w:val="24"/>
          <w:highlight w:val="none"/>
          <w:lang w:val="en-US" w:eastAsia="zh-CN"/>
        </w:rPr>
        <w:t>补充水量为0.3125m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/h，2.5m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/d，750m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/a；补充水量均为新鲜水。</w:t>
      </w:r>
    </w:p>
    <w:p>
      <w:pPr>
        <w:spacing w:line="360" w:lineRule="auto"/>
        <w:ind w:firstLine="480" w:firstLineChars="200"/>
        <w:rPr>
          <w:rFonts w:hint="default" w:eastAsia="宋体"/>
          <w:color w:val="auto"/>
          <w:sz w:val="24"/>
          <w:highlight w:val="none"/>
          <w:lang w:val="en-US" w:eastAsia="zh-CN"/>
        </w:rPr>
      </w:pPr>
      <w:r>
        <w:rPr>
          <w:color w:val="auto"/>
          <w:sz w:val="24"/>
          <w:highlight w:val="none"/>
        </w:rPr>
        <w:t>（2）</w:t>
      </w:r>
      <w:r>
        <w:rPr>
          <w:rFonts w:hint="eastAsia"/>
          <w:color w:val="auto"/>
          <w:sz w:val="24"/>
          <w:highlight w:val="none"/>
          <w:lang w:val="en-US" w:eastAsia="zh-CN"/>
        </w:rPr>
        <w:t>车间地面清洗废水</w:t>
      </w:r>
    </w:p>
    <w:p>
      <w:pPr>
        <w:adjustRightInd w:val="0"/>
        <w:snapToGrid w:val="0"/>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highlight w:val="none"/>
        </w:rPr>
        <w:t>车间地面清洗废水产生量约为用水量的90%，则车间清洗废水产生量为</w:t>
      </w:r>
      <w:r>
        <w:rPr>
          <w:rFonts w:hint="eastAsia" w:cs="Times New Roman"/>
          <w:color w:val="auto"/>
          <w:sz w:val="24"/>
          <w:highlight w:val="none"/>
          <w:lang w:val="en-US" w:eastAsia="zh-CN"/>
        </w:rPr>
        <w:t>54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eastAsia" w:cs="Times New Roman"/>
          <w:color w:val="auto"/>
          <w:sz w:val="24"/>
          <w:highlight w:val="none"/>
          <w:lang w:val="en-US" w:eastAsia="zh-CN"/>
        </w:rPr>
        <w:t>0.9</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/次，</w:t>
      </w:r>
      <w:r>
        <w:rPr>
          <w:rFonts w:hint="eastAsia" w:cs="Times New Roman"/>
          <w:color w:val="auto"/>
          <w:sz w:val="24"/>
          <w:highlight w:val="none"/>
          <w:lang w:val="en-US" w:eastAsia="zh-CN"/>
        </w:rPr>
        <w:t>0.18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bookmarkStart w:id="383" w:name="OLE_LINK10"/>
      <w:r>
        <w:rPr>
          <w:rFonts w:hint="default" w:ascii="Times New Roman" w:hAnsi="Times New Roman" w:cs="Times New Roman"/>
          <w:color w:val="auto"/>
          <w:sz w:val="24"/>
          <w:highlight w:val="none"/>
        </w:rPr>
        <w:t>车间地面清洗废水</w:t>
      </w:r>
      <w:bookmarkEnd w:id="383"/>
      <w:r>
        <w:rPr>
          <w:rFonts w:hint="eastAsia" w:cs="Times New Roman"/>
          <w:color w:val="auto"/>
          <w:sz w:val="24"/>
          <w:highlight w:val="none"/>
          <w:lang w:val="en-US" w:eastAsia="zh-CN"/>
        </w:rPr>
        <w:t>与生活污水一同经已有化粪池收集处理达</w:t>
      </w:r>
      <w:r>
        <w:rPr>
          <w:rFonts w:hint="eastAsia" w:ascii="Times New Roman" w:hAnsi="Times New Roman" w:eastAsia="宋体" w:cs="Times New Roman"/>
          <w:color w:val="auto"/>
          <w:sz w:val="24"/>
          <w:highlight w:val="none"/>
          <w:lang w:val="en-US" w:eastAsia="zh-CN"/>
        </w:rPr>
        <w:t>生活废水委托处理合同商定的排放协议标准及《污水排入城镇下水道水质标准》（GB/T31962-2015）B等级标准</w:t>
      </w:r>
      <w:r>
        <w:rPr>
          <w:rFonts w:hint="eastAsia" w:cs="Times New Roman"/>
          <w:color w:val="auto"/>
          <w:sz w:val="24"/>
          <w:highlight w:val="none"/>
          <w:lang w:val="en-US" w:eastAsia="zh-CN"/>
        </w:rPr>
        <w:t>后，由建设单位定期清运至寻甸县水质净化厂处理，不外排。</w:t>
      </w:r>
    </w:p>
    <w:p>
      <w:pPr>
        <w:spacing w:line="360" w:lineRule="auto"/>
        <w:ind w:firstLine="540" w:firstLineChars="225"/>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）生活污水</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生活污水仅为员工</w:t>
      </w:r>
      <w:r>
        <w:rPr>
          <w:rFonts w:hint="eastAsia" w:cs="Times New Roman"/>
          <w:color w:val="auto"/>
          <w:sz w:val="24"/>
          <w:highlight w:val="none"/>
          <w:lang w:val="en-US" w:eastAsia="zh-CN"/>
        </w:rPr>
        <w:t>办公</w:t>
      </w:r>
      <w:r>
        <w:rPr>
          <w:rFonts w:hint="default" w:ascii="Times New Roman" w:hAnsi="Times New Roman" w:cs="Times New Roman"/>
          <w:color w:val="auto"/>
          <w:sz w:val="24"/>
          <w:highlight w:val="none"/>
          <w:lang w:val="en-US" w:eastAsia="zh-CN"/>
        </w:rPr>
        <w:t>污水（洗手污水）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用水</w:t>
      </w:r>
      <w:r>
        <w:rPr>
          <w:rFonts w:hint="default" w:ascii="Times New Roman" w:hAnsi="Times New Roman" w:cs="Times New Roman"/>
          <w:color w:val="auto"/>
          <w:sz w:val="24"/>
          <w:highlight w:val="none"/>
        </w:rPr>
        <w:t>量约为</w:t>
      </w:r>
      <w:r>
        <w:rPr>
          <w:rFonts w:hint="eastAsia" w:cs="Times New Roman"/>
          <w:color w:val="auto"/>
          <w:sz w:val="24"/>
          <w:highlight w:val="none"/>
          <w:lang w:val="en-US" w:eastAsia="zh-CN"/>
        </w:rPr>
        <w:t>0.24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120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lang w:eastAsia="zh-CN"/>
        </w:rPr>
        <w:t>。根据《排放源统计调查产排污核算方法和系数手册》（2021年6月11日）中附表1生活污染源产排污系数手册中第一部分城镇生活源水污染物产生系数（六区），</w:t>
      </w:r>
      <w:r>
        <w:rPr>
          <w:rFonts w:hint="default" w:ascii="Times New Roman" w:hAnsi="Times New Roman" w:cs="Times New Roman"/>
          <w:color w:val="auto"/>
          <w:sz w:val="24"/>
          <w:highlight w:val="none"/>
          <w:lang w:val="en-US" w:eastAsia="zh-CN"/>
        </w:rPr>
        <w:t>产</w:t>
      </w:r>
      <w:r>
        <w:rPr>
          <w:rFonts w:hint="default" w:ascii="Times New Roman" w:hAnsi="Times New Roman" w:cs="Times New Roman"/>
          <w:color w:val="auto"/>
          <w:sz w:val="24"/>
          <w:highlight w:val="none"/>
          <w:lang w:eastAsia="zh-CN"/>
        </w:rPr>
        <w:t>污系数为0.83，</w:t>
      </w:r>
      <w:r>
        <w:rPr>
          <w:rFonts w:hint="eastAsia" w:cs="Times New Roman"/>
          <w:color w:val="auto"/>
          <w:sz w:val="24"/>
          <w:highlight w:val="none"/>
          <w:lang w:val="en-US" w:eastAsia="zh-CN"/>
        </w:rPr>
        <w:t>0.1992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59.76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p>
    <w:p>
      <w:pPr>
        <w:spacing w:line="360" w:lineRule="auto"/>
        <w:ind w:firstLine="480" w:firstLineChars="200"/>
        <w:rPr>
          <w:color w:val="auto"/>
          <w:sz w:val="24"/>
          <w:highlight w:val="none"/>
        </w:rPr>
      </w:pPr>
      <w:r>
        <w:rPr>
          <w:color w:val="auto"/>
          <w:sz w:val="24"/>
          <w:highlight w:val="none"/>
        </w:rPr>
        <w:t>项目水平衡见表3.3-1。项目水平衡图见图3.3-1。</w:t>
      </w:r>
    </w:p>
    <w:p>
      <w:pPr>
        <w:spacing w:line="360" w:lineRule="auto"/>
        <w:jc w:val="center"/>
        <w:rPr>
          <w:b/>
          <w:bCs/>
          <w:color w:val="auto"/>
          <w:sz w:val="24"/>
          <w:highlight w:val="none"/>
        </w:rPr>
      </w:pPr>
      <w:r>
        <w:rPr>
          <w:b/>
          <w:bCs/>
          <w:color w:val="auto"/>
          <w:sz w:val="24"/>
          <w:highlight w:val="none"/>
        </w:rPr>
        <w:t>表3.3-1  项目水平衡表</w:t>
      </w:r>
    </w:p>
    <w:tbl>
      <w:tblPr>
        <w:tblStyle w:val="5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790"/>
        <w:gridCol w:w="798"/>
        <w:gridCol w:w="823"/>
        <w:gridCol w:w="962"/>
        <w:gridCol w:w="734"/>
        <w:gridCol w:w="750"/>
        <w:gridCol w:w="84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950" w:type="dxa"/>
            <w:vMerge w:val="restart"/>
            <w:vAlign w:val="center"/>
          </w:tcPr>
          <w:p>
            <w:pPr>
              <w:jc w:val="center"/>
              <w:rPr>
                <w:b/>
                <w:color w:val="auto"/>
                <w:szCs w:val="18"/>
                <w:highlight w:val="none"/>
              </w:rPr>
            </w:pPr>
            <w:r>
              <w:rPr>
                <w:b/>
                <w:color w:val="auto"/>
                <w:szCs w:val="18"/>
                <w:highlight w:val="none"/>
              </w:rPr>
              <w:t>用水环节</w:t>
            </w:r>
          </w:p>
        </w:tc>
        <w:tc>
          <w:tcPr>
            <w:tcW w:w="1588" w:type="dxa"/>
            <w:gridSpan w:val="2"/>
            <w:vAlign w:val="center"/>
          </w:tcPr>
          <w:p>
            <w:pPr>
              <w:jc w:val="center"/>
              <w:rPr>
                <w:b/>
                <w:color w:val="auto"/>
                <w:szCs w:val="18"/>
                <w:highlight w:val="none"/>
              </w:rPr>
            </w:pPr>
            <w:r>
              <w:rPr>
                <w:b/>
                <w:color w:val="auto"/>
                <w:szCs w:val="18"/>
                <w:highlight w:val="none"/>
              </w:rPr>
              <w:t>用水量</w:t>
            </w:r>
            <w:r>
              <w:rPr>
                <w:b/>
                <w:bCs/>
                <w:color w:val="auto"/>
                <w:szCs w:val="18"/>
                <w:highlight w:val="none"/>
              </w:rPr>
              <w:t>m</w:t>
            </w:r>
            <w:r>
              <w:rPr>
                <w:b/>
                <w:bCs/>
                <w:color w:val="auto"/>
                <w:szCs w:val="18"/>
                <w:highlight w:val="none"/>
                <w:vertAlign w:val="superscript"/>
              </w:rPr>
              <w:t>3</w:t>
            </w:r>
            <w:r>
              <w:rPr>
                <w:b/>
                <w:bCs/>
                <w:color w:val="auto"/>
                <w:szCs w:val="18"/>
                <w:highlight w:val="none"/>
              </w:rPr>
              <w:t>/d</w:t>
            </w:r>
          </w:p>
        </w:tc>
        <w:tc>
          <w:tcPr>
            <w:tcW w:w="1785" w:type="dxa"/>
            <w:gridSpan w:val="2"/>
            <w:vAlign w:val="center"/>
          </w:tcPr>
          <w:p>
            <w:pPr>
              <w:jc w:val="center"/>
              <w:rPr>
                <w:b/>
                <w:color w:val="auto"/>
                <w:szCs w:val="18"/>
                <w:highlight w:val="none"/>
              </w:rPr>
            </w:pPr>
            <w:r>
              <w:rPr>
                <w:b/>
                <w:color w:val="auto"/>
                <w:szCs w:val="18"/>
                <w:highlight w:val="none"/>
              </w:rPr>
              <w:t>用水量</w:t>
            </w:r>
            <w:r>
              <w:rPr>
                <w:b/>
                <w:bCs/>
                <w:color w:val="auto"/>
                <w:szCs w:val="18"/>
                <w:highlight w:val="none"/>
              </w:rPr>
              <w:t>m</w:t>
            </w:r>
            <w:r>
              <w:rPr>
                <w:b/>
                <w:bCs/>
                <w:color w:val="auto"/>
                <w:szCs w:val="18"/>
                <w:highlight w:val="none"/>
                <w:vertAlign w:val="superscript"/>
              </w:rPr>
              <w:t>3</w:t>
            </w:r>
            <w:r>
              <w:rPr>
                <w:b/>
                <w:bCs/>
                <w:color w:val="auto"/>
                <w:szCs w:val="18"/>
                <w:highlight w:val="none"/>
              </w:rPr>
              <w:t>/a</w:t>
            </w:r>
          </w:p>
        </w:tc>
        <w:tc>
          <w:tcPr>
            <w:tcW w:w="734" w:type="dxa"/>
            <w:vMerge w:val="restart"/>
            <w:vAlign w:val="center"/>
          </w:tcPr>
          <w:p>
            <w:pPr>
              <w:jc w:val="center"/>
              <w:rPr>
                <w:b/>
                <w:color w:val="auto"/>
                <w:szCs w:val="18"/>
                <w:highlight w:val="none"/>
              </w:rPr>
            </w:pPr>
            <w:r>
              <w:rPr>
                <w:b/>
                <w:color w:val="auto"/>
                <w:szCs w:val="18"/>
                <w:highlight w:val="none"/>
              </w:rPr>
              <w:t>损耗量</w:t>
            </w:r>
            <w:r>
              <w:rPr>
                <w:b/>
                <w:bCs/>
                <w:color w:val="auto"/>
                <w:szCs w:val="18"/>
                <w:highlight w:val="none"/>
              </w:rPr>
              <w:t>m</w:t>
            </w:r>
            <w:r>
              <w:rPr>
                <w:b/>
                <w:bCs/>
                <w:color w:val="auto"/>
                <w:szCs w:val="18"/>
                <w:highlight w:val="none"/>
                <w:vertAlign w:val="superscript"/>
              </w:rPr>
              <w:t>3</w:t>
            </w:r>
            <w:r>
              <w:rPr>
                <w:b/>
                <w:bCs/>
                <w:color w:val="auto"/>
                <w:szCs w:val="18"/>
                <w:highlight w:val="none"/>
              </w:rPr>
              <w:t>/d</w:t>
            </w:r>
          </w:p>
        </w:tc>
        <w:tc>
          <w:tcPr>
            <w:tcW w:w="1590" w:type="dxa"/>
            <w:gridSpan w:val="2"/>
            <w:vAlign w:val="center"/>
          </w:tcPr>
          <w:p>
            <w:pPr>
              <w:jc w:val="center"/>
              <w:rPr>
                <w:b/>
                <w:color w:val="auto"/>
                <w:szCs w:val="18"/>
                <w:highlight w:val="none"/>
              </w:rPr>
            </w:pPr>
            <w:r>
              <w:rPr>
                <w:b/>
                <w:color w:val="auto"/>
                <w:szCs w:val="18"/>
                <w:highlight w:val="none"/>
              </w:rPr>
              <w:t>污水产生量</w:t>
            </w:r>
          </w:p>
        </w:tc>
        <w:tc>
          <w:tcPr>
            <w:tcW w:w="1976" w:type="dxa"/>
            <w:vMerge w:val="restart"/>
            <w:vAlign w:val="center"/>
          </w:tcPr>
          <w:p>
            <w:pPr>
              <w:jc w:val="center"/>
              <w:rPr>
                <w:b/>
                <w:color w:val="auto"/>
                <w:szCs w:val="18"/>
                <w:highlight w:val="none"/>
              </w:rPr>
            </w:pPr>
            <w:r>
              <w:rPr>
                <w:b/>
                <w:color w:val="auto"/>
                <w:szCs w:val="18"/>
                <w:highlight w:val="none"/>
              </w:rPr>
              <w:t>废水去向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50" w:type="dxa"/>
            <w:vMerge w:val="continue"/>
            <w:vAlign w:val="center"/>
          </w:tcPr>
          <w:p>
            <w:pPr>
              <w:jc w:val="center"/>
              <w:rPr>
                <w:color w:val="auto"/>
                <w:szCs w:val="18"/>
                <w:highlight w:val="none"/>
              </w:rPr>
            </w:pPr>
          </w:p>
        </w:tc>
        <w:tc>
          <w:tcPr>
            <w:tcW w:w="790" w:type="dxa"/>
            <w:vAlign w:val="center"/>
          </w:tcPr>
          <w:p>
            <w:pPr>
              <w:jc w:val="center"/>
              <w:rPr>
                <w:b/>
                <w:color w:val="auto"/>
                <w:szCs w:val="18"/>
                <w:highlight w:val="none"/>
              </w:rPr>
            </w:pPr>
            <w:r>
              <w:rPr>
                <w:b/>
                <w:color w:val="auto"/>
                <w:szCs w:val="18"/>
                <w:highlight w:val="none"/>
              </w:rPr>
              <w:t>新鲜水</w:t>
            </w:r>
          </w:p>
        </w:tc>
        <w:tc>
          <w:tcPr>
            <w:tcW w:w="798" w:type="dxa"/>
            <w:vAlign w:val="center"/>
          </w:tcPr>
          <w:p>
            <w:pPr>
              <w:jc w:val="center"/>
              <w:rPr>
                <w:b/>
                <w:color w:val="auto"/>
                <w:szCs w:val="18"/>
                <w:highlight w:val="none"/>
              </w:rPr>
            </w:pPr>
            <w:r>
              <w:rPr>
                <w:b/>
                <w:color w:val="auto"/>
                <w:szCs w:val="18"/>
                <w:highlight w:val="none"/>
              </w:rPr>
              <w:t>回用水</w:t>
            </w:r>
          </w:p>
        </w:tc>
        <w:tc>
          <w:tcPr>
            <w:tcW w:w="823" w:type="dxa"/>
            <w:vAlign w:val="center"/>
          </w:tcPr>
          <w:p>
            <w:pPr>
              <w:jc w:val="center"/>
              <w:rPr>
                <w:b/>
                <w:color w:val="auto"/>
                <w:szCs w:val="18"/>
                <w:highlight w:val="none"/>
              </w:rPr>
            </w:pPr>
            <w:r>
              <w:rPr>
                <w:b/>
                <w:color w:val="auto"/>
                <w:szCs w:val="18"/>
                <w:highlight w:val="none"/>
              </w:rPr>
              <w:t>新鲜水</w:t>
            </w:r>
          </w:p>
        </w:tc>
        <w:tc>
          <w:tcPr>
            <w:tcW w:w="962" w:type="dxa"/>
            <w:vAlign w:val="center"/>
          </w:tcPr>
          <w:p>
            <w:pPr>
              <w:jc w:val="center"/>
              <w:rPr>
                <w:b/>
                <w:color w:val="auto"/>
                <w:szCs w:val="18"/>
                <w:highlight w:val="none"/>
              </w:rPr>
            </w:pPr>
            <w:r>
              <w:rPr>
                <w:b/>
                <w:color w:val="auto"/>
                <w:szCs w:val="18"/>
                <w:highlight w:val="none"/>
              </w:rPr>
              <w:t>回用水</w:t>
            </w:r>
          </w:p>
        </w:tc>
        <w:tc>
          <w:tcPr>
            <w:tcW w:w="734" w:type="dxa"/>
            <w:vMerge w:val="continue"/>
            <w:vAlign w:val="center"/>
          </w:tcPr>
          <w:p>
            <w:pPr>
              <w:jc w:val="center"/>
              <w:rPr>
                <w:b/>
                <w:color w:val="auto"/>
                <w:szCs w:val="18"/>
                <w:highlight w:val="none"/>
              </w:rPr>
            </w:pPr>
          </w:p>
        </w:tc>
        <w:tc>
          <w:tcPr>
            <w:tcW w:w="750" w:type="dxa"/>
            <w:vAlign w:val="center"/>
          </w:tcPr>
          <w:p>
            <w:pPr>
              <w:jc w:val="center"/>
              <w:rPr>
                <w:b/>
                <w:color w:val="auto"/>
                <w:szCs w:val="18"/>
                <w:highlight w:val="none"/>
              </w:rPr>
            </w:pPr>
            <w:r>
              <w:rPr>
                <w:b/>
                <w:bCs/>
                <w:color w:val="auto"/>
                <w:szCs w:val="18"/>
                <w:highlight w:val="none"/>
              </w:rPr>
              <w:t>日产生量m</w:t>
            </w:r>
            <w:r>
              <w:rPr>
                <w:b/>
                <w:bCs/>
                <w:color w:val="auto"/>
                <w:szCs w:val="18"/>
                <w:highlight w:val="none"/>
                <w:vertAlign w:val="superscript"/>
              </w:rPr>
              <w:t>3</w:t>
            </w:r>
            <w:r>
              <w:rPr>
                <w:b/>
                <w:bCs/>
                <w:color w:val="auto"/>
                <w:szCs w:val="18"/>
                <w:highlight w:val="none"/>
              </w:rPr>
              <w:t>/d</w:t>
            </w:r>
          </w:p>
        </w:tc>
        <w:tc>
          <w:tcPr>
            <w:tcW w:w="840" w:type="dxa"/>
            <w:vAlign w:val="center"/>
          </w:tcPr>
          <w:p>
            <w:pPr>
              <w:jc w:val="center"/>
              <w:rPr>
                <w:b/>
                <w:color w:val="auto"/>
                <w:szCs w:val="18"/>
                <w:highlight w:val="none"/>
              </w:rPr>
            </w:pPr>
            <w:r>
              <w:rPr>
                <w:b/>
                <w:bCs/>
                <w:color w:val="auto"/>
                <w:szCs w:val="18"/>
                <w:highlight w:val="none"/>
              </w:rPr>
              <w:t>年产生量m</w:t>
            </w:r>
            <w:r>
              <w:rPr>
                <w:b/>
                <w:bCs/>
                <w:color w:val="auto"/>
                <w:szCs w:val="18"/>
                <w:highlight w:val="none"/>
                <w:vertAlign w:val="superscript"/>
              </w:rPr>
              <w:t>3</w:t>
            </w:r>
            <w:r>
              <w:rPr>
                <w:b/>
                <w:bCs/>
                <w:color w:val="auto"/>
                <w:szCs w:val="18"/>
                <w:highlight w:val="none"/>
              </w:rPr>
              <w:t>/a</w:t>
            </w:r>
          </w:p>
        </w:tc>
        <w:tc>
          <w:tcPr>
            <w:tcW w:w="1976" w:type="dxa"/>
            <w:vMerge w:val="continue"/>
            <w:vAlign w:val="center"/>
          </w:tcPr>
          <w:p>
            <w:pPr>
              <w:jc w:val="center"/>
              <w:rPr>
                <w:color w:val="auto"/>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0" w:type="dxa"/>
            <w:vAlign w:val="center"/>
          </w:tcPr>
          <w:p>
            <w:pPr>
              <w:jc w:val="center"/>
              <w:rPr>
                <w:color w:val="auto"/>
                <w:szCs w:val="18"/>
                <w:highlight w:val="none"/>
              </w:rPr>
            </w:pPr>
            <w:r>
              <w:rPr>
                <w:color w:val="auto"/>
                <w:szCs w:val="18"/>
                <w:highlight w:val="none"/>
              </w:rPr>
              <w:t>冷却用水</w:t>
            </w:r>
          </w:p>
        </w:tc>
        <w:tc>
          <w:tcPr>
            <w:tcW w:w="790"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2.5</w:t>
            </w:r>
          </w:p>
        </w:tc>
        <w:tc>
          <w:tcPr>
            <w:tcW w:w="798"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30.83</w:t>
            </w:r>
          </w:p>
        </w:tc>
        <w:tc>
          <w:tcPr>
            <w:tcW w:w="823"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750</w:t>
            </w:r>
          </w:p>
        </w:tc>
        <w:tc>
          <w:tcPr>
            <w:tcW w:w="962"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9250</w:t>
            </w:r>
          </w:p>
        </w:tc>
        <w:tc>
          <w:tcPr>
            <w:tcW w:w="734"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2.5</w:t>
            </w:r>
          </w:p>
        </w:tc>
        <w:tc>
          <w:tcPr>
            <w:tcW w:w="750"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30.83</w:t>
            </w:r>
          </w:p>
        </w:tc>
        <w:tc>
          <w:tcPr>
            <w:tcW w:w="840" w:type="dxa"/>
            <w:vAlign w:val="center"/>
          </w:tcPr>
          <w:p>
            <w:pPr>
              <w:jc w:val="center"/>
              <w:rPr>
                <w:rFonts w:hint="eastAsia"/>
                <w:color w:val="auto"/>
                <w:szCs w:val="18"/>
                <w:highlight w:val="none"/>
                <w:lang w:val="en-US" w:eastAsia="zh-CN"/>
              </w:rPr>
            </w:pPr>
            <w:r>
              <w:rPr>
                <w:rFonts w:hint="eastAsia"/>
                <w:color w:val="auto"/>
                <w:szCs w:val="18"/>
                <w:highlight w:val="none"/>
                <w:lang w:val="en-US" w:eastAsia="zh-CN"/>
              </w:rPr>
              <w:t>9250</w:t>
            </w:r>
          </w:p>
        </w:tc>
        <w:tc>
          <w:tcPr>
            <w:tcW w:w="1976" w:type="dxa"/>
            <w:vAlign w:val="center"/>
          </w:tcPr>
          <w:p>
            <w:pPr>
              <w:jc w:val="center"/>
              <w:rPr>
                <w:color w:val="auto"/>
                <w:szCs w:val="18"/>
                <w:highlight w:val="none"/>
              </w:rPr>
            </w:pPr>
            <w:r>
              <w:rPr>
                <w:rFonts w:hint="default" w:ascii="Times New Roman" w:hAnsi="Times New Roman" w:cs="Times New Roman"/>
                <w:color w:val="auto"/>
                <w:sz w:val="21"/>
                <w:szCs w:val="21"/>
                <w:highlight w:val="none"/>
              </w:rPr>
              <w:t>冷却水通过冷却</w:t>
            </w:r>
            <w:r>
              <w:rPr>
                <w:rFonts w:hint="eastAsia" w:cs="Times New Roman"/>
                <w:color w:val="auto"/>
                <w:sz w:val="21"/>
                <w:szCs w:val="21"/>
                <w:highlight w:val="none"/>
                <w:lang w:val="en-US" w:eastAsia="zh-CN"/>
              </w:rPr>
              <w:t>水</w:t>
            </w:r>
            <w:r>
              <w:rPr>
                <w:rFonts w:hint="default" w:ascii="Times New Roman" w:hAnsi="Times New Roman" w:cs="Times New Roman"/>
                <w:color w:val="auto"/>
                <w:sz w:val="21"/>
                <w:szCs w:val="21"/>
                <w:highlight w:val="none"/>
              </w:rPr>
              <w:t>池收集</w:t>
            </w:r>
            <w:r>
              <w:rPr>
                <w:rFonts w:hint="default" w:ascii="Times New Roman" w:hAnsi="Times New Roman" w:cs="Times New Roman"/>
                <w:color w:val="auto"/>
                <w:sz w:val="21"/>
                <w:szCs w:val="21"/>
                <w:highlight w:val="none"/>
                <w:lang w:val="en-US" w:eastAsia="zh-CN"/>
              </w:rPr>
              <w:t>冷却</w:t>
            </w:r>
            <w:r>
              <w:rPr>
                <w:rFonts w:hint="default" w:ascii="Times New Roman" w:hAnsi="Times New Roman" w:cs="Times New Roman"/>
                <w:color w:val="auto"/>
                <w:sz w:val="21"/>
                <w:szCs w:val="21"/>
                <w:highlight w:val="none"/>
              </w:rPr>
              <w:t>后全部循环使用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0" w:type="dxa"/>
            <w:vAlign w:val="center"/>
          </w:tcPr>
          <w:p>
            <w:pPr>
              <w:jc w:val="center"/>
              <w:rPr>
                <w:color w:val="auto"/>
                <w:szCs w:val="18"/>
                <w:highlight w:val="none"/>
              </w:rPr>
            </w:pPr>
            <w:r>
              <w:rPr>
                <w:color w:val="auto"/>
                <w:szCs w:val="18"/>
                <w:highlight w:val="none"/>
              </w:rPr>
              <w:t>车间地面清洗用水</w:t>
            </w:r>
          </w:p>
        </w:tc>
        <w:tc>
          <w:tcPr>
            <w:tcW w:w="790" w:type="dxa"/>
            <w:vAlign w:val="center"/>
          </w:tcPr>
          <w:p>
            <w:pPr>
              <w:jc w:val="center"/>
              <w:rPr>
                <w:color w:val="auto"/>
                <w:szCs w:val="18"/>
                <w:highlight w:val="none"/>
              </w:rPr>
            </w:pPr>
            <w:r>
              <w:rPr>
                <w:color w:val="auto"/>
                <w:szCs w:val="18"/>
                <w:highlight w:val="none"/>
              </w:rPr>
              <w:t>0.2</w:t>
            </w:r>
          </w:p>
        </w:tc>
        <w:tc>
          <w:tcPr>
            <w:tcW w:w="798" w:type="dxa"/>
            <w:vAlign w:val="center"/>
          </w:tcPr>
          <w:p>
            <w:pPr>
              <w:jc w:val="center"/>
              <w:rPr>
                <w:color w:val="auto"/>
                <w:szCs w:val="18"/>
                <w:highlight w:val="none"/>
              </w:rPr>
            </w:pPr>
            <w:r>
              <w:rPr>
                <w:color w:val="auto"/>
                <w:szCs w:val="18"/>
                <w:highlight w:val="none"/>
              </w:rPr>
              <w:t>0</w:t>
            </w:r>
          </w:p>
        </w:tc>
        <w:tc>
          <w:tcPr>
            <w:tcW w:w="823"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60</w:t>
            </w:r>
          </w:p>
        </w:tc>
        <w:tc>
          <w:tcPr>
            <w:tcW w:w="962" w:type="dxa"/>
            <w:vAlign w:val="center"/>
          </w:tcPr>
          <w:p>
            <w:pPr>
              <w:jc w:val="center"/>
              <w:rPr>
                <w:color w:val="auto"/>
                <w:szCs w:val="18"/>
                <w:highlight w:val="none"/>
              </w:rPr>
            </w:pPr>
            <w:r>
              <w:rPr>
                <w:color w:val="auto"/>
                <w:szCs w:val="18"/>
                <w:highlight w:val="none"/>
              </w:rPr>
              <w:t>0</w:t>
            </w:r>
          </w:p>
        </w:tc>
        <w:tc>
          <w:tcPr>
            <w:tcW w:w="734" w:type="dxa"/>
            <w:vAlign w:val="center"/>
          </w:tcPr>
          <w:p>
            <w:pPr>
              <w:jc w:val="center"/>
              <w:rPr>
                <w:color w:val="auto"/>
                <w:szCs w:val="18"/>
                <w:highlight w:val="none"/>
              </w:rPr>
            </w:pPr>
            <w:r>
              <w:rPr>
                <w:color w:val="auto"/>
                <w:szCs w:val="18"/>
                <w:highlight w:val="none"/>
              </w:rPr>
              <w:t>0.02</w:t>
            </w:r>
          </w:p>
        </w:tc>
        <w:tc>
          <w:tcPr>
            <w:tcW w:w="75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0.18</w:t>
            </w:r>
          </w:p>
        </w:tc>
        <w:tc>
          <w:tcPr>
            <w:tcW w:w="84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54</w:t>
            </w:r>
          </w:p>
        </w:tc>
        <w:tc>
          <w:tcPr>
            <w:tcW w:w="1976" w:type="dxa"/>
            <w:vMerge w:val="restart"/>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经厂区已有化粪池收集处理后，由建设单位定期清运至寻甸县水质净化厂处理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950" w:type="dxa"/>
            <w:vAlign w:val="center"/>
          </w:tcPr>
          <w:p>
            <w:pPr>
              <w:jc w:val="center"/>
              <w:rPr>
                <w:color w:val="auto"/>
                <w:szCs w:val="18"/>
                <w:highlight w:val="none"/>
              </w:rPr>
            </w:pPr>
            <w:r>
              <w:rPr>
                <w:rFonts w:hint="eastAsia"/>
                <w:color w:val="auto"/>
                <w:szCs w:val="18"/>
                <w:highlight w:val="none"/>
              </w:rPr>
              <w:t>生活用水</w:t>
            </w:r>
          </w:p>
        </w:tc>
        <w:tc>
          <w:tcPr>
            <w:tcW w:w="79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0.24</w:t>
            </w:r>
          </w:p>
        </w:tc>
        <w:tc>
          <w:tcPr>
            <w:tcW w:w="798"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w:t>
            </w:r>
          </w:p>
        </w:tc>
        <w:tc>
          <w:tcPr>
            <w:tcW w:w="823"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72</w:t>
            </w:r>
          </w:p>
        </w:tc>
        <w:tc>
          <w:tcPr>
            <w:tcW w:w="962"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w:t>
            </w:r>
          </w:p>
        </w:tc>
        <w:tc>
          <w:tcPr>
            <w:tcW w:w="734"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0.0408</w:t>
            </w:r>
          </w:p>
        </w:tc>
        <w:tc>
          <w:tcPr>
            <w:tcW w:w="75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0.1992</w:t>
            </w:r>
          </w:p>
        </w:tc>
        <w:tc>
          <w:tcPr>
            <w:tcW w:w="84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59.76</w:t>
            </w:r>
          </w:p>
        </w:tc>
        <w:tc>
          <w:tcPr>
            <w:tcW w:w="1976" w:type="dxa"/>
            <w:vMerge w:val="continue"/>
            <w:vAlign w:val="center"/>
          </w:tcPr>
          <w:p>
            <w:pPr>
              <w:jc w:val="center"/>
              <w:rPr>
                <w:color w:val="auto"/>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950" w:type="dxa"/>
            <w:vAlign w:val="center"/>
          </w:tcPr>
          <w:p>
            <w:pPr>
              <w:jc w:val="center"/>
              <w:rPr>
                <w:color w:val="auto"/>
                <w:szCs w:val="18"/>
                <w:highlight w:val="none"/>
              </w:rPr>
            </w:pPr>
            <w:r>
              <w:rPr>
                <w:rFonts w:hint="eastAsia"/>
                <w:color w:val="auto"/>
                <w:szCs w:val="18"/>
                <w:highlight w:val="none"/>
              </w:rPr>
              <w:t>绿化用水</w:t>
            </w:r>
          </w:p>
        </w:tc>
        <w:tc>
          <w:tcPr>
            <w:tcW w:w="79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0.54</w:t>
            </w:r>
          </w:p>
        </w:tc>
        <w:tc>
          <w:tcPr>
            <w:tcW w:w="798"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w:t>
            </w:r>
          </w:p>
        </w:tc>
        <w:tc>
          <w:tcPr>
            <w:tcW w:w="823"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112.86</w:t>
            </w:r>
          </w:p>
        </w:tc>
        <w:tc>
          <w:tcPr>
            <w:tcW w:w="962"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w:t>
            </w:r>
          </w:p>
        </w:tc>
        <w:tc>
          <w:tcPr>
            <w:tcW w:w="734"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0.54</w:t>
            </w:r>
          </w:p>
        </w:tc>
        <w:tc>
          <w:tcPr>
            <w:tcW w:w="75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w:t>
            </w:r>
          </w:p>
        </w:tc>
        <w:tc>
          <w:tcPr>
            <w:tcW w:w="840" w:type="dxa"/>
            <w:vAlign w:val="center"/>
          </w:tcPr>
          <w:p>
            <w:pPr>
              <w:jc w:val="center"/>
              <w:rPr>
                <w:rFonts w:hint="default" w:eastAsia="宋体"/>
                <w:color w:val="auto"/>
                <w:szCs w:val="18"/>
                <w:highlight w:val="none"/>
                <w:lang w:val="en-US" w:eastAsia="zh-CN"/>
              </w:rPr>
            </w:pPr>
            <w:r>
              <w:rPr>
                <w:rFonts w:hint="eastAsia"/>
                <w:color w:val="auto"/>
                <w:szCs w:val="18"/>
                <w:highlight w:val="none"/>
                <w:lang w:val="en-US" w:eastAsia="zh-CN"/>
              </w:rPr>
              <w:t>0</w:t>
            </w:r>
          </w:p>
        </w:tc>
        <w:tc>
          <w:tcPr>
            <w:tcW w:w="1976" w:type="dxa"/>
            <w:vAlign w:val="center"/>
          </w:tcPr>
          <w:p>
            <w:pPr>
              <w:jc w:val="center"/>
              <w:rPr>
                <w:color w:val="auto"/>
                <w:szCs w:val="18"/>
                <w:highlight w:val="none"/>
              </w:rPr>
            </w:pPr>
            <w:r>
              <w:rPr>
                <w:rFonts w:hint="eastAsia"/>
                <w:color w:val="auto"/>
                <w:szCs w:val="18"/>
                <w:highlight w:val="none"/>
              </w:rPr>
              <w:t>全部自然蒸发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0" w:type="dxa"/>
            <w:vAlign w:val="center"/>
          </w:tcPr>
          <w:p>
            <w:pPr>
              <w:jc w:val="center"/>
              <w:rPr>
                <w:color w:val="auto"/>
                <w:szCs w:val="18"/>
                <w:highlight w:val="none"/>
              </w:rPr>
            </w:pPr>
            <w:r>
              <w:rPr>
                <w:color w:val="auto"/>
                <w:szCs w:val="18"/>
                <w:highlight w:val="none"/>
              </w:rPr>
              <w:t>合计</w:t>
            </w:r>
          </w:p>
        </w:tc>
        <w:tc>
          <w:tcPr>
            <w:tcW w:w="790"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3.48</w:t>
            </w:r>
          </w:p>
        </w:tc>
        <w:tc>
          <w:tcPr>
            <w:tcW w:w="798"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30.8</w:t>
            </w:r>
          </w:p>
        </w:tc>
        <w:tc>
          <w:tcPr>
            <w:tcW w:w="823"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994.86</w:t>
            </w:r>
          </w:p>
        </w:tc>
        <w:tc>
          <w:tcPr>
            <w:tcW w:w="962"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9250</w:t>
            </w:r>
          </w:p>
        </w:tc>
        <w:tc>
          <w:tcPr>
            <w:tcW w:w="734"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3.1008</w:t>
            </w:r>
          </w:p>
        </w:tc>
        <w:tc>
          <w:tcPr>
            <w:tcW w:w="750"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31.1792</w:t>
            </w:r>
          </w:p>
        </w:tc>
        <w:tc>
          <w:tcPr>
            <w:tcW w:w="840" w:type="dxa"/>
            <w:vAlign w:val="center"/>
          </w:tcPr>
          <w:p>
            <w:pPr>
              <w:jc w:val="center"/>
              <w:rPr>
                <w:rFonts w:hint="default"/>
                <w:color w:val="auto"/>
                <w:szCs w:val="18"/>
                <w:highlight w:val="none"/>
                <w:lang w:val="en-US" w:eastAsia="zh-CN"/>
              </w:rPr>
            </w:pPr>
            <w:r>
              <w:rPr>
                <w:rFonts w:hint="eastAsia"/>
                <w:color w:val="auto"/>
                <w:szCs w:val="18"/>
                <w:highlight w:val="none"/>
                <w:lang w:val="en-US" w:eastAsia="zh-CN"/>
              </w:rPr>
              <w:t>9363.76</w:t>
            </w:r>
          </w:p>
        </w:tc>
        <w:tc>
          <w:tcPr>
            <w:tcW w:w="1976" w:type="dxa"/>
            <w:vAlign w:val="center"/>
          </w:tcPr>
          <w:p>
            <w:pPr>
              <w:jc w:val="center"/>
              <w:rPr>
                <w:color w:val="auto"/>
                <w:szCs w:val="18"/>
                <w:highlight w:val="none"/>
              </w:rPr>
            </w:pPr>
            <w:r>
              <w:rPr>
                <w:rFonts w:hint="eastAsia"/>
                <w:color w:val="auto"/>
                <w:szCs w:val="18"/>
                <w:highlight w:val="none"/>
              </w:rPr>
              <w:t>——</w:t>
            </w:r>
          </w:p>
        </w:tc>
      </w:tr>
    </w:tbl>
    <w:p>
      <w:pPr>
        <w:spacing w:line="360" w:lineRule="auto"/>
        <w:jc w:val="center"/>
        <w:rPr>
          <w:b/>
          <w:bCs/>
          <w:color w:val="auto"/>
          <w:sz w:val="24"/>
          <w:highlight w:val="none"/>
        </w:rPr>
      </w:pPr>
    </w:p>
    <w:p>
      <w:pPr>
        <w:spacing w:line="360" w:lineRule="auto"/>
        <w:jc w:val="center"/>
        <w:rPr>
          <w:b/>
          <w:bCs/>
          <w:color w:val="auto"/>
          <w:sz w:val="24"/>
          <w:highlight w:val="none"/>
        </w:rPr>
      </w:pPr>
      <w:r>
        <w:rPr>
          <w:b/>
          <w:bCs/>
          <w:color w:val="auto"/>
          <w:sz w:val="24"/>
          <w:highlight w:val="none"/>
        </w:rPr>
        <w:object>
          <v:shape id="_x0000_i1027" o:spt="75" type="#_x0000_t75" style="height:274.95pt;width:375.05pt;" o:ole="t" filled="f" o:preferrelative="t" stroked="f" coordsize="21600,21600">
            <v:path/>
            <v:fill on="f" focussize="0,0"/>
            <v:stroke on="f"/>
            <v:imagedata r:id="rId19" o:title=""/>
            <o:lock v:ext="edit" aspectratio="f"/>
            <w10:wrap type="none"/>
            <w10:anchorlock/>
          </v:shape>
          <o:OLEObject Type="Embed" ProgID="Visio.Drawing.11" ShapeID="_x0000_i1027" DrawAspect="Content" ObjectID="_1468075727" r:id="rId18">
            <o:LockedField>false</o:LockedField>
          </o:OLEObject>
        </w:object>
      </w:r>
    </w:p>
    <w:p>
      <w:pPr>
        <w:spacing w:line="360" w:lineRule="auto"/>
        <w:jc w:val="center"/>
        <w:rPr>
          <w:b/>
          <w:color w:val="auto"/>
          <w:sz w:val="24"/>
          <w:highlight w:val="none"/>
        </w:rPr>
      </w:pPr>
      <w:r>
        <w:rPr>
          <w:b/>
          <w:color w:val="auto"/>
          <w:sz w:val="24"/>
          <w:highlight w:val="none"/>
        </w:rPr>
        <w:t>图3.3-1  项目水平衡图</w:t>
      </w:r>
      <w:r>
        <w:rPr>
          <w:rFonts w:hint="eastAsia"/>
          <w:b/>
          <w:color w:val="auto"/>
          <w:sz w:val="24"/>
          <w:highlight w:val="none"/>
        </w:rPr>
        <w:t>（晴天）</w:t>
      </w:r>
      <w:r>
        <w:rPr>
          <w:b/>
          <w:color w:val="auto"/>
          <w:sz w:val="24"/>
          <w:highlight w:val="none"/>
        </w:rPr>
        <w:t>（单位：m</w:t>
      </w:r>
      <w:r>
        <w:rPr>
          <w:b/>
          <w:color w:val="auto"/>
          <w:sz w:val="24"/>
          <w:highlight w:val="none"/>
          <w:vertAlign w:val="superscript"/>
        </w:rPr>
        <w:t>3</w:t>
      </w:r>
      <w:r>
        <w:rPr>
          <w:b/>
          <w:color w:val="auto"/>
          <w:sz w:val="24"/>
          <w:highlight w:val="none"/>
        </w:rPr>
        <w:t>/d）</w:t>
      </w:r>
    </w:p>
    <w:p>
      <w:pPr>
        <w:spacing w:line="360" w:lineRule="auto"/>
        <w:jc w:val="center"/>
        <w:rPr>
          <w:b/>
          <w:bCs/>
          <w:color w:val="auto"/>
          <w:sz w:val="24"/>
          <w:highlight w:val="none"/>
        </w:rPr>
      </w:pPr>
      <w:r>
        <w:rPr>
          <w:b/>
          <w:bCs/>
          <w:color w:val="auto"/>
          <w:sz w:val="24"/>
          <w:highlight w:val="none"/>
        </w:rPr>
        <w:object>
          <v:shape id="_x0000_i1028" o:spt="75" type="#_x0000_t75" style="height:221.05pt;width:380.8pt;" o:ole="t" filled="f" o:preferrelative="t" stroked="f" coordsize="21600,21600">
            <v:path/>
            <v:fill on="f" focussize="0,0"/>
            <v:stroke on="f"/>
            <v:imagedata r:id="rId21" o:title=""/>
            <o:lock v:ext="edit" aspectratio="f"/>
            <w10:wrap type="none"/>
            <w10:anchorlock/>
          </v:shape>
          <o:OLEObject Type="Embed" ProgID="Visio.Drawing.11" ShapeID="_x0000_i1028" DrawAspect="Content" ObjectID="_1468075728" r:id="rId20">
            <o:LockedField>false</o:LockedField>
          </o:OLEObject>
        </w:object>
      </w:r>
    </w:p>
    <w:p>
      <w:pPr>
        <w:spacing w:line="360" w:lineRule="auto"/>
        <w:jc w:val="center"/>
        <w:rPr>
          <w:b/>
          <w:color w:val="auto"/>
          <w:sz w:val="24"/>
          <w:highlight w:val="none"/>
        </w:rPr>
      </w:pPr>
      <w:r>
        <w:rPr>
          <w:b/>
          <w:color w:val="auto"/>
          <w:sz w:val="24"/>
          <w:highlight w:val="none"/>
        </w:rPr>
        <w:t>图3.3-</w:t>
      </w:r>
      <w:r>
        <w:rPr>
          <w:rFonts w:hint="eastAsia"/>
          <w:b/>
          <w:color w:val="auto"/>
          <w:sz w:val="24"/>
          <w:highlight w:val="none"/>
        </w:rPr>
        <w:t>2</w:t>
      </w:r>
      <w:r>
        <w:rPr>
          <w:b/>
          <w:color w:val="auto"/>
          <w:sz w:val="24"/>
          <w:highlight w:val="none"/>
        </w:rPr>
        <w:t xml:space="preserve">  项目水平衡图</w:t>
      </w:r>
      <w:r>
        <w:rPr>
          <w:rFonts w:hint="eastAsia"/>
          <w:b/>
          <w:color w:val="auto"/>
          <w:sz w:val="24"/>
          <w:highlight w:val="none"/>
        </w:rPr>
        <w:t>（雨天）</w:t>
      </w:r>
      <w:r>
        <w:rPr>
          <w:b/>
          <w:color w:val="auto"/>
          <w:sz w:val="24"/>
          <w:highlight w:val="none"/>
        </w:rPr>
        <w:t>（单位：m</w:t>
      </w:r>
      <w:r>
        <w:rPr>
          <w:b/>
          <w:color w:val="auto"/>
          <w:sz w:val="24"/>
          <w:highlight w:val="none"/>
          <w:vertAlign w:val="superscript"/>
        </w:rPr>
        <w:t>3</w:t>
      </w:r>
      <w:r>
        <w:rPr>
          <w:b/>
          <w:color w:val="auto"/>
          <w:sz w:val="24"/>
          <w:highlight w:val="none"/>
        </w:rPr>
        <w:t>/d）</w:t>
      </w:r>
    </w:p>
    <w:p>
      <w:pPr>
        <w:pStyle w:val="21"/>
        <w:rPr>
          <w:color w:val="auto"/>
          <w:highlight w:val="none"/>
        </w:rPr>
      </w:pPr>
    </w:p>
    <w:p>
      <w:pPr>
        <w:keepNext/>
        <w:keepLines/>
        <w:spacing w:line="360" w:lineRule="auto"/>
        <w:outlineLvl w:val="2"/>
        <w:rPr>
          <w:b/>
          <w:bCs/>
          <w:color w:val="auto"/>
          <w:sz w:val="24"/>
          <w:highlight w:val="none"/>
        </w:rPr>
      </w:pPr>
      <w:bookmarkStart w:id="384" w:name="_Toc75908663"/>
      <w:bookmarkStart w:id="385" w:name="_Toc20572"/>
      <w:r>
        <w:rPr>
          <w:b/>
          <w:bCs/>
          <w:color w:val="auto"/>
          <w:sz w:val="24"/>
          <w:highlight w:val="none"/>
        </w:rPr>
        <w:t>3.3.2物料平衡</w:t>
      </w:r>
      <w:bookmarkEnd w:id="384"/>
      <w:bookmarkEnd w:id="385"/>
    </w:p>
    <w:p>
      <w:pPr>
        <w:spacing w:line="360" w:lineRule="auto"/>
        <w:ind w:firstLine="480" w:firstLineChars="200"/>
        <w:rPr>
          <w:color w:val="auto"/>
          <w:sz w:val="24"/>
          <w:highlight w:val="none"/>
        </w:rPr>
      </w:pPr>
      <w:r>
        <w:rPr>
          <w:color w:val="auto"/>
          <w:sz w:val="24"/>
          <w:highlight w:val="none"/>
        </w:rPr>
        <w:t>项目物料平衡表见表3.3-2。</w:t>
      </w:r>
    </w:p>
    <w:p>
      <w:pPr>
        <w:spacing w:line="360" w:lineRule="auto"/>
        <w:jc w:val="center"/>
        <w:rPr>
          <w:b/>
          <w:color w:val="auto"/>
          <w:sz w:val="24"/>
          <w:highlight w:val="none"/>
        </w:rPr>
      </w:pPr>
    </w:p>
    <w:p>
      <w:pPr>
        <w:spacing w:line="360" w:lineRule="auto"/>
        <w:jc w:val="center"/>
        <w:rPr>
          <w:b/>
          <w:color w:val="auto"/>
          <w:sz w:val="24"/>
          <w:highlight w:val="none"/>
        </w:rPr>
      </w:pPr>
    </w:p>
    <w:p>
      <w:pPr>
        <w:spacing w:line="360" w:lineRule="auto"/>
        <w:jc w:val="center"/>
        <w:rPr>
          <w:b/>
          <w:color w:val="auto"/>
          <w:sz w:val="24"/>
          <w:highlight w:val="none"/>
        </w:rPr>
      </w:pPr>
    </w:p>
    <w:p>
      <w:pPr>
        <w:spacing w:line="360" w:lineRule="auto"/>
        <w:jc w:val="center"/>
        <w:rPr>
          <w:b/>
          <w:color w:val="auto"/>
          <w:sz w:val="24"/>
          <w:highlight w:val="none"/>
        </w:rPr>
      </w:pPr>
    </w:p>
    <w:p>
      <w:pPr>
        <w:spacing w:line="360" w:lineRule="auto"/>
        <w:jc w:val="center"/>
        <w:rPr>
          <w:b/>
          <w:color w:val="auto"/>
          <w:sz w:val="24"/>
          <w:highlight w:val="none"/>
        </w:rPr>
      </w:pPr>
      <w:r>
        <w:rPr>
          <w:b/>
          <w:color w:val="auto"/>
          <w:sz w:val="24"/>
          <w:highlight w:val="none"/>
        </w:rPr>
        <w:t>表3.3-2  项目物料平衡表</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397"/>
        <w:gridCol w:w="1137"/>
        <w:gridCol w:w="525"/>
        <w:gridCol w:w="616"/>
        <w:gridCol w:w="1676"/>
        <w:gridCol w:w="1435"/>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119" w:type="dxa"/>
            <w:gridSpan w:val="3"/>
            <w:vAlign w:val="center"/>
          </w:tcPr>
          <w:p>
            <w:pPr>
              <w:jc w:val="center"/>
              <w:rPr>
                <w:b/>
                <w:color w:val="auto"/>
                <w:szCs w:val="21"/>
                <w:highlight w:val="none"/>
              </w:rPr>
            </w:pPr>
            <w:r>
              <w:rPr>
                <w:b/>
                <w:color w:val="auto"/>
                <w:szCs w:val="21"/>
                <w:highlight w:val="none"/>
              </w:rPr>
              <w:t>输入</w:t>
            </w:r>
          </w:p>
        </w:tc>
        <w:tc>
          <w:tcPr>
            <w:tcW w:w="5430" w:type="dxa"/>
            <w:gridSpan w:val="5"/>
            <w:vAlign w:val="center"/>
          </w:tcPr>
          <w:p>
            <w:pPr>
              <w:jc w:val="center"/>
              <w:rPr>
                <w:b/>
                <w:color w:val="auto"/>
                <w:szCs w:val="21"/>
                <w:highlight w:val="none"/>
              </w:rPr>
            </w:pPr>
            <w:r>
              <w:rPr>
                <w:b/>
                <w:color w:val="auto"/>
                <w:szCs w:val="21"/>
                <w:highlight w:val="none"/>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85" w:type="dxa"/>
            <w:vAlign w:val="center"/>
          </w:tcPr>
          <w:p>
            <w:pPr>
              <w:jc w:val="center"/>
              <w:rPr>
                <w:b/>
                <w:color w:val="auto"/>
                <w:szCs w:val="21"/>
                <w:highlight w:val="none"/>
              </w:rPr>
            </w:pPr>
            <w:r>
              <w:rPr>
                <w:b/>
                <w:color w:val="auto"/>
                <w:szCs w:val="21"/>
                <w:highlight w:val="none"/>
              </w:rPr>
              <w:t>序号</w:t>
            </w:r>
          </w:p>
        </w:tc>
        <w:tc>
          <w:tcPr>
            <w:tcW w:w="1397" w:type="dxa"/>
            <w:vAlign w:val="center"/>
          </w:tcPr>
          <w:p>
            <w:pPr>
              <w:jc w:val="center"/>
              <w:rPr>
                <w:b/>
                <w:color w:val="auto"/>
                <w:szCs w:val="21"/>
                <w:highlight w:val="none"/>
              </w:rPr>
            </w:pPr>
            <w:r>
              <w:rPr>
                <w:b/>
                <w:color w:val="auto"/>
                <w:szCs w:val="21"/>
                <w:highlight w:val="none"/>
              </w:rPr>
              <w:t>名称</w:t>
            </w:r>
          </w:p>
        </w:tc>
        <w:tc>
          <w:tcPr>
            <w:tcW w:w="1137" w:type="dxa"/>
            <w:vAlign w:val="center"/>
          </w:tcPr>
          <w:p>
            <w:pPr>
              <w:jc w:val="center"/>
              <w:rPr>
                <w:b/>
                <w:color w:val="auto"/>
                <w:szCs w:val="21"/>
                <w:highlight w:val="none"/>
              </w:rPr>
            </w:pPr>
            <w:r>
              <w:rPr>
                <w:b/>
                <w:color w:val="auto"/>
                <w:szCs w:val="21"/>
                <w:highlight w:val="none"/>
              </w:rPr>
              <w:t>数量（t/a）</w:t>
            </w:r>
          </w:p>
        </w:tc>
        <w:tc>
          <w:tcPr>
            <w:tcW w:w="525" w:type="dxa"/>
            <w:vAlign w:val="center"/>
          </w:tcPr>
          <w:p>
            <w:pPr>
              <w:jc w:val="center"/>
              <w:rPr>
                <w:b/>
                <w:color w:val="auto"/>
                <w:szCs w:val="21"/>
                <w:highlight w:val="none"/>
              </w:rPr>
            </w:pPr>
            <w:r>
              <w:rPr>
                <w:b/>
                <w:color w:val="auto"/>
                <w:szCs w:val="21"/>
                <w:highlight w:val="none"/>
              </w:rPr>
              <w:t>序号</w:t>
            </w:r>
          </w:p>
        </w:tc>
        <w:tc>
          <w:tcPr>
            <w:tcW w:w="3727" w:type="dxa"/>
            <w:gridSpan w:val="3"/>
            <w:vAlign w:val="center"/>
          </w:tcPr>
          <w:p>
            <w:pPr>
              <w:jc w:val="center"/>
              <w:rPr>
                <w:b/>
                <w:color w:val="auto"/>
                <w:szCs w:val="21"/>
                <w:highlight w:val="none"/>
              </w:rPr>
            </w:pPr>
            <w:r>
              <w:rPr>
                <w:b/>
                <w:color w:val="auto"/>
                <w:szCs w:val="21"/>
                <w:highlight w:val="none"/>
              </w:rPr>
              <w:t>名称</w:t>
            </w:r>
          </w:p>
        </w:tc>
        <w:tc>
          <w:tcPr>
            <w:tcW w:w="1178" w:type="dxa"/>
            <w:vAlign w:val="center"/>
          </w:tcPr>
          <w:p>
            <w:pPr>
              <w:jc w:val="center"/>
              <w:rPr>
                <w:b/>
                <w:color w:val="auto"/>
                <w:szCs w:val="21"/>
                <w:highlight w:val="none"/>
              </w:rPr>
            </w:pPr>
            <w:r>
              <w:rPr>
                <w:b/>
                <w:color w:val="auto"/>
                <w:szCs w:val="21"/>
                <w:highlight w:val="none"/>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585" w:type="dxa"/>
            <w:vMerge w:val="restart"/>
            <w:vAlign w:val="center"/>
          </w:tcPr>
          <w:p>
            <w:pPr>
              <w:jc w:val="center"/>
              <w:rPr>
                <w:color w:val="auto"/>
                <w:szCs w:val="21"/>
                <w:highlight w:val="none"/>
              </w:rPr>
            </w:pPr>
            <w:bookmarkStart w:id="386" w:name="_Hlk492548986"/>
            <w:r>
              <w:rPr>
                <w:color w:val="auto"/>
                <w:szCs w:val="21"/>
                <w:highlight w:val="none"/>
              </w:rPr>
              <w:t>1</w:t>
            </w:r>
          </w:p>
        </w:tc>
        <w:tc>
          <w:tcPr>
            <w:tcW w:w="1397" w:type="dxa"/>
            <w:vMerge w:val="restart"/>
            <w:vAlign w:val="center"/>
          </w:tcPr>
          <w:p>
            <w:pPr>
              <w:jc w:val="center"/>
              <w:rPr>
                <w:rFonts w:hint="default" w:eastAsia="宋体"/>
                <w:color w:val="auto"/>
                <w:szCs w:val="21"/>
                <w:highlight w:val="none"/>
                <w:lang w:val="en-US" w:eastAsia="zh-CN"/>
              </w:rPr>
            </w:pPr>
            <w:r>
              <w:rPr>
                <w:rFonts w:hint="eastAsia"/>
                <w:bCs/>
                <w:color w:val="auto"/>
                <w:kern w:val="0"/>
                <w:szCs w:val="21"/>
                <w:highlight w:val="none"/>
                <w:lang w:val="en-US" w:eastAsia="zh-CN"/>
              </w:rPr>
              <w:t>聚丙烯树脂颗粒（再生料、新料）</w:t>
            </w:r>
          </w:p>
        </w:tc>
        <w:tc>
          <w:tcPr>
            <w:tcW w:w="1137" w:type="dxa"/>
            <w:vMerge w:val="restart"/>
            <w:vAlign w:val="center"/>
          </w:tcPr>
          <w:p>
            <w:pPr>
              <w:jc w:val="center"/>
              <w:rPr>
                <w:rFonts w:hint="default"/>
                <w:color w:val="auto"/>
                <w:highlight w:val="none"/>
                <w:lang w:val="en-US" w:eastAsia="zh-CN"/>
              </w:rPr>
            </w:pPr>
            <w:r>
              <w:rPr>
                <w:rFonts w:hint="eastAsia"/>
                <w:color w:val="auto"/>
                <w:szCs w:val="21"/>
                <w:highlight w:val="none"/>
                <w:lang w:val="en-US" w:eastAsia="zh-CN"/>
              </w:rPr>
              <w:t>1254.0062</w:t>
            </w:r>
          </w:p>
        </w:tc>
        <w:tc>
          <w:tcPr>
            <w:tcW w:w="525" w:type="dxa"/>
            <w:vAlign w:val="center"/>
          </w:tcPr>
          <w:p>
            <w:pPr>
              <w:jc w:val="center"/>
              <w:rPr>
                <w:color w:val="auto"/>
                <w:szCs w:val="21"/>
                <w:highlight w:val="none"/>
              </w:rPr>
            </w:pPr>
            <w:r>
              <w:rPr>
                <w:color w:val="auto"/>
                <w:szCs w:val="21"/>
                <w:highlight w:val="none"/>
              </w:rPr>
              <w:t>1</w:t>
            </w:r>
          </w:p>
        </w:tc>
        <w:tc>
          <w:tcPr>
            <w:tcW w:w="616" w:type="dxa"/>
            <w:vAlign w:val="center"/>
          </w:tcPr>
          <w:p>
            <w:pPr>
              <w:jc w:val="center"/>
              <w:rPr>
                <w:color w:val="auto"/>
                <w:szCs w:val="21"/>
                <w:highlight w:val="none"/>
              </w:rPr>
            </w:pPr>
            <w:r>
              <w:rPr>
                <w:color w:val="auto"/>
                <w:szCs w:val="21"/>
                <w:highlight w:val="none"/>
              </w:rPr>
              <w:t>产品</w:t>
            </w:r>
          </w:p>
        </w:tc>
        <w:tc>
          <w:tcPr>
            <w:tcW w:w="3111" w:type="dxa"/>
            <w:gridSpan w:val="2"/>
            <w:vAlign w:val="center"/>
          </w:tcPr>
          <w:p>
            <w:pPr>
              <w:jc w:val="center"/>
              <w:rPr>
                <w:rFonts w:hint="default" w:eastAsia="宋体"/>
                <w:color w:val="auto"/>
                <w:szCs w:val="21"/>
                <w:highlight w:val="none"/>
                <w:lang w:val="en-US" w:eastAsia="zh-CN"/>
              </w:rPr>
            </w:pPr>
            <w:r>
              <w:rPr>
                <w:rFonts w:hint="eastAsia"/>
                <w:bCs/>
                <w:color w:val="auto"/>
                <w:szCs w:val="21"/>
                <w:highlight w:val="none"/>
                <w:lang w:val="en-US" w:eastAsia="zh-CN"/>
              </w:rPr>
              <w:t>塑料蔬菜框</w:t>
            </w:r>
          </w:p>
        </w:tc>
        <w:tc>
          <w:tcPr>
            <w:tcW w:w="1178" w:type="dxa"/>
            <w:vAlign w:val="center"/>
          </w:tcPr>
          <w:p>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Merge w:val="restart"/>
            <w:vAlign w:val="center"/>
          </w:tcPr>
          <w:p>
            <w:pPr>
              <w:jc w:val="center"/>
              <w:rPr>
                <w:color w:val="auto"/>
                <w:szCs w:val="21"/>
                <w:highlight w:val="none"/>
              </w:rPr>
            </w:pPr>
            <w:r>
              <w:rPr>
                <w:color w:val="auto"/>
                <w:szCs w:val="21"/>
                <w:highlight w:val="none"/>
              </w:rPr>
              <w:t>2</w:t>
            </w:r>
          </w:p>
        </w:tc>
        <w:tc>
          <w:tcPr>
            <w:tcW w:w="616" w:type="dxa"/>
            <w:vMerge w:val="restart"/>
            <w:vAlign w:val="center"/>
          </w:tcPr>
          <w:p>
            <w:pPr>
              <w:jc w:val="center"/>
              <w:rPr>
                <w:color w:val="auto"/>
                <w:szCs w:val="21"/>
                <w:highlight w:val="none"/>
              </w:rPr>
            </w:pPr>
            <w:r>
              <w:rPr>
                <w:color w:val="auto"/>
                <w:szCs w:val="21"/>
                <w:highlight w:val="none"/>
              </w:rPr>
              <w:t>废气</w:t>
            </w:r>
          </w:p>
        </w:tc>
        <w:tc>
          <w:tcPr>
            <w:tcW w:w="1676" w:type="dxa"/>
            <w:vMerge w:val="restart"/>
            <w:vAlign w:val="center"/>
          </w:tcPr>
          <w:p>
            <w:pPr>
              <w:rPr>
                <w:color w:val="auto"/>
                <w:szCs w:val="21"/>
                <w:highlight w:val="none"/>
              </w:rPr>
            </w:pPr>
            <w:r>
              <w:rPr>
                <w:rFonts w:hint="eastAsia"/>
                <w:color w:val="auto"/>
                <w:szCs w:val="21"/>
                <w:highlight w:val="none"/>
                <w:lang w:val="en-US" w:eastAsia="zh-CN"/>
              </w:rPr>
              <w:t>拌料</w:t>
            </w:r>
            <w:r>
              <w:rPr>
                <w:color w:val="auto"/>
                <w:szCs w:val="21"/>
                <w:highlight w:val="none"/>
              </w:rPr>
              <w:t>工序产生的粉尘</w:t>
            </w:r>
          </w:p>
        </w:tc>
        <w:tc>
          <w:tcPr>
            <w:tcW w:w="1435" w:type="dxa"/>
            <w:vAlign w:val="center"/>
          </w:tcPr>
          <w:p>
            <w:pPr>
              <w:jc w:val="center"/>
              <w:rPr>
                <w:color w:val="auto"/>
                <w:szCs w:val="21"/>
                <w:highlight w:val="none"/>
              </w:rPr>
            </w:pPr>
            <w:r>
              <w:rPr>
                <w:color w:val="auto"/>
                <w:szCs w:val="21"/>
                <w:highlight w:val="none"/>
              </w:rPr>
              <w:t>无组织排放</w:t>
            </w:r>
          </w:p>
        </w:tc>
        <w:tc>
          <w:tcPr>
            <w:tcW w:w="117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Merge w:val="continue"/>
            <w:vAlign w:val="center"/>
          </w:tcPr>
          <w:p>
            <w:pPr>
              <w:jc w:val="center"/>
              <w:rPr>
                <w:color w:val="auto"/>
                <w:szCs w:val="21"/>
                <w:highlight w:val="none"/>
              </w:rPr>
            </w:pPr>
          </w:p>
        </w:tc>
        <w:tc>
          <w:tcPr>
            <w:tcW w:w="616" w:type="dxa"/>
            <w:vMerge w:val="continue"/>
            <w:vAlign w:val="center"/>
          </w:tcPr>
          <w:p>
            <w:pPr>
              <w:jc w:val="center"/>
              <w:rPr>
                <w:color w:val="auto"/>
                <w:szCs w:val="21"/>
                <w:highlight w:val="none"/>
              </w:rPr>
            </w:pPr>
          </w:p>
        </w:tc>
        <w:tc>
          <w:tcPr>
            <w:tcW w:w="1676" w:type="dxa"/>
            <w:vMerge w:val="continue"/>
            <w:vAlign w:val="center"/>
          </w:tcPr>
          <w:p>
            <w:pPr>
              <w:rPr>
                <w:rFonts w:hint="eastAsia"/>
                <w:color w:val="auto"/>
                <w:szCs w:val="21"/>
                <w:highlight w:val="none"/>
                <w:lang w:val="en-US" w:eastAsia="zh-CN"/>
              </w:rPr>
            </w:pPr>
          </w:p>
        </w:tc>
        <w:tc>
          <w:tcPr>
            <w:tcW w:w="143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封闭装置、车间沉降</w:t>
            </w:r>
          </w:p>
        </w:tc>
        <w:tc>
          <w:tcPr>
            <w:tcW w:w="1178"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Merge w:val="continue"/>
            <w:vAlign w:val="center"/>
          </w:tcPr>
          <w:p>
            <w:pPr>
              <w:jc w:val="center"/>
              <w:rPr>
                <w:color w:val="auto"/>
                <w:szCs w:val="21"/>
                <w:highlight w:val="none"/>
              </w:rPr>
            </w:pPr>
          </w:p>
        </w:tc>
        <w:tc>
          <w:tcPr>
            <w:tcW w:w="616" w:type="dxa"/>
            <w:vMerge w:val="continue"/>
            <w:vAlign w:val="center"/>
          </w:tcPr>
          <w:p>
            <w:pPr>
              <w:jc w:val="center"/>
              <w:rPr>
                <w:color w:val="auto"/>
                <w:szCs w:val="21"/>
                <w:highlight w:val="none"/>
              </w:rPr>
            </w:pPr>
          </w:p>
        </w:tc>
        <w:tc>
          <w:tcPr>
            <w:tcW w:w="1676" w:type="dxa"/>
            <w:vMerge w:val="restar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破碎工序产生的粉尘</w:t>
            </w:r>
          </w:p>
        </w:tc>
        <w:tc>
          <w:tcPr>
            <w:tcW w:w="143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无组织排放</w:t>
            </w:r>
          </w:p>
        </w:tc>
        <w:tc>
          <w:tcPr>
            <w:tcW w:w="117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Merge w:val="continue"/>
            <w:vAlign w:val="center"/>
          </w:tcPr>
          <w:p>
            <w:pPr>
              <w:jc w:val="center"/>
              <w:rPr>
                <w:color w:val="auto"/>
                <w:szCs w:val="21"/>
                <w:highlight w:val="none"/>
              </w:rPr>
            </w:pPr>
          </w:p>
        </w:tc>
        <w:tc>
          <w:tcPr>
            <w:tcW w:w="616" w:type="dxa"/>
            <w:vMerge w:val="continue"/>
            <w:vAlign w:val="center"/>
          </w:tcPr>
          <w:p>
            <w:pPr>
              <w:jc w:val="center"/>
              <w:rPr>
                <w:color w:val="auto"/>
                <w:szCs w:val="21"/>
                <w:highlight w:val="none"/>
              </w:rPr>
            </w:pPr>
          </w:p>
        </w:tc>
        <w:tc>
          <w:tcPr>
            <w:tcW w:w="1676" w:type="dxa"/>
            <w:vMerge w:val="continue"/>
            <w:vAlign w:val="center"/>
          </w:tcPr>
          <w:p>
            <w:pPr>
              <w:jc w:val="center"/>
              <w:rPr>
                <w:rFonts w:hint="eastAsia"/>
                <w:color w:val="auto"/>
                <w:szCs w:val="21"/>
                <w:highlight w:val="none"/>
                <w:lang w:val="en-US" w:eastAsia="zh-CN"/>
              </w:rPr>
            </w:pPr>
          </w:p>
        </w:tc>
        <w:tc>
          <w:tcPr>
            <w:tcW w:w="1435"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封闭破碎、车间沉降</w:t>
            </w:r>
          </w:p>
        </w:tc>
        <w:tc>
          <w:tcPr>
            <w:tcW w:w="1178"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Merge w:val="continue"/>
            <w:vAlign w:val="center"/>
          </w:tcPr>
          <w:p>
            <w:pPr>
              <w:jc w:val="center"/>
              <w:rPr>
                <w:color w:val="auto"/>
                <w:szCs w:val="21"/>
                <w:highlight w:val="none"/>
              </w:rPr>
            </w:pPr>
          </w:p>
        </w:tc>
        <w:tc>
          <w:tcPr>
            <w:tcW w:w="616" w:type="dxa"/>
            <w:vMerge w:val="continue"/>
            <w:vAlign w:val="center"/>
          </w:tcPr>
          <w:p>
            <w:pPr>
              <w:jc w:val="center"/>
              <w:rPr>
                <w:color w:val="auto"/>
                <w:szCs w:val="21"/>
                <w:highlight w:val="none"/>
              </w:rPr>
            </w:pPr>
          </w:p>
        </w:tc>
        <w:tc>
          <w:tcPr>
            <w:tcW w:w="1676" w:type="dxa"/>
            <w:vMerge w:val="restart"/>
            <w:vAlign w:val="center"/>
          </w:tcPr>
          <w:p>
            <w:pPr>
              <w:jc w:val="center"/>
              <w:rPr>
                <w:color w:val="auto"/>
                <w:szCs w:val="21"/>
                <w:highlight w:val="none"/>
              </w:rPr>
            </w:pPr>
            <w:r>
              <w:rPr>
                <w:rFonts w:hint="eastAsia"/>
                <w:color w:val="auto"/>
                <w:szCs w:val="21"/>
                <w:highlight w:val="none"/>
                <w:lang w:val="en-US" w:eastAsia="zh-CN"/>
              </w:rPr>
              <w:t>热熔注塑</w:t>
            </w:r>
            <w:r>
              <w:rPr>
                <w:color w:val="auto"/>
                <w:szCs w:val="21"/>
                <w:highlight w:val="none"/>
              </w:rPr>
              <w:t>过程产生的有机废气</w:t>
            </w:r>
          </w:p>
        </w:tc>
        <w:tc>
          <w:tcPr>
            <w:tcW w:w="1435" w:type="dxa"/>
            <w:vAlign w:val="center"/>
          </w:tcPr>
          <w:p>
            <w:pPr>
              <w:jc w:val="center"/>
              <w:rPr>
                <w:color w:val="auto"/>
                <w:szCs w:val="21"/>
                <w:highlight w:val="none"/>
              </w:rPr>
            </w:pPr>
            <w:r>
              <w:rPr>
                <w:color w:val="auto"/>
                <w:szCs w:val="21"/>
                <w:highlight w:val="none"/>
              </w:rPr>
              <w:t>有组织排放</w:t>
            </w:r>
          </w:p>
        </w:tc>
        <w:tc>
          <w:tcPr>
            <w:tcW w:w="117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Merge w:val="continue"/>
            <w:vAlign w:val="center"/>
          </w:tcPr>
          <w:p>
            <w:pPr>
              <w:jc w:val="center"/>
              <w:rPr>
                <w:color w:val="auto"/>
                <w:szCs w:val="21"/>
                <w:highlight w:val="none"/>
              </w:rPr>
            </w:pPr>
          </w:p>
        </w:tc>
        <w:tc>
          <w:tcPr>
            <w:tcW w:w="616" w:type="dxa"/>
            <w:vMerge w:val="continue"/>
            <w:vAlign w:val="center"/>
          </w:tcPr>
          <w:p>
            <w:pPr>
              <w:jc w:val="center"/>
              <w:rPr>
                <w:color w:val="auto"/>
                <w:szCs w:val="21"/>
                <w:highlight w:val="none"/>
              </w:rPr>
            </w:pPr>
          </w:p>
        </w:tc>
        <w:tc>
          <w:tcPr>
            <w:tcW w:w="1676" w:type="dxa"/>
            <w:vMerge w:val="continue"/>
            <w:vAlign w:val="center"/>
          </w:tcPr>
          <w:p>
            <w:pPr>
              <w:jc w:val="center"/>
              <w:rPr>
                <w:color w:val="auto"/>
                <w:szCs w:val="21"/>
                <w:highlight w:val="none"/>
              </w:rPr>
            </w:pPr>
          </w:p>
        </w:tc>
        <w:tc>
          <w:tcPr>
            <w:tcW w:w="1435" w:type="dxa"/>
            <w:vAlign w:val="center"/>
          </w:tcPr>
          <w:p>
            <w:pPr>
              <w:jc w:val="center"/>
              <w:rPr>
                <w:color w:val="auto"/>
                <w:szCs w:val="21"/>
                <w:highlight w:val="none"/>
              </w:rPr>
            </w:pPr>
            <w:r>
              <w:rPr>
                <w:color w:val="auto"/>
                <w:szCs w:val="21"/>
                <w:highlight w:val="none"/>
              </w:rPr>
              <w:t>无组织排放</w:t>
            </w:r>
          </w:p>
        </w:tc>
        <w:tc>
          <w:tcPr>
            <w:tcW w:w="117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Merge w:val="continue"/>
            <w:vAlign w:val="center"/>
          </w:tcPr>
          <w:p>
            <w:pPr>
              <w:jc w:val="center"/>
              <w:rPr>
                <w:color w:val="auto"/>
                <w:szCs w:val="21"/>
                <w:highlight w:val="none"/>
              </w:rPr>
            </w:pPr>
          </w:p>
        </w:tc>
        <w:tc>
          <w:tcPr>
            <w:tcW w:w="616" w:type="dxa"/>
            <w:vMerge w:val="continue"/>
            <w:vAlign w:val="center"/>
          </w:tcPr>
          <w:p>
            <w:pPr>
              <w:jc w:val="center"/>
              <w:rPr>
                <w:color w:val="auto"/>
                <w:szCs w:val="21"/>
                <w:highlight w:val="none"/>
              </w:rPr>
            </w:pPr>
          </w:p>
        </w:tc>
        <w:tc>
          <w:tcPr>
            <w:tcW w:w="1676" w:type="dxa"/>
            <w:vMerge w:val="continue"/>
            <w:vAlign w:val="center"/>
          </w:tcPr>
          <w:p>
            <w:pPr>
              <w:jc w:val="center"/>
              <w:rPr>
                <w:color w:val="auto"/>
                <w:szCs w:val="21"/>
                <w:highlight w:val="none"/>
              </w:rPr>
            </w:pPr>
          </w:p>
        </w:tc>
        <w:tc>
          <w:tcPr>
            <w:tcW w:w="1435" w:type="dxa"/>
            <w:vAlign w:val="center"/>
          </w:tcPr>
          <w:p>
            <w:pPr>
              <w:jc w:val="center"/>
              <w:rPr>
                <w:color w:val="auto"/>
                <w:szCs w:val="21"/>
                <w:highlight w:val="none"/>
              </w:rPr>
            </w:pPr>
            <w:r>
              <w:rPr>
                <w:rFonts w:hint="eastAsia"/>
                <w:color w:val="auto"/>
                <w:szCs w:val="21"/>
                <w:highlight w:val="none"/>
                <w:lang w:val="en-US" w:eastAsia="zh-CN"/>
              </w:rPr>
              <w:t>活性炭</w:t>
            </w:r>
            <w:r>
              <w:rPr>
                <w:rFonts w:hint="eastAsia"/>
                <w:color w:val="auto"/>
                <w:szCs w:val="21"/>
                <w:highlight w:val="none"/>
              </w:rPr>
              <w:t>吸附去除</w:t>
            </w:r>
          </w:p>
        </w:tc>
        <w:tc>
          <w:tcPr>
            <w:tcW w:w="117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85" w:type="dxa"/>
            <w:vMerge w:val="continue"/>
            <w:vAlign w:val="center"/>
          </w:tcPr>
          <w:p>
            <w:pPr>
              <w:jc w:val="center"/>
              <w:rPr>
                <w:color w:val="auto"/>
                <w:szCs w:val="21"/>
                <w:highlight w:val="none"/>
              </w:rPr>
            </w:pPr>
          </w:p>
        </w:tc>
        <w:tc>
          <w:tcPr>
            <w:tcW w:w="1397" w:type="dxa"/>
            <w:vMerge w:val="continue"/>
            <w:vAlign w:val="center"/>
          </w:tcPr>
          <w:p>
            <w:pPr>
              <w:jc w:val="center"/>
              <w:rPr>
                <w:color w:val="auto"/>
                <w:szCs w:val="21"/>
                <w:highlight w:val="none"/>
              </w:rPr>
            </w:pPr>
          </w:p>
        </w:tc>
        <w:tc>
          <w:tcPr>
            <w:tcW w:w="1137" w:type="dxa"/>
            <w:vMerge w:val="continue"/>
            <w:vAlign w:val="center"/>
          </w:tcPr>
          <w:p>
            <w:pPr>
              <w:jc w:val="center"/>
              <w:rPr>
                <w:color w:val="auto"/>
                <w:szCs w:val="21"/>
                <w:highlight w:val="none"/>
              </w:rPr>
            </w:pPr>
          </w:p>
        </w:tc>
        <w:tc>
          <w:tcPr>
            <w:tcW w:w="525"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61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167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不合格产品及边角料</w:t>
            </w:r>
          </w:p>
        </w:tc>
        <w:tc>
          <w:tcPr>
            <w:tcW w:w="1435" w:type="dxa"/>
            <w:vAlign w:val="center"/>
          </w:tcPr>
          <w:p>
            <w:pPr>
              <w:jc w:val="center"/>
              <w:rPr>
                <w:rFonts w:hint="eastAsia"/>
                <w:color w:val="auto"/>
                <w:szCs w:val="21"/>
                <w:highlight w:val="none"/>
              </w:rPr>
            </w:pPr>
          </w:p>
        </w:tc>
        <w:tc>
          <w:tcPr>
            <w:tcW w:w="1178" w:type="dxa"/>
            <w:vAlign w:val="center"/>
          </w:tcPr>
          <w:p>
            <w:pPr>
              <w:jc w:val="center"/>
              <w:rPr>
                <w:rFonts w:hint="eastAsia"/>
                <w:color w:val="auto"/>
                <w:szCs w:val="21"/>
                <w:highlight w:val="none"/>
                <w:lang w:val="en-US" w:eastAsia="zh-CN"/>
              </w:rPr>
            </w:pPr>
          </w:p>
        </w:tc>
      </w:tr>
      <w:bookmarkEnd w:id="3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82" w:type="dxa"/>
            <w:gridSpan w:val="2"/>
            <w:vAlign w:val="center"/>
          </w:tcPr>
          <w:p>
            <w:pPr>
              <w:jc w:val="center"/>
              <w:rPr>
                <w:color w:val="auto"/>
                <w:szCs w:val="21"/>
                <w:highlight w:val="none"/>
              </w:rPr>
            </w:pPr>
            <w:r>
              <w:rPr>
                <w:color w:val="auto"/>
                <w:szCs w:val="21"/>
                <w:highlight w:val="none"/>
              </w:rPr>
              <w:t>合计</w:t>
            </w:r>
          </w:p>
        </w:tc>
        <w:tc>
          <w:tcPr>
            <w:tcW w:w="1137" w:type="dxa"/>
            <w:vAlign w:val="center"/>
          </w:tcPr>
          <w:p>
            <w:pPr>
              <w:jc w:val="center"/>
              <w:rPr>
                <w:rFonts w:hint="default"/>
                <w:color w:val="auto"/>
                <w:highlight w:val="none"/>
                <w:lang w:val="en-US" w:eastAsia="zh-CN"/>
              </w:rPr>
            </w:pPr>
            <w:r>
              <w:rPr>
                <w:rFonts w:hint="eastAsia"/>
                <w:color w:val="auto"/>
                <w:szCs w:val="21"/>
                <w:highlight w:val="none"/>
                <w:lang w:val="en-US" w:eastAsia="zh-CN"/>
              </w:rPr>
              <w:t>1254.0062</w:t>
            </w:r>
          </w:p>
        </w:tc>
        <w:tc>
          <w:tcPr>
            <w:tcW w:w="4252" w:type="dxa"/>
            <w:gridSpan w:val="4"/>
            <w:vAlign w:val="center"/>
          </w:tcPr>
          <w:p>
            <w:pPr>
              <w:jc w:val="center"/>
              <w:rPr>
                <w:color w:val="auto"/>
                <w:szCs w:val="21"/>
                <w:highlight w:val="none"/>
              </w:rPr>
            </w:pPr>
            <w:r>
              <w:rPr>
                <w:color w:val="auto"/>
                <w:szCs w:val="21"/>
                <w:highlight w:val="none"/>
              </w:rPr>
              <w:t>合计</w:t>
            </w:r>
          </w:p>
        </w:tc>
        <w:tc>
          <w:tcPr>
            <w:tcW w:w="117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1254.0062</w:t>
            </w:r>
          </w:p>
        </w:tc>
      </w:tr>
    </w:tbl>
    <w:p>
      <w:pPr>
        <w:spacing w:line="360" w:lineRule="auto"/>
        <w:jc w:val="center"/>
        <w:rPr>
          <w:b/>
          <w:color w:val="auto"/>
          <w:sz w:val="24"/>
          <w:highlight w:val="none"/>
          <w:lang w:val="en-GB"/>
        </w:rPr>
      </w:pPr>
      <w:r>
        <w:rPr>
          <w:b/>
          <w:color w:val="auto"/>
          <w:sz w:val="24"/>
          <w:highlight w:val="none"/>
          <w:lang w:val="en-GB"/>
        </w:rPr>
        <w:object>
          <v:shape id="_x0000_i1029" o:spt="75" type="#_x0000_t75" style="height:280.95pt;width:343.8pt;" o:ole="t" filled="f" o:preferrelative="t" stroked="f" coordsize="21600,21600">
            <v:path/>
            <v:fill on="f" focussize="0,0"/>
            <v:stroke on="f"/>
            <v:imagedata r:id="rId23" o:title=""/>
            <o:lock v:ext="edit" aspectratio="f"/>
            <w10:wrap type="none"/>
            <w10:anchorlock/>
          </v:shape>
          <o:OLEObject Type="Embed" ProgID="Visio.Drawing.11" ShapeID="_x0000_i1029" DrawAspect="Content" ObjectID="_1468075729" r:id="rId22">
            <o:LockedField>false</o:LockedField>
          </o:OLEObject>
        </w:object>
      </w:r>
    </w:p>
    <w:p>
      <w:pPr>
        <w:spacing w:line="360" w:lineRule="auto"/>
        <w:jc w:val="center"/>
        <w:rPr>
          <w:b/>
          <w:color w:val="auto"/>
          <w:sz w:val="24"/>
          <w:highlight w:val="none"/>
          <w:lang w:val="en-GB"/>
        </w:rPr>
      </w:pPr>
      <w:r>
        <w:rPr>
          <w:b/>
          <w:color w:val="auto"/>
          <w:sz w:val="24"/>
          <w:highlight w:val="none"/>
          <w:lang w:val="en-GB"/>
        </w:rPr>
        <w:t>图</w:t>
      </w:r>
      <w:r>
        <w:rPr>
          <w:b/>
          <w:color w:val="auto"/>
          <w:sz w:val="24"/>
          <w:highlight w:val="none"/>
        </w:rPr>
        <w:t>3</w:t>
      </w:r>
      <w:r>
        <w:rPr>
          <w:b/>
          <w:color w:val="auto"/>
          <w:sz w:val="24"/>
          <w:highlight w:val="none"/>
          <w:lang w:val="en-GB"/>
        </w:rPr>
        <w:t>.3-</w:t>
      </w:r>
      <w:r>
        <w:rPr>
          <w:rFonts w:hint="eastAsia"/>
          <w:b/>
          <w:color w:val="auto"/>
          <w:sz w:val="24"/>
          <w:highlight w:val="none"/>
          <w:lang w:val="en-US" w:eastAsia="zh-CN"/>
        </w:rPr>
        <w:t>3</w:t>
      </w:r>
      <w:r>
        <w:rPr>
          <w:b/>
          <w:color w:val="auto"/>
          <w:sz w:val="24"/>
          <w:highlight w:val="none"/>
          <w:lang w:val="en-GB"/>
        </w:rPr>
        <w:t xml:space="preserve">  物料平衡图    单位t/a</w:t>
      </w:r>
    </w:p>
    <w:p>
      <w:pPr>
        <w:keepNext/>
        <w:keepLines/>
        <w:spacing w:line="360" w:lineRule="auto"/>
        <w:outlineLvl w:val="1"/>
        <w:rPr>
          <w:b/>
          <w:bCs/>
          <w:color w:val="auto"/>
          <w:sz w:val="28"/>
          <w:szCs w:val="28"/>
          <w:highlight w:val="none"/>
        </w:rPr>
      </w:pPr>
      <w:bookmarkStart w:id="387" w:name="_Toc75908664"/>
      <w:bookmarkStart w:id="388" w:name="_Toc341369437"/>
      <w:bookmarkStart w:id="389" w:name="_Toc367282056"/>
      <w:bookmarkStart w:id="390" w:name="_Toc367281473"/>
      <w:bookmarkStart w:id="391" w:name="_Toc275730359"/>
      <w:bookmarkStart w:id="392" w:name="_Toc26899"/>
      <w:bookmarkStart w:id="393" w:name="_Toc275001995"/>
      <w:r>
        <w:rPr>
          <w:b/>
          <w:bCs/>
          <w:color w:val="auto"/>
          <w:sz w:val="28"/>
          <w:szCs w:val="28"/>
          <w:highlight w:val="none"/>
        </w:rPr>
        <w:t>3.4施工期污染源分析</w:t>
      </w:r>
      <w:bookmarkEnd w:id="387"/>
      <w:bookmarkEnd w:id="388"/>
      <w:bookmarkEnd w:id="389"/>
      <w:bookmarkEnd w:id="390"/>
      <w:bookmarkEnd w:id="391"/>
      <w:bookmarkEnd w:id="392"/>
      <w:bookmarkEnd w:id="393"/>
    </w:p>
    <w:p>
      <w:pPr>
        <w:keepNext/>
        <w:keepLines/>
        <w:spacing w:line="360" w:lineRule="auto"/>
        <w:outlineLvl w:val="2"/>
        <w:rPr>
          <w:b/>
          <w:bCs/>
          <w:color w:val="auto"/>
          <w:sz w:val="24"/>
          <w:highlight w:val="none"/>
        </w:rPr>
      </w:pPr>
      <w:bookmarkStart w:id="394" w:name="_Toc275001997"/>
      <w:bookmarkStart w:id="395" w:name="_Toc75908665"/>
      <w:bookmarkStart w:id="396" w:name="_Toc367282057"/>
      <w:bookmarkStart w:id="397" w:name="_Toc367281474"/>
      <w:bookmarkStart w:id="398" w:name="_Toc14524"/>
      <w:bookmarkStart w:id="399" w:name="_Toc275730361"/>
      <w:bookmarkStart w:id="400" w:name="_Toc341369438"/>
      <w:bookmarkStart w:id="401" w:name="_Toc275001996"/>
      <w:bookmarkStart w:id="402" w:name="_Toc275730360"/>
      <w:r>
        <w:rPr>
          <w:b/>
          <w:bCs/>
          <w:color w:val="auto"/>
          <w:sz w:val="24"/>
          <w:highlight w:val="none"/>
        </w:rPr>
        <w:t>3.4.1废气</w:t>
      </w:r>
      <w:bookmarkEnd w:id="394"/>
      <w:bookmarkEnd w:id="395"/>
      <w:bookmarkEnd w:id="396"/>
      <w:bookmarkEnd w:id="397"/>
      <w:bookmarkEnd w:id="398"/>
      <w:bookmarkEnd w:id="399"/>
      <w:bookmarkEnd w:id="400"/>
    </w:p>
    <w:p>
      <w:pPr>
        <w:spacing w:line="360" w:lineRule="auto"/>
        <w:ind w:firstLine="480" w:firstLineChars="200"/>
        <w:rPr>
          <w:color w:val="auto"/>
          <w:sz w:val="24"/>
          <w:szCs w:val="20"/>
          <w:highlight w:val="none"/>
        </w:rPr>
      </w:pPr>
      <w:r>
        <w:rPr>
          <w:color w:val="auto"/>
          <w:sz w:val="24"/>
          <w:szCs w:val="20"/>
          <w:highlight w:val="none"/>
        </w:rPr>
        <w:t>（1）施工扬尘</w:t>
      </w:r>
    </w:p>
    <w:p>
      <w:pPr>
        <w:pStyle w:val="493"/>
        <w:ind w:firstLine="480"/>
        <w:rPr>
          <w:color w:val="auto"/>
          <w:highlight w:val="none"/>
        </w:rPr>
      </w:pPr>
      <w:r>
        <w:rPr>
          <w:color w:val="auto"/>
          <w:highlight w:val="none"/>
        </w:rPr>
        <w:t>施工期的扬尘主要来自</w:t>
      </w:r>
      <w:r>
        <w:rPr>
          <w:rFonts w:hint="eastAsia"/>
          <w:color w:val="auto"/>
          <w:highlight w:val="none"/>
          <w:lang w:val="en-US" w:eastAsia="zh-CN"/>
        </w:rPr>
        <w:t>厂房装修隔断、设备安装运输进场</w:t>
      </w:r>
      <w:r>
        <w:rPr>
          <w:color w:val="auto"/>
          <w:highlight w:val="none"/>
        </w:rPr>
        <w:t>扬尘，建筑材料搬运及堆放扬尘，施工垃圾堆放及清运扬尘，运输车辆的道路扬尘等。</w:t>
      </w:r>
    </w:p>
    <w:p>
      <w:pPr>
        <w:pStyle w:val="493"/>
        <w:ind w:firstLine="480"/>
        <w:rPr>
          <w:color w:val="auto"/>
          <w:highlight w:val="none"/>
        </w:rPr>
      </w:pPr>
      <w:r>
        <w:rPr>
          <w:color w:val="auto"/>
          <w:kern w:val="0"/>
          <w:szCs w:val="24"/>
          <w:highlight w:val="none"/>
          <w:lang w:bidi="ar"/>
        </w:rPr>
        <w:t>施工扬尘主要污染物为TSP，不含有毒有害的特殊污染物质，对施工环境有一定的污染。颗粒物呈无组织排放，</w:t>
      </w:r>
      <w:r>
        <w:rPr>
          <w:color w:val="auto"/>
          <w:highlight w:val="none"/>
        </w:rPr>
        <w:t>施工扬尘量的大小与施工现场条件、管理水平、机械化程度、施工季节、土质、天气等诸多因素有关，难以定量。</w:t>
      </w:r>
      <w:r>
        <w:rPr>
          <w:color w:val="auto"/>
          <w:kern w:val="0"/>
          <w:szCs w:val="24"/>
          <w:highlight w:val="none"/>
          <w:lang w:bidi="ar"/>
        </w:rPr>
        <w:t>影响较大的区域主要集中在施工场地150m范围内，如在静风、空气湿润条件下，其对空气环境的影响范围将减小，程度将减轻。</w:t>
      </w:r>
    </w:p>
    <w:p>
      <w:pPr>
        <w:spacing w:line="360" w:lineRule="auto"/>
        <w:ind w:firstLine="480" w:firstLineChars="200"/>
        <w:rPr>
          <w:color w:val="auto"/>
          <w:sz w:val="24"/>
          <w:szCs w:val="20"/>
          <w:highlight w:val="none"/>
        </w:rPr>
      </w:pPr>
      <w:r>
        <w:rPr>
          <w:color w:val="auto"/>
          <w:sz w:val="24"/>
          <w:szCs w:val="20"/>
          <w:highlight w:val="none"/>
        </w:rPr>
        <w:t>（2）施工机械废气</w:t>
      </w:r>
    </w:p>
    <w:p>
      <w:pPr>
        <w:spacing w:line="360" w:lineRule="auto"/>
        <w:ind w:firstLine="480" w:firstLineChars="200"/>
        <w:rPr>
          <w:color w:val="auto"/>
          <w:sz w:val="24"/>
          <w:highlight w:val="none"/>
        </w:rPr>
      </w:pPr>
      <w:r>
        <w:rPr>
          <w:color w:val="auto"/>
          <w:sz w:val="24"/>
          <w:highlight w:val="none"/>
        </w:rPr>
        <w:t>施工机械废气和各种运输车辆排放的汽车尾气，主要污染物为NO</w:t>
      </w:r>
      <w:r>
        <w:rPr>
          <w:color w:val="auto"/>
          <w:sz w:val="24"/>
          <w:highlight w:val="none"/>
          <w:vertAlign w:val="subscript"/>
        </w:rPr>
        <w:t>x</w:t>
      </w:r>
      <w:r>
        <w:rPr>
          <w:color w:val="auto"/>
          <w:sz w:val="24"/>
          <w:highlight w:val="none"/>
        </w:rPr>
        <w:t>、CO及THC等。但由于施工期较短，废气污染源具有间歇性和流动性，废气量较小，因此对局部地区的大气环境影响较小。</w:t>
      </w:r>
    </w:p>
    <w:p>
      <w:pPr>
        <w:keepNext/>
        <w:keepLines/>
        <w:spacing w:line="360" w:lineRule="auto"/>
        <w:outlineLvl w:val="2"/>
        <w:rPr>
          <w:b/>
          <w:bCs/>
          <w:color w:val="auto"/>
          <w:sz w:val="24"/>
          <w:highlight w:val="none"/>
        </w:rPr>
      </w:pPr>
      <w:bookmarkStart w:id="403" w:name="_Toc367282058"/>
      <w:bookmarkStart w:id="404" w:name="_Toc22787"/>
      <w:bookmarkStart w:id="405" w:name="_Toc367281475"/>
      <w:bookmarkStart w:id="406" w:name="_Toc75908666"/>
      <w:bookmarkStart w:id="407" w:name="_Toc341369439"/>
      <w:r>
        <w:rPr>
          <w:b/>
          <w:bCs/>
          <w:color w:val="auto"/>
          <w:sz w:val="24"/>
          <w:highlight w:val="none"/>
        </w:rPr>
        <w:t>3.4.2废水</w:t>
      </w:r>
      <w:bookmarkEnd w:id="401"/>
      <w:bookmarkEnd w:id="402"/>
      <w:bookmarkEnd w:id="403"/>
      <w:bookmarkEnd w:id="404"/>
      <w:bookmarkEnd w:id="405"/>
      <w:bookmarkEnd w:id="406"/>
      <w:bookmarkEnd w:id="407"/>
    </w:p>
    <w:p>
      <w:pPr>
        <w:spacing w:line="360" w:lineRule="auto"/>
        <w:ind w:firstLine="480"/>
        <w:rPr>
          <w:color w:val="auto"/>
          <w:sz w:val="24"/>
          <w:highlight w:val="none"/>
        </w:rPr>
      </w:pPr>
      <w:r>
        <w:rPr>
          <w:color w:val="auto"/>
          <w:sz w:val="24"/>
          <w:highlight w:val="none"/>
        </w:rPr>
        <w:t>项目施工期间不在项目区内设置施工营地，施工车辆不在项目区内冲洗，因此施工期的废水主要为少量施工人员的生活污水、施工废水及暴雨地表径流。</w:t>
      </w:r>
    </w:p>
    <w:p>
      <w:pPr>
        <w:spacing w:line="360" w:lineRule="auto"/>
        <w:ind w:firstLine="480"/>
        <w:rPr>
          <w:color w:val="auto"/>
          <w:sz w:val="24"/>
          <w:highlight w:val="none"/>
        </w:rPr>
      </w:pPr>
      <w:r>
        <w:rPr>
          <w:color w:val="auto"/>
          <w:sz w:val="24"/>
          <w:highlight w:val="none"/>
        </w:rPr>
        <w:t>（</w:t>
      </w:r>
      <w:r>
        <w:rPr>
          <w:rFonts w:hint="eastAsia"/>
          <w:color w:val="auto"/>
          <w:sz w:val="24"/>
          <w:highlight w:val="none"/>
        </w:rPr>
        <w:t>1</w:t>
      </w:r>
      <w:r>
        <w:rPr>
          <w:color w:val="auto"/>
          <w:sz w:val="24"/>
          <w:highlight w:val="none"/>
        </w:rPr>
        <w:t>）施工废水</w:t>
      </w:r>
    </w:p>
    <w:p>
      <w:pPr>
        <w:spacing w:line="360" w:lineRule="auto"/>
        <w:ind w:firstLine="480"/>
        <w:rPr>
          <w:color w:val="auto"/>
          <w:sz w:val="24"/>
          <w:highlight w:val="none"/>
        </w:rPr>
      </w:pPr>
      <w:r>
        <w:rPr>
          <w:color w:val="auto"/>
          <w:sz w:val="24"/>
          <w:highlight w:val="none"/>
        </w:rPr>
        <w:t>项目主要在租用厂房内进行装修</w:t>
      </w:r>
      <w:r>
        <w:rPr>
          <w:rFonts w:hint="eastAsia"/>
          <w:color w:val="auto"/>
          <w:sz w:val="24"/>
          <w:highlight w:val="none"/>
          <w:lang w:val="en-US" w:eastAsia="zh-CN"/>
        </w:rPr>
        <w:t>隔断</w:t>
      </w:r>
      <w:r>
        <w:rPr>
          <w:color w:val="auto"/>
          <w:sz w:val="24"/>
          <w:highlight w:val="none"/>
        </w:rPr>
        <w:t>、设备安装</w:t>
      </w:r>
      <w:r>
        <w:rPr>
          <w:rFonts w:hint="eastAsia"/>
          <w:color w:val="auto"/>
          <w:sz w:val="24"/>
          <w:highlight w:val="none"/>
          <w:lang w:val="en-US" w:eastAsia="zh-CN"/>
        </w:rPr>
        <w:t>及调试</w:t>
      </w:r>
      <w:r>
        <w:rPr>
          <w:rFonts w:hint="eastAsia"/>
          <w:color w:val="auto"/>
          <w:sz w:val="24"/>
          <w:highlight w:val="none"/>
        </w:rPr>
        <w:t>。</w:t>
      </w:r>
      <w:r>
        <w:rPr>
          <w:color w:val="auto"/>
          <w:kern w:val="0"/>
          <w:sz w:val="24"/>
          <w:highlight w:val="none"/>
        </w:rPr>
        <w:t>由于施工场使用商品混凝土，</w:t>
      </w:r>
      <w:r>
        <w:rPr>
          <w:rFonts w:hint="eastAsia"/>
          <w:color w:val="auto"/>
          <w:kern w:val="0"/>
          <w:sz w:val="24"/>
          <w:highlight w:val="none"/>
        </w:rPr>
        <w:t>不会产生</w:t>
      </w:r>
      <w:r>
        <w:rPr>
          <w:rFonts w:hint="eastAsia"/>
          <w:color w:val="auto"/>
          <w:kern w:val="0"/>
          <w:sz w:val="24"/>
          <w:highlight w:val="none"/>
          <w:lang w:eastAsia="zh-CN"/>
        </w:rPr>
        <w:t>混凝土养护</w:t>
      </w:r>
      <w:r>
        <w:rPr>
          <w:color w:val="auto"/>
          <w:kern w:val="0"/>
          <w:sz w:val="24"/>
          <w:highlight w:val="none"/>
        </w:rPr>
        <w:t>等废水。</w:t>
      </w:r>
      <w:r>
        <w:rPr>
          <w:color w:val="auto"/>
          <w:sz w:val="24"/>
          <w:highlight w:val="none"/>
        </w:rPr>
        <w:t>设备安装过程中基本不产生废水。</w:t>
      </w:r>
    </w:p>
    <w:p>
      <w:pPr>
        <w:spacing w:line="360" w:lineRule="auto"/>
        <w:ind w:firstLine="480"/>
        <w:rPr>
          <w:color w:val="auto"/>
          <w:sz w:val="24"/>
          <w:highlight w:val="none"/>
        </w:rPr>
      </w:pPr>
      <w:r>
        <w:rPr>
          <w:color w:val="auto"/>
          <w:kern w:val="0"/>
          <w:sz w:val="24"/>
          <w:highlight w:val="none"/>
        </w:rPr>
        <w:t>施工期机械设备、工具清洗等用水量约为</w:t>
      </w:r>
      <w:r>
        <w:rPr>
          <w:rFonts w:hint="eastAsia"/>
          <w:color w:val="auto"/>
          <w:kern w:val="0"/>
          <w:sz w:val="24"/>
          <w:highlight w:val="none"/>
        </w:rPr>
        <w:t>0.5</w:t>
      </w:r>
      <w:r>
        <w:rPr>
          <w:color w:val="auto"/>
          <w:kern w:val="0"/>
          <w:sz w:val="24"/>
          <w:highlight w:val="none"/>
        </w:rPr>
        <w:t>m</w:t>
      </w:r>
      <w:r>
        <w:rPr>
          <w:color w:val="auto"/>
          <w:kern w:val="0"/>
          <w:sz w:val="24"/>
          <w:highlight w:val="none"/>
          <w:vertAlign w:val="superscript"/>
        </w:rPr>
        <w:t>3</w:t>
      </w:r>
      <w:r>
        <w:rPr>
          <w:color w:val="auto"/>
          <w:kern w:val="0"/>
          <w:sz w:val="24"/>
          <w:highlight w:val="none"/>
        </w:rPr>
        <w:t>/d，废水产生量约为0.</w:t>
      </w:r>
      <w:r>
        <w:rPr>
          <w:rFonts w:hint="eastAsia"/>
          <w:color w:val="auto"/>
          <w:kern w:val="0"/>
          <w:sz w:val="24"/>
          <w:highlight w:val="none"/>
        </w:rPr>
        <w:t>45</w:t>
      </w:r>
      <w:r>
        <w:rPr>
          <w:color w:val="auto"/>
          <w:kern w:val="0"/>
          <w:sz w:val="24"/>
          <w:highlight w:val="none"/>
        </w:rPr>
        <w:t>m</w:t>
      </w:r>
      <w:r>
        <w:rPr>
          <w:color w:val="auto"/>
          <w:kern w:val="0"/>
          <w:sz w:val="24"/>
          <w:highlight w:val="none"/>
          <w:vertAlign w:val="superscript"/>
        </w:rPr>
        <w:t>3</w:t>
      </w:r>
      <w:r>
        <w:rPr>
          <w:color w:val="auto"/>
          <w:kern w:val="0"/>
          <w:sz w:val="24"/>
          <w:highlight w:val="none"/>
        </w:rPr>
        <w:t>/d。废水中的污染物主要为SS，</w:t>
      </w:r>
      <w:r>
        <w:rPr>
          <w:rFonts w:hint="eastAsia"/>
          <w:color w:val="auto"/>
          <w:kern w:val="0"/>
          <w:sz w:val="24"/>
          <w:highlight w:val="none"/>
          <w:lang w:val="en-US" w:eastAsia="zh-CN"/>
        </w:rPr>
        <w:t>不含有毒物质，</w:t>
      </w:r>
      <w:r>
        <w:rPr>
          <w:color w:val="auto"/>
          <w:kern w:val="0"/>
          <w:sz w:val="24"/>
          <w:highlight w:val="none"/>
        </w:rPr>
        <w:t>废水经</w:t>
      </w:r>
      <w:r>
        <w:rPr>
          <w:rFonts w:hint="eastAsia"/>
          <w:color w:val="auto"/>
          <w:kern w:val="0"/>
          <w:sz w:val="24"/>
          <w:highlight w:val="none"/>
          <w:lang w:val="en-US" w:eastAsia="zh-CN"/>
        </w:rPr>
        <w:t>临时</w:t>
      </w:r>
      <w:r>
        <w:rPr>
          <w:color w:val="auto"/>
          <w:kern w:val="0"/>
          <w:sz w:val="24"/>
          <w:highlight w:val="none"/>
        </w:rPr>
        <w:t>沉淀</w:t>
      </w:r>
      <w:r>
        <w:rPr>
          <w:rFonts w:hint="eastAsia"/>
          <w:color w:val="auto"/>
          <w:kern w:val="0"/>
          <w:sz w:val="24"/>
          <w:highlight w:val="none"/>
          <w:lang w:val="en-US" w:eastAsia="zh-CN"/>
        </w:rPr>
        <w:t>池收集</w:t>
      </w:r>
      <w:r>
        <w:rPr>
          <w:color w:val="auto"/>
          <w:kern w:val="0"/>
          <w:sz w:val="24"/>
          <w:highlight w:val="none"/>
        </w:rPr>
        <w:t>处理后</w:t>
      </w:r>
      <w:r>
        <w:rPr>
          <w:color w:val="auto"/>
          <w:sz w:val="24"/>
          <w:highlight w:val="none"/>
        </w:rPr>
        <w:t>回用于施工场地洒水降尘，不外排。</w:t>
      </w:r>
    </w:p>
    <w:p>
      <w:pPr>
        <w:spacing w:line="360" w:lineRule="auto"/>
        <w:ind w:firstLine="480"/>
        <w:rPr>
          <w:color w:val="auto"/>
          <w:sz w:val="24"/>
          <w:highlight w:val="none"/>
        </w:rPr>
      </w:pPr>
      <w:r>
        <w:rPr>
          <w:color w:val="auto"/>
          <w:sz w:val="24"/>
          <w:highlight w:val="none"/>
        </w:rPr>
        <w:t>（</w:t>
      </w:r>
      <w:r>
        <w:rPr>
          <w:rFonts w:hint="eastAsia"/>
          <w:color w:val="auto"/>
          <w:sz w:val="24"/>
          <w:highlight w:val="none"/>
        </w:rPr>
        <w:t>2</w:t>
      </w:r>
      <w:r>
        <w:rPr>
          <w:color w:val="auto"/>
          <w:sz w:val="24"/>
          <w:highlight w:val="none"/>
        </w:rPr>
        <w:t>）施工人员生活废水</w:t>
      </w:r>
    </w:p>
    <w:p>
      <w:pPr>
        <w:spacing w:line="360" w:lineRule="auto"/>
        <w:ind w:firstLine="480"/>
        <w:rPr>
          <w:rFonts w:hint="default" w:eastAsia="宋体"/>
          <w:color w:val="auto"/>
          <w:sz w:val="24"/>
          <w:highlight w:val="none"/>
          <w:lang w:val="en-US" w:eastAsia="zh-CN"/>
        </w:rPr>
      </w:pPr>
      <w:r>
        <w:rPr>
          <w:color w:val="auto"/>
          <w:sz w:val="24"/>
          <w:highlight w:val="none"/>
        </w:rPr>
        <w:t>项目施工人员约</w:t>
      </w:r>
      <w:r>
        <w:rPr>
          <w:rFonts w:hint="eastAsia"/>
          <w:color w:val="auto"/>
          <w:sz w:val="24"/>
          <w:highlight w:val="none"/>
          <w:lang w:val="en-US" w:eastAsia="zh-CN"/>
        </w:rPr>
        <w:t>5</w:t>
      </w:r>
      <w:r>
        <w:rPr>
          <w:color w:val="auto"/>
          <w:sz w:val="24"/>
          <w:highlight w:val="none"/>
        </w:rPr>
        <w:t>人，</w:t>
      </w:r>
      <w:r>
        <w:rPr>
          <w:color w:val="auto"/>
          <w:sz w:val="24"/>
          <w:szCs w:val="20"/>
          <w:highlight w:val="none"/>
        </w:rPr>
        <w:t>为当地民工，不安排集中住宿</w:t>
      </w:r>
      <w:r>
        <w:rPr>
          <w:rFonts w:hint="eastAsia"/>
          <w:color w:val="auto"/>
          <w:sz w:val="24"/>
          <w:szCs w:val="20"/>
          <w:highlight w:val="none"/>
        </w:rPr>
        <w:t>。</w:t>
      </w:r>
      <w:r>
        <w:rPr>
          <w:color w:val="auto"/>
          <w:sz w:val="24"/>
          <w:highlight w:val="none"/>
        </w:rPr>
        <w:t>施工</w:t>
      </w:r>
      <w:r>
        <w:rPr>
          <w:rFonts w:hint="eastAsia"/>
          <w:color w:val="auto"/>
          <w:sz w:val="24"/>
          <w:highlight w:val="none"/>
          <w:lang w:val="en-US" w:eastAsia="zh-CN"/>
        </w:rPr>
        <w:t>人员生活废水主要为施工结束后清洗废水，施工人员清洗依托项目周边的卫生间，则清洗废水排入厂区内已建化粪池。</w:t>
      </w:r>
      <w:r>
        <w:rPr>
          <w:color w:val="auto"/>
          <w:sz w:val="24"/>
          <w:highlight w:val="none"/>
        </w:rPr>
        <w:t>结合项目实际情况，生活用水量按15L/人.d计算，则施工期用水量为</w:t>
      </w:r>
      <w:r>
        <w:rPr>
          <w:rFonts w:hint="eastAsia"/>
          <w:color w:val="auto"/>
          <w:sz w:val="24"/>
          <w:highlight w:val="none"/>
          <w:lang w:val="en-US" w:eastAsia="zh-CN"/>
        </w:rPr>
        <w:t>0.075</w:t>
      </w:r>
      <w:r>
        <w:rPr>
          <w:color w:val="auto"/>
          <w:sz w:val="24"/>
          <w:highlight w:val="none"/>
        </w:rPr>
        <w:t>m</w:t>
      </w:r>
      <w:r>
        <w:rPr>
          <w:color w:val="auto"/>
          <w:sz w:val="24"/>
          <w:highlight w:val="none"/>
          <w:vertAlign w:val="superscript"/>
        </w:rPr>
        <w:t>3</w:t>
      </w:r>
      <w:r>
        <w:rPr>
          <w:color w:val="auto"/>
          <w:sz w:val="24"/>
          <w:highlight w:val="none"/>
        </w:rPr>
        <w:t>/d，项目施工时间约为</w:t>
      </w:r>
      <w:r>
        <w:rPr>
          <w:rFonts w:hint="eastAsia"/>
          <w:color w:val="auto"/>
          <w:sz w:val="24"/>
          <w:highlight w:val="none"/>
        </w:rPr>
        <w:t>30</w:t>
      </w:r>
      <w:r>
        <w:rPr>
          <w:color w:val="auto"/>
          <w:sz w:val="24"/>
          <w:highlight w:val="none"/>
        </w:rPr>
        <w:t>天，则施工期总用水量为</w:t>
      </w:r>
      <w:r>
        <w:rPr>
          <w:rFonts w:hint="eastAsia"/>
          <w:color w:val="auto"/>
          <w:sz w:val="24"/>
          <w:highlight w:val="none"/>
          <w:lang w:val="en-US" w:eastAsia="zh-CN"/>
        </w:rPr>
        <w:t>2.25</w:t>
      </w:r>
      <w:r>
        <w:rPr>
          <w:color w:val="auto"/>
          <w:sz w:val="24"/>
          <w:highlight w:val="none"/>
        </w:rPr>
        <w:t>m</w:t>
      </w:r>
      <w:r>
        <w:rPr>
          <w:color w:val="auto"/>
          <w:sz w:val="24"/>
          <w:highlight w:val="none"/>
          <w:vertAlign w:val="superscript"/>
        </w:rPr>
        <w:t>3</w:t>
      </w:r>
      <w:r>
        <w:rPr>
          <w:color w:val="auto"/>
          <w:sz w:val="24"/>
          <w:highlight w:val="none"/>
        </w:rPr>
        <w:t>。废水产生量按用水量的80%计算，则项目施工期生活废水产生量为：</w:t>
      </w:r>
      <w:r>
        <w:rPr>
          <w:rFonts w:hint="eastAsia"/>
          <w:color w:val="auto"/>
          <w:sz w:val="24"/>
          <w:highlight w:val="none"/>
          <w:lang w:val="en-US" w:eastAsia="zh-CN"/>
        </w:rPr>
        <w:t>0.06</w:t>
      </w:r>
      <w:r>
        <w:rPr>
          <w:color w:val="auto"/>
          <w:sz w:val="24"/>
          <w:highlight w:val="none"/>
        </w:rPr>
        <w:t>m</w:t>
      </w:r>
      <w:r>
        <w:rPr>
          <w:color w:val="auto"/>
          <w:sz w:val="24"/>
          <w:highlight w:val="none"/>
          <w:vertAlign w:val="superscript"/>
        </w:rPr>
        <w:t>3</w:t>
      </w:r>
      <w:r>
        <w:rPr>
          <w:color w:val="auto"/>
          <w:sz w:val="24"/>
          <w:highlight w:val="none"/>
        </w:rPr>
        <w:t>/d，施工期废水总产生量为</w:t>
      </w:r>
      <w:r>
        <w:rPr>
          <w:rFonts w:hint="eastAsia"/>
          <w:color w:val="auto"/>
          <w:sz w:val="24"/>
          <w:highlight w:val="none"/>
          <w:lang w:val="en-US" w:eastAsia="zh-CN"/>
        </w:rPr>
        <w:t>1.8</w:t>
      </w:r>
      <w:r>
        <w:rPr>
          <w:color w:val="auto"/>
          <w:sz w:val="24"/>
          <w:highlight w:val="none"/>
        </w:rPr>
        <w:t>m</w:t>
      </w:r>
      <w:r>
        <w:rPr>
          <w:color w:val="auto"/>
          <w:sz w:val="24"/>
          <w:highlight w:val="none"/>
          <w:vertAlign w:val="superscript"/>
        </w:rPr>
        <w:t>3</w:t>
      </w:r>
      <w:r>
        <w:rPr>
          <w:color w:val="auto"/>
          <w:sz w:val="24"/>
          <w:highlight w:val="none"/>
        </w:rPr>
        <w:t>。废水中主要污染物为COD、SS、NH</w:t>
      </w:r>
      <w:r>
        <w:rPr>
          <w:color w:val="auto"/>
          <w:sz w:val="24"/>
          <w:highlight w:val="none"/>
          <w:vertAlign w:val="subscript"/>
        </w:rPr>
        <w:t>3</w:t>
      </w:r>
      <w:r>
        <w:rPr>
          <w:color w:val="auto"/>
          <w:sz w:val="24"/>
          <w:highlight w:val="none"/>
        </w:rPr>
        <w:t>-N等，产生浓度约为：COD 390mg/L、氨氮 34mg/L、SS 195mg/L。</w:t>
      </w:r>
      <w:r>
        <w:rPr>
          <w:rFonts w:hint="eastAsia"/>
          <w:color w:val="auto"/>
          <w:sz w:val="24"/>
          <w:highlight w:val="none"/>
          <w:lang w:val="en-US" w:eastAsia="zh-CN"/>
        </w:rPr>
        <w:t>生活污水依托项目区内已建化粪池处理。</w:t>
      </w:r>
    </w:p>
    <w:p>
      <w:pPr>
        <w:keepNext/>
        <w:keepLines/>
        <w:spacing w:line="360" w:lineRule="auto"/>
        <w:outlineLvl w:val="2"/>
        <w:rPr>
          <w:b/>
          <w:bCs/>
          <w:color w:val="auto"/>
          <w:sz w:val="24"/>
          <w:highlight w:val="none"/>
        </w:rPr>
      </w:pPr>
      <w:bookmarkStart w:id="408" w:name="_Toc275001998"/>
      <w:bookmarkStart w:id="409" w:name="_Toc341369440"/>
      <w:bookmarkStart w:id="410" w:name="_Toc29786"/>
      <w:bookmarkStart w:id="411" w:name="_Toc367281476"/>
      <w:bookmarkStart w:id="412" w:name="_Toc275730362"/>
      <w:bookmarkStart w:id="413" w:name="_Toc75908667"/>
      <w:bookmarkStart w:id="414" w:name="_Toc367282059"/>
      <w:r>
        <w:rPr>
          <w:b/>
          <w:bCs/>
          <w:color w:val="auto"/>
          <w:sz w:val="24"/>
          <w:highlight w:val="none"/>
        </w:rPr>
        <w:t>3.4.3噪声</w:t>
      </w:r>
      <w:bookmarkEnd w:id="408"/>
      <w:bookmarkEnd w:id="409"/>
      <w:bookmarkEnd w:id="410"/>
      <w:bookmarkEnd w:id="411"/>
      <w:bookmarkEnd w:id="412"/>
      <w:bookmarkEnd w:id="413"/>
      <w:bookmarkEnd w:id="414"/>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施工期的噪声主要分为机械噪声、施工作业噪声和施工车辆噪声。机械噪声主要由施工机械所造成，如挖掘机、切割机等，多为点声源；施工作业噪声主要指一些零星的敲打声、装卸车辆的撞击声、拆装模板的撞击声等，多为瞬间噪声；施工车辆的噪声属于交通噪声。噪声最大源强一般在85dB（A）左右，其特点都具有随机性、无组织性、不连续性和不规律性。项目施工期间要求施工单位做好噪声防治措施：</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①在白天进行施工，夜间不施工；</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②应合理安排施工顺序，尽量避免高噪设备同时施工；同时合理安排工期，减短施工的时间；加强对施工人员的管理，做到文明施工，避免人为噪声的产生；</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③建筑材料尽量采用定尺定料，减少现场切割；</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施工噪声对于区域噪声环境质量的影响是暂时的，随着施工期的结束而结束，在采取上述措施后，施工期场界噪声能满足《建筑施工场界环境噪声排放标准》（GB12523-2011）中的要求。</w:t>
      </w:r>
    </w:p>
    <w:p>
      <w:pPr>
        <w:spacing w:line="360" w:lineRule="auto"/>
        <w:ind w:firstLine="480" w:firstLineChars="200"/>
        <w:rPr>
          <w:b/>
          <w:color w:val="auto"/>
          <w:sz w:val="24"/>
          <w:highlight w:val="none"/>
        </w:rPr>
      </w:pPr>
      <w:r>
        <w:rPr>
          <w:color w:val="auto"/>
          <w:sz w:val="24"/>
          <w:highlight w:val="none"/>
        </w:rPr>
        <w:t>参照同类型项目施工噪声源强值，项目各施工机械噪声源的噪声值见表3.4-1。</w:t>
      </w:r>
    </w:p>
    <w:p>
      <w:pPr>
        <w:spacing w:line="360" w:lineRule="auto"/>
        <w:jc w:val="center"/>
        <w:rPr>
          <w:b/>
          <w:color w:val="auto"/>
          <w:sz w:val="24"/>
          <w:highlight w:val="none"/>
        </w:rPr>
      </w:pPr>
      <w:r>
        <w:rPr>
          <w:b/>
          <w:color w:val="auto"/>
          <w:sz w:val="24"/>
          <w:highlight w:val="none"/>
        </w:rPr>
        <w:t>表3.4-1  施工机械设备噪声值一览表    单位：dB(A)</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734"/>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75" w:type="dxa"/>
            <w:vAlign w:val="center"/>
          </w:tcPr>
          <w:p>
            <w:pPr>
              <w:spacing w:line="360" w:lineRule="auto"/>
              <w:jc w:val="center"/>
              <w:rPr>
                <w:color w:val="auto"/>
                <w:szCs w:val="21"/>
                <w:highlight w:val="none"/>
              </w:rPr>
            </w:pPr>
            <w:bookmarkStart w:id="415" w:name="_Toc275730363"/>
            <w:bookmarkStart w:id="416" w:name="_Toc275001999"/>
            <w:bookmarkStart w:id="417" w:name="_Toc367282060"/>
            <w:bookmarkStart w:id="418" w:name="_Toc341369441"/>
            <w:bookmarkStart w:id="419" w:name="_Toc367281477"/>
            <w:r>
              <w:rPr>
                <w:color w:val="auto"/>
                <w:szCs w:val="21"/>
                <w:highlight w:val="none"/>
              </w:rPr>
              <w:t>施工阶段</w:t>
            </w:r>
          </w:p>
        </w:tc>
        <w:tc>
          <w:tcPr>
            <w:tcW w:w="2734" w:type="dxa"/>
            <w:vAlign w:val="center"/>
          </w:tcPr>
          <w:p>
            <w:pPr>
              <w:spacing w:line="360" w:lineRule="auto"/>
              <w:jc w:val="center"/>
              <w:rPr>
                <w:color w:val="auto"/>
                <w:szCs w:val="21"/>
                <w:highlight w:val="none"/>
              </w:rPr>
            </w:pPr>
            <w:r>
              <w:rPr>
                <w:color w:val="auto"/>
                <w:szCs w:val="21"/>
                <w:highlight w:val="none"/>
              </w:rPr>
              <w:t>声源</w:t>
            </w:r>
          </w:p>
        </w:tc>
        <w:tc>
          <w:tcPr>
            <w:tcW w:w="3840" w:type="dxa"/>
            <w:vAlign w:val="center"/>
          </w:tcPr>
          <w:p>
            <w:pPr>
              <w:spacing w:line="360" w:lineRule="auto"/>
              <w:jc w:val="center"/>
              <w:rPr>
                <w:color w:val="auto"/>
                <w:szCs w:val="21"/>
                <w:highlight w:val="none"/>
              </w:rPr>
            </w:pPr>
            <w:r>
              <w:rPr>
                <w:color w:val="auto"/>
                <w:szCs w:val="21"/>
                <w:highlight w:val="none"/>
              </w:rPr>
              <w:t>1m处声压级（dB）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75" w:type="dxa"/>
            <w:vMerge w:val="restart"/>
            <w:vAlign w:val="center"/>
          </w:tcPr>
          <w:p>
            <w:pPr>
              <w:spacing w:line="360" w:lineRule="auto"/>
              <w:jc w:val="center"/>
              <w:rPr>
                <w:color w:val="auto"/>
                <w:szCs w:val="21"/>
                <w:highlight w:val="none"/>
              </w:rPr>
            </w:pPr>
            <w:r>
              <w:rPr>
                <w:color w:val="auto"/>
                <w:szCs w:val="21"/>
                <w:highlight w:val="none"/>
              </w:rPr>
              <w:t>主体</w:t>
            </w:r>
            <w:r>
              <w:rPr>
                <w:rFonts w:hint="eastAsia"/>
                <w:color w:val="auto"/>
                <w:szCs w:val="21"/>
                <w:highlight w:val="none"/>
                <w:lang w:val="en-US" w:eastAsia="zh-CN"/>
              </w:rPr>
              <w:t>工程及辅助工程</w:t>
            </w:r>
            <w:r>
              <w:rPr>
                <w:color w:val="auto"/>
                <w:szCs w:val="21"/>
                <w:highlight w:val="none"/>
              </w:rPr>
              <w:t>施工阶段</w:t>
            </w:r>
          </w:p>
        </w:tc>
        <w:tc>
          <w:tcPr>
            <w:tcW w:w="2734" w:type="dxa"/>
            <w:vAlign w:val="center"/>
          </w:tcPr>
          <w:p>
            <w:pPr>
              <w:spacing w:line="360" w:lineRule="auto"/>
              <w:jc w:val="center"/>
              <w:rPr>
                <w:color w:val="auto"/>
                <w:szCs w:val="21"/>
                <w:highlight w:val="none"/>
              </w:rPr>
            </w:pPr>
            <w:r>
              <w:rPr>
                <w:color w:val="auto"/>
                <w:szCs w:val="21"/>
                <w:highlight w:val="none"/>
              </w:rPr>
              <w:t>振捣机</w:t>
            </w:r>
          </w:p>
        </w:tc>
        <w:tc>
          <w:tcPr>
            <w:tcW w:w="3840" w:type="dxa"/>
            <w:vAlign w:val="center"/>
          </w:tcPr>
          <w:p>
            <w:pPr>
              <w:spacing w:line="360" w:lineRule="auto"/>
              <w:jc w:val="center"/>
              <w:rPr>
                <w:color w:val="auto"/>
                <w:szCs w:val="21"/>
                <w:highlight w:val="none"/>
              </w:rPr>
            </w:pPr>
            <w:r>
              <w:rPr>
                <w:color w:val="auto"/>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75" w:type="dxa"/>
            <w:vMerge w:val="continue"/>
            <w:vAlign w:val="center"/>
          </w:tcPr>
          <w:p>
            <w:pPr>
              <w:spacing w:line="360" w:lineRule="auto"/>
              <w:jc w:val="center"/>
              <w:rPr>
                <w:color w:val="auto"/>
                <w:szCs w:val="21"/>
                <w:highlight w:val="none"/>
              </w:rPr>
            </w:pPr>
          </w:p>
        </w:tc>
        <w:tc>
          <w:tcPr>
            <w:tcW w:w="2734" w:type="dxa"/>
            <w:vAlign w:val="center"/>
          </w:tcPr>
          <w:p>
            <w:pPr>
              <w:spacing w:line="360" w:lineRule="auto"/>
              <w:jc w:val="center"/>
              <w:rPr>
                <w:color w:val="auto"/>
                <w:szCs w:val="21"/>
                <w:highlight w:val="none"/>
              </w:rPr>
            </w:pPr>
            <w:r>
              <w:rPr>
                <w:color w:val="auto"/>
                <w:szCs w:val="21"/>
                <w:highlight w:val="none"/>
              </w:rPr>
              <w:t>切割机</w:t>
            </w:r>
          </w:p>
        </w:tc>
        <w:tc>
          <w:tcPr>
            <w:tcW w:w="3840" w:type="dxa"/>
            <w:vAlign w:val="center"/>
          </w:tcPr>
          <w:p>
            <w:pPr>
              <w:spacing w:line="360" w:lineRule="auto"/>
              <w:jc w:val="center"/>
              <w:rPr>
                <w:color w:val="auto"/>
                <w:szCs w:val="21"/>
                <w:highlight w:val="none"/>
              </w:rPr>
            </w:pPr>
            <w:r>
              <w:rPr>
                <w:color w:val="auto"/>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75" w:type="dxa"/>
            <w:vMerge w:val="continue"/>
            <w:vAlign w:val="center"/>
          </w:tcPr>
          <w:p>
            <w:pPr>
              <w:spacing w:line="360" w:lineRule="auto"/>
              <w:jc w:val="center"/>
              <w:rPr>
                <w:color w:val="auto"/>
                <w:szCs w:val="21"/>
                <w:highlight w:val="none"/>
              </w:rPr>
            </w:pPr>
          </w:p>
        </w:tc>
        <w:tc>
          <w:tcPr>
            <w:tcW w:w="2734" w:type="dxa"/>
            <w:vAlign w:val="center"/>
          </w:tcPr>
          <w:p>
            <w:pPr>
              <w:spacing w:line="360" w:lineRule="auto"/>
              <w:jc w:val="center"/>
              <w:rPr>
                <w:color w:val="auto"/>
                <w:szCs w:val="21"/>
                <w:highlight w:val="none"/>
              </w:rPr>
            </w:pPr>
            <w:r>
              <w:rPr>
                <w:color w:val="auto"/>
                <w:szCs w:val="21"/>
                <w:highlight w:val="none"/>
              </w:rPr>
              <w:t>电锯</w:t>
            </w:r>
          </w:p>
        </w:tc>
        <w:tc>
          <w:tcPr>
            <w:tcW w:w="3840" w:type="dxa"/>
            <w:vAlign w:val="center"/>
          </w:tcPr>
          <w:p>
            <w:pPr>
              <w:spacing w:line="360" w:lineRule="auto"/>
              <w:jc w:val="center"/>
              <w:rPr>
                <w:color w:val="auto"/>
                <w:szCs w:val="21"/>
                <w:highlight w:val="none"/>
              </w:rPr>
            </w:pPr>
            <w:r>
              <w:rPr>
                <w:color w:val="auto"/>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975" w:type="dxa"/>
            <w:vMerge w:val="continue"/>
            <w:vAlign w:val="center"/>
          </w:tcPr>
          <w:p>
            <w:pPr>
              <w:spacing w:line="360" w:lineRule="auto"/>
              <w:jc w:val="center"/>
              <w:rPr>
                <w:bCs/>
                <w:color w:val="auto"/>
                <w:szCs w:val="21"/>
                <w:highlight w:val="none"/>
              </w:rPr>
            </w:pPr>
          </w:p>
        </w:tc>
        <w:tc>
          <w:tcPr>
            <w:tcW w:w="2734" w:type="dxa"/>
            <w:vAlign w:val="center"/>
          </w:tcPr>
          <w:p>
            <w:pPr>
              <w:spacing w:line="360" w:lineRule="auto"/>
              <w:jc w:val="center"/>
              <w:rPr>
                <w:bCs/>
                <w:color w:val="auto"/>
                <w:szCs w:val="21"/>
                <w:highlight w:val="none"/>
              </w:rPr>
            </w:pPr>
            <w:r>
              <w:rPr>
                <w:color w:val="auto"/>
                <w:szCs w:val="21"/>
                <w:highlight w:val="none"/>
              </w:rPr>
              <w:t>电焊机</w:t>
            </w:r>
          </w:p>
        </w:tc>
        <w:tc>
          <w:tcPr>
            <w:tcW w:w="3840" w:type="dxa"/>
            <w:vAlign w:val="center"/>
          </w:tcPr>
          <w:p>
            <w:pPr>
              <w:spacing w:line="360" w:lineRule="auto"/>
              <w:jc w:val="center"/>
              <w:rPr>
                <w:bCs/>
                <w:color w:val="auto"/>
                <w:szCs w:val="21"/>
                <w:highlight w:val="none"/>
              </w:rPr>
            </w:pPr>
            <w:r>
              <w:rPr>
                <w:color w:val="auto"/>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975" w:type="dxa"/>
            <w:vMerge w:val="restart"/>
            <w:vAlign w:val="center"/>
          </w:tcPr>
          <w:p>
            <w:pPr>
              <w:spacing w:line="360" w:lineRule="auto"/>
              <w:jc w:val="center"/>
              <w:rPr>
                <w:bCs/>
                <w:color w:val="auto"/>
                <w:szCs w:val="21"/>
                <w:highlight w:val="none"/>
              </w:rPr>
            </w:pPr>
            <w:r>
              <w:rPr>
                <w:bCs/>
                <w:color w:val="auto"/>
                <w:szCs w:val="21"/>
                <w:highlight w:val="none"/>
              </w:rPr>
              <w:t>室内外装修阶段</w:t>
            </w:r>
          </w:p>
        </w:tc>
        <w:tc>
          <w:tcPr>
            <w:tcW w:w="2734" w:type="dxa"/>
            <w:vAlign w:val="center"/>
          </w:tcPr>
          <w:p>
            <w:pPr>
              <w:spacing w:line="360" w:lineRule="auto"/>
              <w:jc w:val="center"/>
              <w:rPr>
                <w:color w:val="auto"/>
                <w:szCs w:val="21"/>
                <w:highlight w:val="none"/>
              </w:rPr>
            </w:pPr>
            <w:r>
              <w:rPr>
                <w:color w:val="auto"/>
                <w:szCs w:val="21"/>
                <w:highlight w:val="none"/>
                <w:lang w:val="zh-CN"/>
              </w:rPr>
              <w:t>电锯</w:t>
            </w:r>
          </w:p>
        </w:tc>
        <w:tc>
          <w:tcPr>
            <w:tcW w:w="3840" w:type="dxa"/>
            <w:vAlign w:val="center"/>
          </w:tcPr>
          <w:p>
            <w:pPr>
              <w:spacing w:line="360" w:lineRule="auto"/>
              <w:jc w:val="center"/>
              <w:rPr>
                <w:color w:val="auto"/>
                <w:szCs w:val="21"/>
                <w:highlight w:val="none"/>
              </w:rPr>
            </w:pPr>
            <w:r>
              <w:rPr>
                <w:color w:val="auto"/>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975" w:type="dxa"/>
            <w:vMerge w:val="continue"/>
            <w:vAlign w:val="center"/>
          </w:tcPr>
          <w:p>
            <w:pPr>
              <w:spacing w:line="360" w:lineRule="auto"/>
              <w:jc w:val="center"/>
              <w:rPr>
                <w:bCs/>
                <w:color w:val="auto"/>
                <w:szCs w:val="21"/>
                <w:highlight w:val="none"/>
              </w:rPr>
            </w:pPr>
          </w:p>
        </w:tc>
        <w:tc>
          <w:tcPr>
            <w:tcW w:w="2734" w:type="dxa"/>
            <w:vAlign w:val="center"/>
          </w:tcPr>
          <w:p>
            <w:pPr>
              <w:spacing w:line="360" w:lineRule="auto"/>
              <w:jc w:val="center"/>
              <w:rPr>
                <w:color w:val="auto"/>
                <w:szCs w:val="21"/>
                <w:highlight w:val="none"/>
              </w:rPr>
            </w:pPr>
            <w:r>
              <w:rPr>
                <w:color w:val="auto"/>
                <w:szCs w:val="21"/>
                <w:highlight w:val="none"/>
              </w:rPr>
              <w:t>电钻</w:t>
            </w:r>
          </w:p>
        </w:tc>
        <w:tc>
          <w:tcPr>
            <w:tcW w:w="3840" w:type="dxa"/>
            <w:vAlign w:val="center"/>
          </w:tcPr>
          <w:p>
            <w:pPr>
              <w:spacing w:line="360" w:lineRule="auto"/>
              <w:jc w:val="center"/>
              <w:rPr>
                <w:color w:val="auto"/>
                <w:szCs w:val="21"/>
                <w:highlight w:val="none"/>
              </w:rPr>
            </w:pPr>
            <w:r>
              <w:rPr>
                <w:color w:val="auto"/>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975" w:type="dxa"/>
            <w:vMerge w:val="continue"/>
            <w:vAlign w:val="center"/>
          </w:tcPr>
          <w:p>
            <w:pPr>
              <w:spacing w:line="360" w:lineRule="auto"/>
              <w:jc w:val="center"/>
              <w:rPr>
                <w:bCs/>
                <w:color w:val="auto"/>
                <w:szCs w:val="21"/>
                <w:highlight w:val="none"/>
              </w:rPr>
            </w:pPr>
          </w:p>
        </w:tc>
        <w:tc>
          <w:tcPr>
            <w:tcW w:w="2734" w:type="dxa"/>
            <w:vAlign w:val="center"/>
          </w:tcPr>
          <w:p>
            <w:pPr>
              <w:spacing w:line="360" w:lineRule="auto"/>
              <w:jc w:val="center"/>
              <w:rPr>
                <w:color w:val="auto"/>
                <w:szCs w:val="21"/>
                <w:highlight w:val="none"/>
              </w:rPr>
            </w:pPr>
            <w:r>
              <w:rPr>
                <w:color w:val="auto"/>
                <w:szCs w:val="21"/>
                <w:highlight w:val="none"/>
                <w:lang w:val="zh-CN"/>
              </w:rPr>
              <w:t>吊车</w:t>
            </w:r>
          </w:p>
        </w:tc>
        <w:tc>
          <w:tcPr>
            <w:tcW w:w="3840" w:type="dxa"/>
            <w:vAlign w:val="center"/>
          </w:tcPr>
          <w:p>
            <w:pPr>
              <w:spacing w:line="360" w:lineRule="auto"/>
              <w:jc w:val="center"/>
              <w:rPr>
                <w:color w:val="auto"/>
                <w:szCs w:val="21"/>
                <w:highlight w:val="none"/>
              </w:rPr>
            </w:pPr>
            <w:r>
              <w:rPr>
                <w:color w:val="auto"/>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975" w:type="dxa"/>
            <w:vMerge w:val="continue"/>
            <w:vAlign w:val="center"/>
          </w:tcPr>
          <w:p>
            <w:pPr>
              <w:spacing w:line="360" w:lineRule="auto"/>
              <w:jc w:val="center"/>
              <w:rPr>
                <w:bCs/>
                <w:color w:val="auto"/>
                <w:szCs w:val="21"/>
                <w:highlight w:val="none"/>
              </w:rPr>
            </w:pPr>
          </w:p>
        </w:tc>
        <w:tc>
          <w:tcPr>
            <w:tcW w:w="2734" w:type="dxa"/>
            <w:vAlign w:val="center"/>
          </w:tcPr>
          <w:p>
            <w:pPr>
              <w:spacing w:line="360" w:lineRule="auto"/>
              <w:jc w:val="center"/>
              <w:rPr>
                <w:color w:val="auto"/>
                <w:szCs w:val="21"/>
                <w:highlight w:val="none"/>
                <w:lang w:val="zh-CN"/>
              </w:rPr>
            </w:pPr>
            <w:r>
              <w:rPr>
                <w:color w:val="auto"/>
                <w:szCs w:val="21"/>
                <w:highlight w:val="none"/>
                <w:lang w:val="zh-CN"/>
              </w:rPr>
              <w:t>切割机</w:t>
            </w:r>
          </w:p>
        </w:tc>
        <w:tc>
          <w:tcPr>
            <w:tcW w:w="3840" w:type="dxa"/>
            <w:vAlign w:val="center"/>
          </w:tcPr>
          <w:p>
            <w:pPr>
              <w:spacing w:line="360" w:lineRule="auto"/>
              <w:jc w:val="center"/>
              <w:rPr>
                <w:color w:val="auto"/>
                <w:szCs w:val="21"/>
                <w:highlight w:val="none"/>
              </w:rPr>
            </w:pPr>
            <w:r>
              <w:rPr>
                <w:color w:val="auto"/>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975" w:type="dxa"/>
            <w:vMerge w:val="continue"/>
            <w:vAlign w:val="center"/>
          </w:tcPr>
          <w:p>
            <w:pPr>
              <w:spacing w:line="360" w:lineRule="auto"/>
              <w:jc w:val="center"/>
              <w:rPr>
                <w:bCs/>
                <w:color w:val="auto"/>
                <w:szCs w:val="21"/>
                <w:highlight w:val="none"/>
              </w:rPr>
            </w:pPr>
          </w:p>
        </w:tc>
        <w:tc>
          <w:tcPr>
            <w:tcW w:w="2734" w:type="dxa"/>
            <w:vAlign w:val="center"/>
          </w:tcPr>
          <w:p>
            <w:pPr>
              <w:spacing w:line="360" w:lineRule="auto"/>
              <w:jc w:val="center"/>
              <w:rPr>
                <w:color w:val="auto"/>
                <w:szCs w:val="21"/>
                <w:highlight w:val="none"/>
                <w:lang w:val="zh-CN"/>
              </w:rPr>
            </w:pPr>
            <w:r>
              <w:rPr>
                <w:color w:val="auto"/>
                <w:szCs w:val="21"/>
                <w:highlight w:val="none"/>
              </w:rPr>
              <w:t>轻型载重车</w:t>
            </w:r>
          </w:p>
        </w:tc>
        <w:tc>
          <w:tcPr>
            <w:tcW w:w="3840" w:type="dxa"/>
            <w:vAlign w:val="center"/>
          </w:tcPr>
          <w:p>
            <w:pPr>
              <w:spacing w:line="360" w:lineRule="auto"/>
              <w:jc w:val="center"/>
              <w:rPr>
                <w:color w:val="auto"/>
                <w:szCs w:val="21"/>
                <w:highlight w:val="none"/>
              </w:rPr>
            </w:pPr>
            <w:r>
              <w:rPr>
                <w:color w:val="auto"/>
                <w:szCs w:val="21"/>
                <w:highlight w:val="none"/>
              </w:rPr>
              <w:t>75</w:t>
            </w:r>
          </w:p>
        </w:tc>
      </w:tr>
    </w:tbl>
    <w:p>
      <w:pPr>
        <w:keepNext/>
        <w:keepLines/>
        <w:spacing w:line="360" w:lineRule="auto"/>
        <w:outlineLvl w:val="2"/>
        <w:rPr>
          <w:b/>
          <w:bCs/>
          <w:color w:val="auto"/>
          <w:sz w:val="24"/>
          <w:highlight w:val="none"/>
        </w:rPr>
      </w:pPr>
      <w:bookmarkStart w:id="420" w:name="_Toc75908668"/>
      <w:bookmarkStart w:id="421" w:name="_Toc28676"/>
      <w:r>
        <w:rPr>
          <w:b/>
          <w:bCs/>
          <w:color w:val="auto"/>
          <w:sz w:val="24"/>
          <w:highlight w:val="none"/>
        </w:rPr>
        <w:t>3.4.4固体废弃物</w:t>
      </w:r>
      <w:bookmarkEnd w:id="415"/>
      <w:bookmarkEnd w:id="416"/>
      <w:bookmarkEnd w:id="417"/>
      <w:bookmarkEnd w:id="418"/>
      <w:bookmarkEnd w:id="419"/>
      <w:bookmarkEnd w:id="420"/>
      <w:bookmarkEnd w:id="421"/>
    </w:p>
    <w:p>
      <w:pPr>
        <w:spacing w:line="360" w:lineRule="auto"/>
        <w:ind w:firstLine="480" w:firstLineChars="200"/>
        <w:rPr>
          <w:color w:val="auto"/>
          <w:sz w:val="24"/>
          <w:szCs w:val="20"/>
          <w:highlight w:val="none"/>
        </w:rPr>
      </w:pPr>
      <w:r>
        <w:rPr>
          <w:color w:val="auto"/>
          <w:sz w:val="24"/>
          <w:szCs w:val="20"/>
          <w:highlight w:val="none"/>
        </w:rPr>
        <w:t>本项目挖填土方主要为建设</w:t>
      </w:r>
      <w:r>
        <w:rPr>
          <w:color w:val="auto"/>
          <w:kern w:val="0"/>
          <w:sz w:val="24"/>
          <w:highlight w:val="none"/>
        </w:rPr>
        <w:t>辅助设施和环保设施</w:t>
      </w:r>
      <w:r>
        <w:rPr>
          <w:color w:val="auto"/>
          <w:sz w:val="24"/>
          <w:szCs w:val="20"/>
          <w:highlight w:val="none"/>
        </w:rPr>
        <w:t>，基本不产生废弃土方。施工期固体废物主要包括建设过程中产生的建筑垃圾和施工人员生活垃圾。</w:t>
      </w:r>
    </w:p>
    <w:p>
      <w:pPr>
        <w:spacing w:line="360" w:lineRule="auto"/>
        <w:ind w:firstLine="480" w:firstLineChars="200"/>
        <w:rPr>
          <w:rFonts w:hint="eastAsia" w:eastAsia="宋体"/>
          <w:color w:val="auto"/>
          <w:sz w:val="24"/>
          <w:szCs w:val="20"/>
          <w:highlight w:val="none"/>
          <w:lang w:val="en-US" w:eastAsia="zh-CN"/>
        </w:rPr>
      </w:pPr>
      <w:r>
        <w:rPr>
          <w:color w:val="auto"/>
          <w:sz w:val="24"/>
          <w:szCs w:val="20"/>
          <w:highlight w:val="none"/>
        </w:rPr>
        <w:t>（1）</w:t>
      </w:r>
      <w:r>
        <w:rPr>
          <w:rFonts w:hint="eastAsia"/>
          <w:color w:val="auto"/>
          <w:sz w:val="24"/>
          <w:szCs w:val="20"/>
          <w:highlight w:val="none"/>
          <w:lang w:val="en-US" w:eastAsia="zh-CN"/>
        </w:rPr>
        <w:t>土石方</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lang w:val="en-US" w:eastAsia="zh-CN"/>
        </w:rPr>
        <w:t>根据现场调查，项目租用场地内已建有厂房，施工期间开挖量仅为循环冷却池等，开挖量小，开挖的土石方回填于场地低洼处，不产生废弃土石方。</w:t>
      </w:r>
    </w:p>
    <w:p>
      <w:pPr>
        <w:spacing w:line="360" w:lineRule="auto"/>
        <w:ind w:firstLine="480" w:firstLineChars="200"/>
        <w:rPr>
          <w:color w:val="auto"/>
          <w:sz w:val="24"/>
          <w:szCs w:val="20"/>
          <w:highlight w:val="none"/>
        </w:rPr>
      </w:pPr>
      <w:r>
        <w:rPr>
          <w:rFonts w:hint="eastAsia"/>
          <w:color w:val="auto"/>
          <w:sz w:val="24"/>
          <w:szCs w:val="20"/>
          <w:highlight w:val="none"/>
          <w:lang w:eastAsia="zh-CN"/>
        </w:rPr>
        <w:t>（</w:t>
      </w:r>
      <w:r>
        <w:rPr>
          <w:rFonts w:hint="eastAsia"/>
          <w:color w:val="auto"/>
          <w:sz w:val="24"/>
          <w:szCs w:val="20"/>
          <w:highlight w:val="none"/>
          <w:lang w:val="en-US" w:eastAsia="zh-CN"/>
        </w:rPr>
        <w:t>2</w:t>
      </w:r>
      <w:r>
        <w:rPr>
          <w:rFonts w:hint="eastAsia"/>
          <w:color w:val="auto"/>
          <w:sz w:val="24"/>
          <w:szCs w:val="20"/>
          <w:highlight w:val="none"/>
          <w:lang w:eastAsia="zh-CN"/>
        </w:rPr>
        <w:t>）</w:t>
      </w:r>
      <w:r>
        <w:rPr>
          <w:color w:val="auto"/>
          <w:sz w:val="24"/>
          <w:szCs w:val="20"/>
          <w:highlight w:val="none"/>
        </w:rPr>
        <w:t>建筑垃圾</w:t>
      </w:r>
    </w:p>
    <w:p>
      <w:pPr>
        <w:spacing w:line="360" w:lineRule="auto"/>
        <w:ind w:firstLine="480" w:firstLineChars="200"/>
        <w:rPr>
          <w:color w:val="auto"/>
          <w:sz w:val="24"/>
          <w:szCs w:val="20"/>
          <w:highlight w:val="none"/>
        </w:rPr>
      </w:pPr>
      <w:r>
        <w:rPr>
          <w:color w:val="auto"/>
          <w:kern w:val="0"/>
          <w:sz w:val="24"/>
          <w:highlight w:val="none"/>
        </w:rPr>
        <w:t>建筑垃圾主要为施工过程中废弃的砂石、料渣等。</w:t>
      </w:r>
      <w:r>
        <w:rPr>
          <w:color w:val="auto"/>
          <w:sz w:val="24"/>
          <w:highlight w:val="none"/>
        </w:rPr>
        <w:t>本项目</w:t>
      </w:r>
      <w:r>
        <w:rPr>
          <w:rFonts w:hint="eastAsia"/>
          <w:color w:val="auto"/>
          <w:sz w:val="24"/>
          <w:highlight w:val="none"/>
          <w:lang w:val="en-US" w:eastAsia="zh-CN"/>
        </w:rPr>
        <w:t>生产车间</w:t>
      </w:r>
      <w:r>
        <w:rPr>
          <w:color w:val="auto"/>
          <w:sz w:val="24"/>
          <w:highlight w:val="none"/>
        </w:rPr>
        <w:t>主要为钢架结构，</w:t>
      </w:r>
      <w:r>
        <w:rPr>
          <w:color w:val="auto"/>
          <w:sz w:val="24"/>
          <w:szCs w:val="20"/>
          <w:highlight w:val="none"/>
        </w:rPr>
        <w:t>生产车间</w:t>
      </w:r>
      <w:r>
        <w:rPr>
          <w:rFonts w:hint="eastAsia"/>
          <w:color w:val="auto"/>
          <w:sz w:val="24"/>
          <w:szCs w:val="20"/>
          <w:highlight w:val="none"/>
          <w:lang w:val="en-US" w:eastAsia="zh-CN"/>
        </w:rPr>
        <w:t>装修隔断过程及危废暂存间的建设会产生一定量的建筑垃圾，</w:t>
      </w:r>
      <w:r>
        <w:rPr>
          <w:color w:val="auto"/>
          <w:sz w:val="24"/>
          <w:highlight w:val="none"/>
        </w:rPr>
        <w:t>建设单位对建筑垃圾</w:t>
      </w:r>
      <w:r>
        <w:rPr>
          <w:rFonts w:hint="eastAsia"/>
          <w:color w:val="auto"/>
          <w:sz w:val="24"/>
          <w:highlight w:val="none"/>
          <w:lang w:val="en-US" w:eastAsia="zh-CN"/>
        </w:rPr>
        <w:t>分类集中堆存，能回收利用的部分回收重复利用，不能回收利用的部分</w:t>
      </w:r>
      <w:r>
        <w:rPr>
          <w:color w:val="auto"/>
          <w:sz w:val="24"/>
          <w:highlight w:val="none"/>
        </w:rPr>
        <w:t>运往当地指定建筑垃圾填埋场集中处置。</w:t>
      </w:r>
    </w:p>
    <w:p>
      <w:pPr>
        <w:spacing w:line="360" w:lineRule="auto"/>
        <w:ind w:firstLine="480" w:firstLineChars="200"/>
        <w:rPr>
          <w:color w:val="auto"/>
          <w:sz w:val="24"/>
          <w:szCs w:val="20"/>
          <w:highlight w:val="none"/>
        </w:rPr>
      </w:pPr>
      <w:r>
        <w:rPr>
          <w:color w:val="auto"/>
          <w:sz w:val="24"/>
          <w:szCs w:val="20"/>
          <w:highlight w:val="none"/>
        </w:rPr>
        <w:t>（2）生活垃圾</w:t>
      </w:r>
    </w:p>
    <w:p>
      <w:pPr>
        <w:spacing w:line="360" w:lineRule="auto"/>
        <w:ind w:firstLine="480" w:firstLineChars="200"/>
        <w:rPr>
          <w:color w:val="auto"/>
          <w:sz w:val="24"/>
          <w:szCs w:val="20"/>
          <w:highlight w:val="none"/>
        </w:rPr>
      </w:pPr>
      <w:r>
        <w:rPr>
          <w:color w:val="auto"/>
          <w:sz w:val="24"/>
          <w:szCs w:val="20"/>
          <w:highlight w:val="none"/>
        </w:rPr>
        <w:t>本项目施工期间施工人员</w:t>
      </w:r>
      <w:r>
        <w:rPr>
          <w:rFonts w:hint="eastAsia"/>
          <w:color w:val="auto"/>
          <w:sz w:val="24"/>
          <w:szCs w:val="20"/>
          <w:highlight w:val="none"/>
          <w:lang w:val="en-US" w:eastAsia="zh-CN"/>
        </w:rPr>
        <w:t>5</w:t>
      </w:r>
      <w:r>
        <w:rPr>
          <w:color w:val="auto"/>
          <w:sz w:val="24"/>
          <w:szCs w:val="20"/>
          <w:highlight w:val="none"/>
        </w:rPr>
        <w:t>人，生活垃圾产生量按0.5kg/d.人计，施工时间约</w:t>
      </w:r>
      <w:r>
        <w:rPr>
          <w:rFonts w:hint="eastAsia"/>
          <w:color w:val="auto"/>
          <w:sz w:val="24"/>
          <w:szCs w:val="20"/>
          <w:highlight w:val="none"/>
        </w:rPr>
        <w:t>30</w:t>
      </w:r>
      <w:r>
        <w:rPr>
          <w:color w:val="auto"/>
          <w:sz w:val="24"/>
          <w:szCs w:val="20"/>
          <w:highlight w:val="none"/>
        </w:rPr>
        <w:t>天，则施工人员生活垃圾量约为</w:t>
      </w:r>
      <w:r>
        <w:rPr>
          <w:rFonts w:hint="eastAsia"/>
          <w:color w:val="auto"/>
          <w:sz w:val="24"/>
          <w:szCs w:val="20"/>
          <w:highlight w:val="none"/>
          <w:lang w:val="en-US" w:eastAsia="zh-CN"/>
        </w:rPr>
        <w:t>0.075</w:t>
      </w:r>
      <w:r>
        <w:rPr>
          <w:color w:val="auto"/>
          <w:sz w:val="24"/>
          <w:szCs w:val="20"/>
          <w:highlight w:val="none"/>
        </w:rPr>
        <w:t>t。生活垃圾由施工队</w:t>
      </w:r>
      <w:r>
        <w:rPr>
          <w:color w:val="auto"/>
          <w:sz w:val="24"/>
          <w:highlight w:val="none"/>
        </w:rPr>
        <w:t>设</w:t>
      </w:r>
      <w:r>
        <w:rPr>
          <w:color w:val="auto"/>
          <w:sz w:val="24"/>
          <w:szCs w:val="20"/>
          <w:highlight w:val="none"/>
        </w:rPr>
        <w:t>临时生活垃圾收集设施，统一收集后定期运往指定地点由环卫部门集中处置。</w:t>
      </w:r>
    </w:p>
    <w:p>
      <w:pPr>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b/>
          <w:bCs/>
          <w:color w:val="auto"/>
          <w:sz w:val="24"/>
          <w:highlight w:val="none"/>
        </w:rPr>
      </w:pPr>
      <w:bookmarkStart w:id="422" w:name="_Toc75908669"/>
      <w:r>
        <w:rPr>
          <w:b/>
          <w:bCs/>
          <w:color w:val="auto"/>
          <w:sz w:val="24"/>
          <w:highlight w:val="none"/>
        </w:rPr>
        <w:t>3.4.5生态环境</w:t>
      </w:r>
      <w:bookmarkEnd w:id="422"/>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b/>
          <w:bCs/>
          <w:color w:val="auto"/>
          <w:sz w:val="24"/>
          <w:highlight w:val="none"/>
        </w:rPr>
      </w:pPr>
      <w:r>
        <w:rPr>
          <w:color w:val="auto"/>
          <w:sz w:val="24"/>
          <w:highlight w:val="none"/>
        </w:rPr>
        <w:t>本项目租赁已建成的空置</w:t>
      </w:r>
      <w:r>
        <w:rPr>
          <w:rFonts w:hint="eastAsia"/>
          <w:color w:val="auto"/>
          <w:sz w:val="24"/>
          <w:highlight w:val="none"/>
        </w:rPr>
        <w:t>厂房</w:t>
      </w:r>
      <w:r>
        <w:rPr>
          <w:color w:val="auto"/>
          <w:sz w:val="24"/>
          <w:highlight w:val="none"/>
        </w:rPr>
        <w:t>，经装修</w:t>
      </w:r>
      <w:r>
        <w:rPr>
          <w:rFonts w:hint="eastAsia"/>
          <w:color w:val="auto"/>
          <w:sz w:val="24"/>
          <w:highlight w:val="none"/>
          <w:lang w:val="en-US" w:eastAsia="zh-CN"/>
        </w:rPr>
        <w:t>隔断后作</w:t>
      </w:r>
      <w:r>
        <w:rPr>
          <w:color w:val="auto"/>
          <w:sz w:val="24"/>
          <w:highlight w:val="none"/>
        </w:rPr>
        <w:t>为生产场地使用。因此，施工过程中不会改变原有地表形态，破坏地表，也不会破坏和扰动大面积的表土，水土流失现象较小，对生态环境影响较小。</w:t>
      </w:r>
    </w:p>
    <w:p>
      <w:pPr>
        <w:keepNext/>
        <w:keepLines/>
        <w:spacing w:line="360" w:lineRule="auto"/>
        <w:outlineLvl w:val="1"/>
        <w:rPr>
          <w:b/>
          <w:bCs/>
          <w:color w:val="auto"/>
          <w:sz w:val="28"/>
          <w:szCs w:val="28"/>
          <w:highlight w:val="none"/>
        </w:rPr>
      </w:pPr>
      <w:bookmarkStart w:id="423" w:name="_Toc341369442"/>
      <w:bookmarkStart w:id="424" w:name="_Toc275730364"/>
      <w:bookmarkStart w:id="425" w:name="_Toc3430"/>
      <w:bookmarkStart w:id="426" w:name="_Toc367281478"/>
      <w:bookmarkStart w:id="427" w:name="_Toc367282061"/>
      <w:bookmarkStart w:id="428" w:name="_Toc75908670"/>
      <w:bookmarkStart w:id="429" w:name="_Toc275002000"/>
      <w:r>
        <w:rPr>
          <w:b/>
          <w:bCs/>
          <w:color w:val="auto"/>
          <w:sz w:val="28"/>
          <w:szCs w:val="28"/>
          <w:highlight w:val="none"/>
        </w:rPr>
        <w:t>3.5运营期污染源分析</w:t>
      </w:r>
      <w:bookmarkEnd w:id="423"/>
      <w:bookmarkEnd w:id="424"/>
      <w:bookmarkEnd w:id="425"/>
      <w:bookmarkEnd w:id="426"/>
      <w:bookmarkEnd w:id="427"/>
      <w:bookmarkEnd w:id="428"/>
      <w:bookmarkEnd w:id="429"/>
    </w:p>
    <w:p>
      <w:pPr>
        <w:keepNext/>
        <w:keepLines/>
        <w:spacing w:line="360" w:lineRule="auto"/>
        <w:outlineLvl w:val="2"/>
        <w:rPr>
          <w:b/>
          <w:bCs/>
          <w:color w:val="auto"/>
          <w:sz w:val="24"/>
          <w:highlight w:val="none"/>
        </w:rPr>
      </w:pPr>
      <w:bookmarkStart w:id="430" w:name="_Toc275730365"/>
      <w:bookmarkStart w:id="431" w:name="_Toc75908671"/>
      <w:bookmarkStart w:id="432" w:name="_Toc367281479"/>
      <w:bookmarkStart w:id="433" w:name="_Toc367282062"/>
      <w:bookmarkStart w:id="434" w:name="_Toc341369443"/>
      <w:bookmarkStart w:id="435" w:name="_Toc22477"/>
      <w:bookmarkStart w:id="436" w:name="_Toc275002001"/>
      <w:r>
        <w:rPr>
          <w:b/>
          <w:bCs/>
          <w:color w:val="auto"/>
          <w:sz w:val="24"/>
          <w:highlight w:val="none"/>
        </w:rPr>
        <w:t>3.5.1废气</w:t>
      </w:r>
      <w:bookmarkEnd w:id="430"/>
      <w:bookmarkEnd w:id="431"/>
      <w:bookmarkEnd w:id="432"/>
      <w:bookmarkEnd w:id="433"/>
      <w:bookmarkEnd w:id="434"/>
      <w:bookmarkEnd w:id="435"/>
      <w:bookmarkEnd w:id="4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eastAsia" w:cs="Times New Roman"/>
          <w:color w:val="auto"/>
          <w:sz w:val="24"/>
          <w:highlight w:val="none"/>
          <w:lang w:val="en-US" w:eastAsia="zh-CN"/>
        </w:rPr>
        <w:t>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val="en-US" w:eastAsia="zh-CN"/>
        </w:rPr>
      </w:pPr>
      <w:r>
        <w:rPr>
          <w:rFonts w:hint="default" w:ascii="Times New Roman" w:hAnsi="Times New Roman" w:cs="Times New Roman"/>
          <w:color w:val="auto"/>
          <w:sz w:val="24"/>
          <w:highlight w:val="none"/>
        </w:rPr>
        <w:t>①</w:t>
      </w:r>
      <w:r>
        <w:rPr>
          <w:rFonts w:hint="eastAsia" w:cs="Times New Roman"/>
          <w:color w:val="auto"/>
          <w:sz w:val="24"/>
          <w:highlight w:val="none"/>
          <w:lang w:val="en-US" w:eastAsia="zh-CN"/>
        </w:rPr>
        <w:t>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本项目生产塑料</w:t>
      </w:r>
      <w:r>
        <w:rPr>
          <w:rFonts w:hint="eastAsia" w:cs="Times New Roman"/>
          <w:color w:val="auto"/>
          <w:sz w:val="24"/>
          <w:highlight w:val="none"/>
          <w:lang w:val="en-US" w:eastAsia="zh-CN"/>
        </w:rPr>
        <w:t>框</w:t>
      </w:r>
      <w:r>
        <w:rPr>
          <w:rFonts w:hint="default" w:ascii="Times New Roman" w:hAnsi="Times New Roman" w:cs="Times New Roman"/>
          <w:color w:val="auto"/>
          <w:sz w:val="24"/>
          <w:highlight w:val="none"/>
        </w:rPr>
        <w:t>时使用的原料为</w:t>
      </w:r>
      <w:r>
        <w:rPr>
          <w:rFonts w:hint="eastAsia" w:cs="Times New Roman"/>
          <w:color w:val="auto"/>
          <w:sz w:val="24"/>
          <w:highlight w:val="none"/>
          <w:lang w:val="en-US" w:eastAsia="zh-CN"/>
        </w:rPr>
        <w:t>再生聚丙烯塑料颗粒</w:t>
      </w:r>
      <w:r>
        <w:rPr>
          <w:rFonts w:hint="default" w:ascii="Times New Roman" w:hAnsi="Times New Roman" w:cs="Times New Roman"/>
          <w:color w:val="auto"/>
          <w:sz w:val="24"/>
          <w:highlight w:val="none"/>
        </w:rPr>
        <w:t>，采用袋装贮存，为固态</w:t>
      </w:r>
      <w:r>
        <w:rPr>
          <w:rFonts w:hint="eastAsia" w:cs="Times New Roman"/>
          <w:color w:val="auto"/>
          <w:sz w:val="24"/>
          <w:highlight w:val="none"/>
          <w:lang w:val="en-US" w:eastAsia="zh-CN"/>
        </w:rPr>
        <w:t>颗粒物</w:t>
      </w:r>
      <w:r>
        <w:rPr>
          <w:rFonts w:hint="default" w:ascii="Times New Roman" w:hAnsi="Times New Roman" w:cs="Times New Roman"/>
          <w:color w:val="auto"/>
          <w:sz w:val="24"/>
          <w:highlight w:val="none"/>
        </w:rPr>
        <w:t>，在投料和拌料</w:t>
      </w:r>
      <w:r>
        <w:rPr>
          <w:rFonts w:hint="default" w:ascii="Times New Roman" w:hAnsi="Times New Roman" w:cs="Times New Roman"/>
          <w:color w:val="auto"/>
          <w:sz w:val="24"/>
          <w:highlight w:val="none"/>
          <w:lang w:val="en-US" w:eastAsia="zh-CN"/>
        </w:rPr>
        <w:t>均采用密闭机器，</w:t>
      </w:r>
      <w:r>
        <w:rPr>
          <w:rFonts w:hint="default" w:ascii="Times New Roman" w:hAnsi="Times New Roman" w:cs="Times New Roman"/>
          <w:color w:val="auto"/>
          <w:sz w:val="24"/>
          <w:highlight w:val="none"/>
        </w:rPr>
        <w:t>在投料和拌料过程不会产生粉尘。生产过程中不使用增塑剂等其他助剂，不进行原料改性，在注塑时采用螺杆式加热方式使</w:t>
      </w:r>
      <w:r>
        <w:rPr>
          <w:rFonts w:hint="eastAsia" w:cs="Times New Roman"/>
          <w:color w:val="auto"/>
          <w:sz w:val="24"/>
          <w:highlight w:val="none"/>
          <w:lang w:val="en-US" w:eastAsia="zh-CN"/>
        </w:rPr>
        <w:t>聚丙烯</w:t>
      </w:r>
      <w:r>
        <w:rPr>
          <w:rFonts w:hint="default" w:ascii="Times New Roman" w:hAnsi="Times New Roman" w:cs="Times New Roman"/>
          <w:color w:val="auto"/>
          <w:sz w:val="24"/>
          <w:highlight w:val="none"/>
        </w:rPr>
        <w:t>达到熔融状态，属于物理过程。熔融、注塑、冷却整个过程全部在封闭式模具箱体内完成。根据</w:t>
      </w:r>
      <w:r>
        <w:rPr>
          <w:rFonts w:hint="eastAsia" w:cs="Times New Roman"/>
          <w:color w:val="auto"/>
          <w:sz w:val="24"/>
          <w:highlight w:val="none"/>
          <w:lang w:val="en-US" w:eastAsia="zh-CN"/>
        </w:rPr>
        <w:t>聚丙烯</w:t>
      </w:r>
      <w:r>
        <w:rPr>
          <w:rFonts w:hint="default" w:ascii="Times New Roman" w:hAnsi="Times New Roman" w:cs="Times New Roman"/>
          <w:color w:val="auto"/>
          <w:sz w:val="24"/>
          <w:highlight w:val="none"/>
        </w:rPr>
        <w:t>理化性质可知：</w:t>
      </w:r>
      <w:r>
        <w:rPr>
          <w:rFonts w:hint="eastAsia" w:cs="Times New Roman"/>
          <w:color w:val="auto"/>
          <w:sz w:val="24"/>
          <w:highlight w:val="none"/>
          <w:lang w:val="en-US" w:eastAsia="zh-CN"/>
        </w:rPr>
        <w:t>聚丙烯</w:t>
      </w:r>
      <w:r>
        <w:rPr>
          <w:color w:val="auto"/>
          <w:kern w:val="0"/>
          <w:sz w:val="24"/>
          <w:highlight w:val="none"/>
        </w:rPr>
        <w:t>熔点为173℃（</w:t>
      </w:r>
      <w:r>
        <w:rPr>
          <w:color w:val="auto"/>
          <w:sz w:val="24"/>
          <w:szCs w:val="20"/>
          <w:highlight w:val="none"/>
        </w:rPr>
        <w:t>裂解温度</w:t>
      </w:r>
      <w:r>
        <w:rPr>
          <w:color w:val="auto"/>
          <w:sz w:val="24"/>
          <w:highlight w:val="none"/>
        </w:rPr>
        <w:t>260-300℃</w:t>
      </w:r>
      <w:r>
        <w:rPr>
          <w:color w:val="auto"/>
          <w:kern w:val="0"/>
          <w:sz w:val="24"/>
          <w:highlight w:val="none"/>
        </w:rPr>
        <w:t>）</w:t>
      </w:r>
      <w:r>
        <w:rPr>
          <w:rFonts w:hint="default" w:ascii="Times New Roman" w:hAnsi="Times New Roman" w:cs="Times New Roman"/>
          <w:color w:val="auto"/>
          <w:sz w:val="24"/>
          <w:highlight w:val="none"/>
        </w:rPr>
        <w:t>，本项目生产塑料</w:t>
      </w:r>
      <w:r>
        <w:rPr>
          <w:rFonts w:hint="eastAsia" w:cs="Times New Roman"/>
          <w:color w:val="auto"/>
          <w:sz w:val="24"/>
          <w:highlight w:val="none"/>
          <w:lang w:val="en-US" w:eastAsia="zh-CN"/>
        </w:rPr>
        <w:t>框</w:t>
      </w:r>
      <w:r>
        <w:rPr>
          <w:rFonts w:hint="default" w:ascii="Times New Roman" w:hAnsi="Times New Roman" w:cs="Times New Roman"/>
          <w:color w:val="auto"/>
          <w:sz w:val="24"/>
          <w:highlight w:val="none"/>
        </w:rPr>
        <w:t>时采用电加热，项目通过自带温控系统将加热温度控制在180℃~2</w:t>
      </w:r>
      <w:r>
        <w:rPr>
          <w:rFonts w:hint="eastAsia" w:cs="Times New Roman"/>
          <w:color w:val="auto"/>
          <w:sz w:val="24"/>
          <w:highlight w:val="none"/>
          <w:lang w:val="en-US" w:eastAsia="zh-CN"/>
        </w:rPr>
        <w:t>0</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再生聚丙烯塑料颗粒</w:t>
      </w:r>
      <w:r>
        <w:rPr>
          <w:rFonts w:hint="default" w:ascii="Times New Roman" w:hAnsi="Times New Roman" w:cs="Times New Roman"/>
          <w:color w:val="auto"/>
          <w:sz w:val="24"/>
          <w:highlight w:val="none"/>
        </w:rPr>
        <w:t>转化为熔融态时而不进行热分解，注塑时仅有少量物料接触加热螺杆时挥发产生</w:t>
      </w:r>
      <w:r>
        <w:rPr>
          <w:rFonts w:hint="eastAsia" w:cs="Times New Roman"/>
          <w:color w:val="auto"/>
          <w:sz w:val="24"/>
          <w:highlight w:val="none"/>
          <w:lang w:val="en-US" w:eastAsia="zh-CN"/>
        </w:rPr>
        <w:t>聚丙烯</w:t>
      </w:r>
      <w:r>
        <w:rPr>
          <w:rFonts w:hint="default" w:ascii="Times New Roman" w:hAnsi="Times New Roman" w:cs="Times New Roman"/>
          <w:color w:val="auto"/>
          <w:sz w:val="24"/>
          <w:highlight w:val="none"/>
        </w:rPr>
        <w:t>单体等有机废气产生，在注塑成品冷却后打开箱体取出产品时有少量溢出，主要成分以非甲烷总烃计。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bookmarkStart w:id="437" w:name="OLE_LINK4"/>
      <w:r>
        <w:rPr>
          <w:rFonts w:hint="default" w:ascii="Times New Roman" w:hAnsi="Times New Roman" w:cs="Times New Roman"/>
          <w:color w:val="auto"/>
          <w:sz w:val="24"/>
          <w:highlight w:val="none"/>
        </w:rPr>
        <w:t>排放源统计调查产排污核算方法和系数手册</w:t>
      </w:r>
      <w:bookmarkEnd w:id="437"/>
      <w:r>
        <w:rPr>
          <w:rFonts w:hint="default" w:ascii="Times New Roman" w:hAnsi="Times New Roman" w:cs="Times New Roman"/>
          <w:color w:val="auto"/>
          <w:sz w:val="24"/>
          <w:highlight w:val="none"/>
        </w:rPr>
        <w:t xml:space="preserve">》“292 塑料制品业系数手册” 中的“2926 </w:t>
      </w:r>
      <w:r>
        <w:rPr>
          <w:rFonts w:hint="eastAsia" w:cs="Times New Roman"/>
          <w:color w:val="auto"/>
          <w:sz w:val="24"/>
          <w:highlight w:val="none"/>
          <w:lang w:val="en-US" w:eastAsia="zh-CN"/>
        </w:rPr>
        <w:t>塑料包装箱及容器制造行业</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系数表，塑料包装箱及容器在配料-混合-挤出/注（吹）塑过程中，挥发性有机物（非甲烷总烃）的产污系数为2.7kg/吨-产品，项目产品量为1250t/a，则注塑过程中非甲烷总烃的产生量约为3.375t/a，1.406kg/h。</w:t>
      </w:r>
    </w:p>
    <w:p>
      <w:pPr>
        <w:spacing w:line="360" w:lineRule="auto"/>
        <w:ind w:firstLine="480" w:firstLineChars="200"/>
        <w:rPr>
          <w:rFonts w:hint="eastAsia"/>
          <w:color w:val="auto"/>
          <w:sz w:val="24"/>
          <w:szCs w:val="20"/>
          <w:highlight w:val="none"/>
          <w:lang w:val="en-US" w:eastAsia="zh-CN"/>
        </w:rPr>
      </w:pPr>
      <w:r>
        <w:rPr>
          <w:rFonts w:hint="eastAsia"/>
          <w:color w:val="auto"/>
          <w:sz w:val="24"/>
          <w:szCs w:val="20"/>
          <w:highlight w:val="none"/>
          <w:lang w:val="en-US" w:eastAsia="zh-CN"/>
        </w:rPr>
        <w:t>项目拟在6台注塑机出口上方各设半封闭式集气罩对非甲烷总烃进行负压收集，共设6个集气罩，根据《大气污染控制工程》中集气罩设计原则，项目每个集气罩风量按下式确定：</w:t>
      </w:r>
    </w:p>
    <w:p>
      <w:pPr>
        <w:rPr>
          <w:rFonts w:hint="default" w:hAnsi="Cambria Math" w:cs="Times New Roman"/>
          <w:i w:val="0"/>
          <w:color w:val="auto"/>
          <w:kern w:val="2"/>
          <w:sz w:val="24"/>
          <w:szCs w:val="24"/>
          <w:highlight w:val="none"/>
          <w:lang w:val="en-US" w:eastAsia="zh-CN" w:bidi="ar-SA"/>
        </w:rPr>
      </w:pPr>
      <m:oMathPara>
        <m:oMath>
          <m:r>
            <m:rPr>
              <m:sty m:val="p"/>
            </m:rPr>
            <w:rPr>
              <w:rFonts w:hint="default" w:ascii="Cambria Math" w:hAnsi="Cambria Math" w:cs="Times New Roman"/>
              <w:color w:val="auto"/>
              <w:kern w:val="2"/>
              <w:sz w:val="24"/>
              <w:szCs w:val="24"/>
              <w:highlight w:val="none"/>
              <w:lang w:val="en-US" w:eastAsia="zh-CN" w:bidi="ar-SA"/>
            </w:rPr>
            <m:t>L=</m:t>
          </m:r>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V</m:t>
              </m:r>
              <m:ctrlPr>
                <w:rPr>
                  <w:rFonts w:hint="default" w:ascii="Cambria Math" w:hAnsi="Cambria Math" w:cs="Times New Roman"/>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color w:val="auto"/>
                  <w:kern w:val="2"/>
                  <w:sz w:val="24"/>
                  <w:szCs w:val="24"/>
                  <w:highlight w:val="none"/>
                  <w:lang w:val="en-US" w:eastAsia="zh-CN" w:bidi="ar-SA"/>
                </w:rPr>
              </m:ctrlPr>
            </m:sub>
          </m:sSub>
          <m:r>
            <m:rPr>
              <m:sty m:val="p"/>
            </m:rPr>
            <w:rPr>
              <w:rFonts w:hint="default" w:ascii="Cambria Math" w:hAnsi="Cambria Math" w:cs="Times New Roman"/>
              <w:color w:val="auto"/>
              <w:kern w:val="2"/>
              <w:sz w:val="24"/>
              <w:szCs w:val="24"/>
              <w:highlight w:val="none"/>
              <w:lang w:val="en-US" w:eastAsia="zh-CN" w:bidi="ar-SA"/>
            </w:rPr>
            <m:t>F=(10</m:t>
          </m:r>
          <m:sSup>
            <m:sSupPr>
              <m:ctrlPr>
                <w:rPr>
                  <w:rFonts w:hint="default" w:ascii="Cambria Math" w:hAnsi="Cambria Math" w:cs="Times New Roman"/>
                  <w:color w:val="auto"/>
                  <w:kern w:val="2"/>
                  <w:sz w:val="24"/>
                  <w:szCs w:val="24"/>
                  <w:highlight w:val="none"/>
                  <w:lang w:val="en-US" w:eastAsia="zh-CN" w:bidi="ar-SA"/>
                </w:rPr>
              </m:ctrlPr>
            </m:sSupPr>
            <m:e>
              <m:r>
                <m:rPr>
                  <m:sty m:val="p"/>
                </m:rPr>
                <w:rPr>
                  <w:rFonts w:hint="default" w:ascii="Cambria Math" w:hAnsi="Cambria Math" w:cs="Times New Roman"/>
                  <w:color w:val="auto"/>
                  <w:kern w:val="2"/>
                  <w:sz w:val="24"/>
                  <w:szCs w:val="24"/>
                  <w:highlight w:val="none"/>
                  <w:lang w:val="en-US" w:eastAsia="zh-CN" w:bidi="ar-SA"/>
                </w:rPr>
                <m:t>X</m:t>
              </m:r>
              <m:ctrlPr>
                <w:rPr>
                  <w:rFonts w:hint="default" w:ascii="Cambria Math" w:hAnsi="Cambria Math" w:cs="Times New Roman"/>
                  <w:color w:val="auto"/>
                  <w:kern w:val="2"/>
                  <w:sz w:val="24"/>
                  <w:szCs w:val="24"/>
                  <w:highlight w:val="none"/>
                  <w:lang w:val="en-US" w:eastAsia="zh-CN" w:bidi="ar-SA"/>
                </w:rPr>
              </m:ctrlPr>
            </m:e>
            <m:sup>
              <m:r>
                <m:rPr>
                  <m:sty m:val="p"/>
                </m:rPr>
                <w:rPr>
                  <w:rFonts w:hint="default" w:ascii="Cambria Math" w:hAnsi="Cambria Math" w:cs="Times New Roman"/>
                  <w:color w:val="auto"/>
                  <w:kern w:val="2"/>
                  <w:sz w:val="24"/>
                  <w:szCs w:val="24"/>
                  <w:highlight w:val="none"/>
                  <w:lang w:val="en-US" w:eastAsia="zh-CN" w:bidi="ar-SA"/>
                </w:rPr>
                <m:t>2</m:t>
              </m:r>
              <m:ctrlPr>
                <w:rPr>
                  <w:rFonts w:hint="default" w:ascii="Cambria Math" w:hAnsi="Cambria Math" w:cs="Times New Roman"/>
                  <w:color w:val="auto"/>
                  <w:kern w:val="2"/>
                  <w:sz w:val="24"/>
                  <w:szCs w:val="24"/>
                  <w:highlight w:val="none"/>
                  <w:lang w:val="en-US" w:eastAsia="zh-CN" w:bidi="ar-SA"/>
                </w:rPr>
              </m:ctrlPr>
            </m:sup>
          </m:sSup>
          <m:r>
            <m:rPr>
              <m:sty m:val="p"/>
            </m:rPr>
            <w:rPr>
              <w:rFonts w:hint="default" w:ascii="Cambria Math" w:hAnsi="Cambria Math" w:cs="Times New Roman"/>
              <w:color w:val="auto"/>
              <w:kern w:val="2"/>
              <w:sz w:val="24"/>
              <w:szCs w:val="24"/>
              <w:highlight w:val="none"/>
              <w:lang w:val="en-US" w:eastAsia="zh-CN" w:bidi="ar-SA"/>
            </w:rPr>
            <m:t>+F)</m:t>
          </m:r>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V</m:t>
              </m:r>
              <m:ctrlPr>
                <w:rPr>
                  <w:rFonts w:hint="default" w:ascii="Cambria Math" w:hAnsi="Cambria Math" w:cs="Times New Roman"/>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X</m:t>
              </m:r>
              <m:ctrlPr>
                <w:rPr>
                  <w:rFonts w:hint="default" w:ascii="Cambria Math" w:hAnsi="Cambria Math" w:cs="Times New Roman"/>
                  <w:color w:val="auto"/>
                  <w:kern w:val="2"/>
                  <w:sz w:val="24"/>
                  <w:szCs w:val="24"/>
                  <w:highlight w:val="none"/>
                  <w:lang w:val="en-US" w:eastAsia="zh-CN" w:bidi="ar-SA"/>
                </w:rPr>
              </m:ctrlPr>
            </m:sub>
          </m:sSub>
        </m:oMath>
      </m:oMathPara>
    </w:p>
    <w:p>
      <w:pPr>
        <w:spacing w:line="360" w:lineRule="auto"/>
        <w:ind w:firstLine="480" w:firstLineChars="200"/>
        <w:rPr>
          <w:rFonts w:hint="eastAsia"/>
          <w:color w:val="auto"/>
          <w:sz w:val="24"/>
          <w:szCs w:val="20"/>
          <w:highlight w:val="none"/>
          <w:lang w:val="en-US" w:eastAsia="zh-CN"/>
        </w:rPr>
      </w:pPr>
      <w:r>
        <w:rPr>
          <w:rFonts w:hint="eastAsia"/>
          <w:color w:val="auto"/>
          <w:sz w:val="24"/>
          <w:szCs w:val="20"/>
          <w:highlight w:val="none"/>
          <w:lang w:val="en-US" w:eastAsia="zh-CN"/>
        </w:rPr>
        <w:t>式中：L—集气罩风量，m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/s；</w:t>
      </w:r>
    </w:p>
    <w:p>
      <w:pPr>
        <w:spacing w:line="360" w:lineRule="auto"/>
        <w:ind w:firstLine="1200" w:firstLineChars="500"/>
        <w:rPr>
          <w:rFonts w:hint="eastAsia"/>
          <w:color w:val="auto"/>
          <w:sz w:val="24"/>
          <w:szCs w:val="20"/>
          <w:highlight w:val="none"/>
          <w:lang w:val="en-US" w:eastAsia="zh-CN"/>
        </w:rPr>
      </w:pPr>
      <w:r>
        <w:rPr>
          <w:rFonts w:hint="eastAsia"/>
          <w:color w:val="auto"/>
          <w:sz w:val="24"/>
          <w:szCs w:val="20"/>
          <w:highlight w:val="none"/>
          <w:lang w:val="en-US" w:eastAsia="zh-CN"/>
        </w:rPr>
        <w:t>V</w:t>
      </w:r>
      <w:r>
        <w:rPr>
          <w:rFonts w:hint="eastAsia"/>
          <w:color w:val="auto"/>
          <w:sz w:val="24"/>
          <w:szCs w:val="20"/>
          <w:highlight w:val="none"/>
          <w:vertAlign w:val="subscript"/>
          <w:lang w:val="en-US" w:eastAsia="zh-CN"/>
        </w:rPr>
        <w:t>0</w:t>
      </w:r>
      <w:r>
        <w:rPr>
          <w:rFonts w:hint="eastAsia"/>
          <w:color w:val="auto"/>
          <w:sz w:val="24"/>
          <w:szCs w:val="20"/>
          <w:highlight w:val="none"/>
          <w:lang w:val="en-US" w:eastAsia="zh-CN"/>
        </w:rPr>
        <w:t>—吸气口的平均风速，m/s；</w:t>
      </w:r>
    </w:p>
    <w:p>
      <w:pPr>
        <w:spacing w:line="360" w:lineRule="auto"/>
        <w:ind w:firstLine="1200" w:firstLineChars="500"/>
        <w:rPr>
          <w:rFonts w:hint="eastAsia"/>
          <w:color w:val="auto"/>
          <w:sz w:val="24"/>
          <w:szCs w:val="20"/>
          <w:highlight w:val="none"/>
          <w:lang w:val="en-US" w:eastAsia="zh-CN"/>
        </w:rPr>
      </w:pPr>
      <w:r>
        <w:rPr>
          <w:rFonts w:hint="eastAsia"/>
          <w:color w:val="auto"/>
          <w:sz w:val="24"/>
          <w:szCs w:val="20"/>
          <w:highlight w:val="none"/>
          <w:lang w:val="en-US" w:eastAsia="zh-CN"/>
        </w:rPr>
        <w:t>V</w:t>
      </w:r>
      <w:r>
        <w:rPr>
          <w:rFonts w:hint="eastAsia"/>
          <w:color w:val="auto"/>
          <w:sz w:val="24"/>
          <w:szCs w:val="20"/>
          <w:highlight w:val="none"/>
          <w:vertAlign w:val="subscript"/>
          <w:lang w:val="en-US" w:eastAsia="zh-CN"/>
        </w:rPr>
        <w:t>x</w:t>
      </w:r>
      <w:r>
        <w:rPr>
          <w:rFonts w:hint="eastAsia"/>
          <w:color w:val="auto"/>
          <w:sz w:val="24"/>
          <w:szCs w:val="20"/>
          <w:highlight w:val="none"/>
          <w:lang w:val="en-US" w:eastAsia="zh-CN"/>
        </w:rPr>
        <w:t>—控制点的吸入风速，m/s；</w:t>
      </w:r>
    </w:p>
    <w:p>
      <w:pPr>
        <w:spacing w:line="360" w:lineRule="auto"/>
        <w:ind w:firstLine="1200" w:firstLineChars="500"/>
        <w:rPr>
          <w:rFonts w:hint="eastAsia"/>
          <w:color w:val="auto"/>
          <w:sz w:val="24"/>
          <w:szCs w:val="20"/>
          <w:highlight w:val="none"/>
          <w:lang w:val="en-US" w:eastAsia="zh-CN"/>
        </w:rPr>
      </w:pPr>
      <w:r>
        <w:rPr>
          <w:rFonts w:hint="eastAsia"/>
          <w:color w:val="auto"/>
          <w:sz w:val="24"/>
          <w:szCs w:val="20"/>
          <w:highlight w:val="none"/>
          <w:lang w:val="en-US" w:eastAsia="zh-CN"/>
        </w:rPr>
        <w:t>F—集气罩面积，m</w:t>
      </w:r>
      <w:r>
        <w:rPr>
          <w:rFonts w:hint="eastAsia"/>
          <w:color w:val="auto"/>
          <w:sz w:val="24"/>
          <w:szCs w:val="20"/>
          <w:highlight w:val="none"/>
          <w:vertAlign w:val="superscript"/>
          <w:lang w:val="en-US" w:eastAsia="zh-CN"/>
        </w:rPr>
        <w:t>2</w:t>
      </w:r>
      <w:r>
        <w:rPr>
          <w:rFonts w:hint="eastAsia"/>
          <w:color w:val="auto"/>
          <w:sz w:val="24"/>
          <w:szCs w:val="20"/>
          <w:highlight w:val="none"/>
          <w:lang w:val="en-US" w:eastAsia="zh-CN"/>
        </w:rPr>
        <w:t>；</w:t>
      </w:r>
    </w:p>
    <w:p>
      <w:pPr>
        <w:spacing w:line="360" w:lineRule="auto"/>
        <w:ind w:firstLine="1200" w:firstLineChars="500"/>
        <w:rPr>
          <w:rFonts w:hint="default"/>
          <w:color w:val="auto"/>
          <w:sz w:val="24"/>
          <w:szCs w:val="20"/>
          <w:highlight w:val="none"/>
          <w:lang w:val="en-US" w:eastAsia="zh-CN"/>
        </w:rPr>
      </w:pPr>
      <w:r>
        <w:rPr>
          <w:rFonts w:hint="eastAsia"/>
          <w:color w:val="auto"/>
          <w:sz w:val="24"/>
          <w:szCs w:val="20"/>
          <w:highlight w:val="none"/>
          <w:lang w:val="en-US" w:eastAsia="zh-CN"/>
        </w:rPr>
        <w:t>X—控制点到吸气口的距离，m。</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lang w:val="en-US" w:eastAsia="zh-CN"/>
        </w:rPr>
        <w:t>项目采用集气罩对非甲烷总烃进行收集，控制点到吸气口的距离取0.2m，挤出口上方集气罩面积（F）取0.4m</w:t>
      </w:r>
      <w:r>
        <w:rPr>
          <w:rFonts w:hint="eastAsia"/>
          <w:color w:val="auto"/>
          <w:sz w:val="24"/>
          <w:szCs w:val="20"/>
          <w:highlight w:val="none"/>
          <w:vertAlign w:val="superscript"/>
          <w:lang w:val="en-US" w:eastAsia="zh-CN"/>
        </w:rPr>
        <w:t>2</w:t>
      </w:r>
      <w:r>
        <w:rPr>
          <w:rFonts w:hint="eastAsia"/>
          <w:color w:val="auto"/>
          <w:sz w:val="24"/>
          <w:szCs w:val="20"/>
          <w:highlight w:val="none"/>
          <w:lang w:val="en-US" w:eastAsia="zh-CN"/>
        </w:rPr>
        <w:t>；根据《大气污染控制工程》中对控制点吸入风速的要求，项目污染物放散情况按“以较低的初速度放散到尚属平静的空气中”考虑，最小控制风速为0.5-1.0m/s，项目Vx取0.5m/s。根据计算，项目注塑机组出口上方单个集气罩要求的最小风量为0.4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/s，即1440m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/h，环评要求注塑机出口上方集气罩风量设置为2000m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/h。综上，项目共设置集气罩6个，总风量12000m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/h。集气罩设置为半封闭式（顶部和两侧封闭，负压状态），根据《主要污染物总量减排核算技术指南》（2022年修订）中“表2-3 VOCs废气收集率通用系数”表，半密闭集气罩收集效率按70%计，未被收集的有机废气呈无组织排放。收集的有机废气共设1套处理设施处理，采用三级活性炭吸附净化设备处理，处理后的废气经1根15m高排气筒排放。</w:t>
      </w:r>
    </w:p>
    <w:p>
      <w:pPr>
        <w:spacing w:line="360" w:lineRule="auto"/>
        <w:ind w:firstLine="480" w:firstLineChars="200"/>
        <w:rPr>
          <w:rFonts w:hint="eastAsia" w:cs="Times New Roman"/>
          <w:color w:val="auto"/>
          <w:sz w:val="24"/>
          <w:highlight w:val="none"/>
          <w:lang w:val="en-US" w:eastAsia="zh-CN"/>
        </w:rPr>
      </w:pPr>
      <w:r>
        <w:rPr>
          <w:rFonts w:hint="eastAsia"/>
          <w:color w:val="auto"/>
          <w:sz w:val="24"/>
          <w:szCs w:val="20"/>
          <w:highlight w:val="none"/>
          <w:lang w:val="en-US" w:eastAsia="zh-CN"/>
        </w:rPr>
        <w:t>根据</w:t>
      </w:r>
      <w:r>
        <w:rPr>
          <w:rFonts w:hint="default" w:ascii="Times New Roman" w:hAnsi="Times New Roman" w:cs="Times New Roman"/>
          <w:color w:val="auto"/>
          <w:sz w:val="24"/>
          <w:highlight w:val="none"/>
        </w:rPr>
        <w:t xml:space="preserve">《排放源统计调查产排污核算方法和系数手册》“292 塑料制品业系数手册” 中的“2926 </w:t>
      </w:r>
      <w:r>
        <w:rPr>
          <w:rFonts w:hint="eastAsia" w:cs="Times New Roman"/>
          <w:color w:val="auto"/>
          <w:sz w:val="24"/>
          <w:highlight w:val="none"/>
          <w:lang w:val="en-US" w:eastAsia="zh-CN"/>
        </w:rPr>
        <w:t>塑料包装箱及容器制造行业</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系数表，塑料包装箱及容器在配料-混合-挤出/注（吹）塑过程中，采用“活性炭吸附”的去除效率为21%，本项目采用三级活性炭吸附装置，通过增加有机废气的停留时间，能有效提高处置效率，并及时更换活性炭，提高更换活性炭的频次，保证活性炭使用时不饱和失效，有机废气去除效率约为75%。</w:t>
      </w:r>
    </w:p>
    <w:p>
      <w:pPr>
        <w:spacing w:line="360" w:lineRule="auto"/>
        <w:ind w:firstLine="480" w:firstLineChars="200"/>
        <w:rPr>
          <w:rFonts w:hint="eastAsia"/>
          <w:color w:val="auto"/>
          <w:sz w:val="24"/>
          <w:szCs w:val="20"/>
          <w:highlight w:val="none"/>
          <w:lang w:val="en-US" w:eastAsia="zh-CN"/>
        </w:rPr>
      </w:pPr>
      <w:r>
        <w:rPr>
          <w:rFonts w:hint="eastAsia"/>
          <w:color w:val="auto"/>
          <w:sz w:val="24"/>
          <w:szCs w:val="20"/>
          <w:highlight w:val="none"/>
          <w:lang w:val="en-US" w:eastAsia="zh-CN"/>
        </w:rPr>
        <w:t>项目产生的非甲烷总烃经集气罩（半封闭集气罩收集效率70%）收集后，经三级活性炭吸附装置处理后通过1根15m高排气筒DA001排放，非甲烷总烃排放量约为0.5906t/a，排放速率0.2461kg/h，排放浓度为20.51mg/m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，可达到《合成树脂工业污染物排放标准》（GB31572-2015）表4限值要求（非甲烷总烃排放浓度≤100mg/m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w:t>
      </w:r>
    </w:p>
    <w:p>
      <w:pPr>
        <w:spacing w:line="360" w:lineRule="auto"/>
        <w:ind w:firstLine="480" w:firstLineChars="200"/>
        <w:rPr>
          <w:rFonts w:hint="eastAsia"/>
          <w:color w:val="auto"/>
          <w:sz w:val="24"/>
          <w:szCs w:val="20"/>
          <w:highlight w:val="none"/>
          <w:lang w:val="en-US" w:eastAsia="zh-CN"/>
        </w:rPr>
      </w:pPr>
      <w:r>
        <w:rPr>
          <w:rFonts w:hint="eastAsia"/>
          <w:color w:val="auto"/>
          <w:sz w:val="24"/>
          <w:szCs w:val="20"/>
          <w:highlight w:val="none"/>
          <w:lang w:val="en-US" w:eastAsia="zh-CN"/>
        </w:rPr>
        <w:t>单位产品非甲烷总烃含量根据《合成树脂工业污染物排放标准》（GB31572-2015）附录B公式计算：</w:t>
      </w:r>
    </w:p>
    <w:p>
      <w:pPr>
        <w:pStyle w:val="21"/>
        <w:rPr>
          <w:rFonts w:hint="default"/>
          <w:color w:val="auto"/>
          <w:highlight w:val="none"/>
          <w:lang w:val="en-US" w:eastAsia="zh-CN"/>
        </w:rPr>
      </w:pPr>
      <m:oMathPara>
        <m:oMath>
          <m:r>
            <m:rPr>
              <m:sty m:val="p"/>
            </m:rPr>
            <w:rPr>
              <w:rFonts w:hint="default" w:ascii="Cambria Math" w:hAnsi="Cambria Math" w:cs="Times New Roman"/>
              <w:color w:val="auto"/>
              <w:kern w:val="0"/>
              <w:sz w:val="20"/>
              <w:szCs w:val="24"/>
              <w:highlight w:val="none"/>
              <w:lang w:val="en-US" w:eastAsia="zh-CN" w:bidi="ar-SA"/>
            </w:rPr>
            <m:t>A</m:t>
          </m:r>
          <m:r>
            <m:rPr>
              <m:sty m:val="p"/>
            </m:rPr>
            <w:rPr>
              <w:rFonts w:hint="eastAsia" w:ascii="Cambria Math" w:hAnsi="Cambria Math" w:cs="Times New Roman"/>
              <w:color w:val="auto"/>
              <w:kern w:val="0"/>
              <w:sz w:val="20"/>
              <w:szCs w:val="24"/>
              <w:highlight w:val="none"/>
              <w:lang w:val="en-US" w:eastAsia="zh-CN" w:bidi="ar-SA"/>
            </w:rPr>
            <m:t>=</m:t>
          </m:r>
          <m:f>
            <m:fPr>
              <m:ctrlPr>
                <w:rPr>
                  <w:rFonts w:hint="eastAsia" w:ascii="Cambria Math" w:hAnsi="Cambria Math" w:cs="Times New Roman"/>
                  <w:color w:val="auto"/>
                  <w:kern w:val="0"/>
                  <w:sz w:val="20"/>
                  <w:szCs w:val="24"/>
                  <w:highlight w:val="none"/>
                  <w:lang w:val="en-US" w:eastAsia="zh-CN" w:bidi="ar-SA"/>
                </w:rPr>
              </m:ctrlPr>
            </m:fPr>
            <m:num>
              <m:sSub>
                <m:sSubPr>
                  <m:ctrlPr>
                    <w:rPr>
                      <w:rFonts w:hint="eastAsia" w:ascii="Cambria Math" w:hAnsi="Cambria Math" w:cs="Times New Roman"/>
                      <w:color w:val="auto"/>
                      <w:kern w:val="0"/>
                      <w:sz w:val="20"/>
                      <w:szCs w:val="24"/>
                      <w:highlight w:val="none"/>
                      <w:lang w:val="en-US" w:eastAsia="zh-CN" w:bidi="ar-SA"/>
                    </w:rPr>
                  </m:ctrlPr>
                </m:sSubPr>
                <m:e>
                  <m:r>
                    <m:rPr>
                      <m:sty m:val="p"/>
                    </m:rPr>
                    <w:rPr>
                      <w:rFonts w:hint="default" w:ascii="Cambria Math" w:hAnsi="Cambria Math" w:cs="Times New Roman"/>
                      <w:color w:val="auto"/>
                      <w:kern w:val="0"/>
                      <w:sz w:val="20"/>
                      <w:szCs w:val="24"/>
                      <w:highlight w:val="none"/>
                      <w:lang w:val="en-US" w:eastAsia="zh-CN" w:bidi="ar-SA"/>
                    </w:rPr>
                    <m:t>C</m:t>
                  </m:r>
                  <m:ctrlPr>
                    <w:rPr>
                      <w:rFonts w:hint="eastAsia" w:ascii="Cambria Math" w:hAnsi="Cambria Math" w:cs="Times New Roman"/>
                      <w:color w:val="auto"/>
                      <w:kern w:val="0"/>
                      <w:sz w:val="20"/>
                      <w:szCs w:val="24"/>
                      <w:highlight w:val="none"/>
                      <w:lang w:val="en-US" w:eastAsia="zh-CN" w:bidi="ar-SA"/>
                    </w:rPr>
                  </m:ctrlPr>
                </m:e>
                <m:sub>
                  <m:r>
                    <m:rPr>
                      <m:sty m:val="p"/>
                    </m:rPr>
                    <w:rPr>
                      <w:rFonts w:hint="eastAsia" w:ascii="Cambria Math" w:hAnsi="Cambria Math" w:cs="Times New Roman"/>
                      <w:color w:val="auto"/>
                      <w:kern w:val="0"/>
                      <w:sz w:val="20"/>
                      <w:szCs w:val="24"/>
                      <w:highlight w:val="none"/>
                      <w:lang w:val="en-US" w:eastAsia="zh-CN" w:bidi="ar-SA"/>
                    </w:rPr>
                    <m:t>实</m:t>
                  </m:r>
                  <m:ctrlPr>
                    <w:rPr>
                      <w:rFonts w:hint="eastAsia" w:ascii="Cambria Math" w:hAnsi="Cambria Math" w:cs="Times New Roman"/>
                      <w:color w:val="auto"/>
                      <w:kern w:val="0"/>
                      <w:sz w:val="20"/>
                      <w:szCs w:val="24"/>
                      <w:highlight w:val="none"/>
                      <w:lang w:val="en-US" w:eastAsia="zh-CN" w:bidi="ar-SA"/>
                    </w:rPr>
                  </m:ctrlPr>
                </m:sub>
              </m:sSub>
              <m:r>
                <m:rPr>
                  <m:sty m:val="p"/>
                </m:rPr>
                <w:rPr>
                  <w:rFonts w:ascii="Cambria Math" w:hAnsi="Cambria Math" w:cs="Times New Roman"/>
                  <w:color w:val="auto"/>
                  <w:kern w:val="0"/>
                  <w:sz w:val="20"/>
                  <w:szCs w:val="24"/>
                  <w:highlight w:val="none"/>
                  <w:lang w:val="en-US" w:bidi="ar-SA"/>
                </w:rPr>
                <m:t>∙</m:t>
              </m:r>
              <m:r>
                <m:rPr>
                  <m:sty m:val="p"/>
                </m:rPr>
                <w:rPr>
                  <w:rFonts w:hint="default" w:ascii="Cambria Math" w:hAnsi="Cambria Math" w:cs="Times New Roman"/>
                  <w:color w:val="auto"/>
                  <w:kern w:val="0"/>
                  <w:sz w:val="20"/>
                  <w:szCs w:val="24"/>
                  <w:highlight w:val="none"/>
                  <w:lang w:val="en-US" w:eastAsia="zh-CN" w:bidi="ar-SA"/>
                </w:rPr>
                <m:t>Q</m:t>
              </m:r>
              <m:ctrlPr>
                <w:rPr>
                  <w:rFonts w:hint="eastAsia" w:ascii="Cambria Math" w:hAnsi="Cambria Math" w:cs="Times New Roman"/>
                  <w:color w:val="auto"/>
                  <w:kern w:val="0"/>
                  <w:sz w:val="20"/>
                  <w:szCs w:val="24"/>
                  <w:highlight w:val="none"/>
                  <w:lang w:val="en-US" w:eastAsia="zh-CN" w:bidi="ar-SA"/>
                </w:rPr>
              </m:ctrlPr>
            </m:num>
            <m:den>
              <m:sSub>
                <m:sSubPr>
                  <m:ctrlPr>
                    <w:rPr>
                      <w:rFonts w:hint="eastAsia" w:ascii="Cambria Math" w:hAnsi="Cambria Math" w:cs="Times New Roman"/>
                      <w:color w:val="auto"/>
                      <w:kern w:val="0"/>
                      <w:sz w:val="20"/>
                      <w:szCs w:val="24"/>
                      <w:highlight w:val="none"/>
                      <w:lang w:val="en-US" w:eastAsia="zh-CN" w:bidi="ar-SA"/>
                    </w:rPr>
                  </m:ctrlPr>
                </m:sSubPr>
                <m:e>
                  <m:r>
                    <m:rPr>
                      <m:sty m:val="p"/>
                    </m:rPr>
                    <w:rPr>
                      <w:rFonts w:hint="default" w:ascii="Cambria Math" w:hAnsi="Cambria Math" w:cs="Times New Roman"/>
                      <w:color w:val="auto"/>
                      <w:kern w:val="0"/>
                      <w:sz w:val="20"/>
                      <w:szCs w:val="24"/>
                      <w:highlight w:val="none"/>
                      <w:lang w:val="en-US" w:eastAsia="zh-CN" w:bidi="ar-SA"/>
                    </w:rPr>
                    <m:t>T</m:t>
                  </m:r>
                  <m:ctrlPr>
                    <w:rPr>
                      <w:rFonts w:hint="eastAsia" w:ascii="Cambria Math" w:hAnsi="Cambria Math" w:cs="Times New Roman"/>
                      <w:color w:val="auto"/>
                      <w:kern w:val="0"/>
                      <w:sz w:val="20"/>
                      <w:szCs w:val="24"/>
                      <w:highlight w:val="none"/>
                      <w:lang w:val="en-US" w:eastAsia="zh-CN" w:bidi="ar-SA"/>
                    </w:rPr>
                  </m:ctrlPr>
                </m:e>
                <m:sub>
                  <m:r>
                    <m:rPr>
                      <m:sty m:val="p"/>
                    </m:rPr>
                    <w:rPr>
                      <w:rFonts w:hint="eastAsia" w:ascii="Cambria Math" w:hAnsi="Cambria Math" w:cs="Times New Roman"/>
                      <w:color w:val="auto"/>
                      <w:kern w:val="0"/>
                      <w:sz w:val="20"/>
                      <w:szCs w:val="24"/>
                      <w:highlight w:val="none"/>
                      <w:lang w:val="en-US" w:eastAsia="zh-CN" w:bidi="ar-SA"/>
                    </w:rPr>
                    <m:t>产</m:t>
                  </m:r>
                  <m:ctrlPr>
                    <w:rPr>
                      <w:rFonts w:hint="eastAsia" w:ascii="Cambria Math" w:hAnsi="Cambria Math" w:cs="Times New Roman"/>
                      <w:color w:val="auto"/>
                      <w:kern w:val="0"/>
                      <w:sz w:val="20"/>
                      <w:szCs w:val="24"/>
                      <w:highlight w:val="none"/>
                      <w:lang w:val="en-US" w:eastAsia="zh-CN" w:bidi="ar-SA"/>
                    </w:rPr>
                  </m:ctrlPr>
                </m:sub>
              </m:sSub>
              <m:ctrlPr>
                <w:rPr>
                  <w:rFonts w:hint="eastAsia" w:ascii="Cambria Math" w:hAnsi="Cambria Math" w:cs="Times New Roman"/>
                  <w:color w:val="auto"/>
                  <w:kern w:val="0"/>
                  <w:sz w:val="20"/>
                  <w:szCs w:val="24"/>
                  <w:highlight w:val="none"/>
                  <w:lang w:val="en-US" w:eastAsia="zh-CN" w:bidi="ar-SA"/>
                </w:rPr>
              </m:ctrlPr>
            </m:den>
          </m:f>
          <m:r>
            <m:rPr>
              <m:sty m:val="p"/>
            </m:rPr>
            <w:rPr>
              <w:rFonts w:hint="default" w:ascii="Cambria Math" w:hAnsi="Cambria Math" w:cs="Cambria Math"/>
              <w:color w:val="auto"/>
              <w:kern w:val="0"/>
              <w:sz w:val="20"/>
              <w:szCs w:val="24"/>
              <w:highlight w:val="none"/>
              <w:lang w:val="en-US" w:eastAsia="zh-CN" w:bidi="ar-SA"/>
            </w:rPr>
            <m:t>×</m:t>
          </m:r>
          <m:sSup>
            <m:sSupPr>
              <m:ctrlPr>
                <w:rPr>
                  <w:rFonts w:hint="default" w:ascii="Cambria Math" w:hAnsi="Cambria Math" w:cs="Cambria Math"/>
                  <w:color w:val="auto"/>
                  <w:kern w:val="0"/>
                  <w:sz w:val="20"/>
                  <w:szCs w:val="24"/>
                  <w:highlight w:val="none"/>
                  <w:lang w:val="en-US" w:eastAsia="zh-CN" w:bidi="ar-SA"/>
                </w:rPr>
              </m:ctrlPr>
            </m:sSupPr>
            <m:e>
              <m:r>
                <m:rPr>
                  <m:sty m:val="p"/>
                </m:rPr>
                <w:rPr>
                  <w:rFonts w:hint="default" w:ascii="Cambria Math" w:hAnsi="Cambria Math" w:cs="Cambria Math"/>
                  <w:color w:val="auto"/>
                  <w:kern w:val="0"/>
                  <w:sz w:val="20"/>
                  <w:szCs w:val="24"/>
                  <w:highlight w:val="none"/>
                  <w:lang w:val="en-US" w:eastAsia="zh-CN" w:bidi="ar-SA"/>
                </w:rPr>
                <m:t>10</m:t>
              </m:r>
              <m:ctrlPr>
                <w:rPr>
                  <w:rFonts w:hint="default" w:ascii="Cambria Math" w:hAnsi="Cambria Math" w:cs="Cambria Math"/>
                  <w:color w:val="auto"/>
                  <w:kern w:val="0"/>
                  <w:sz w:val="20"/>
                  <w:szCs w:val="24"/>
                  <w:highlight w:val="none"/>
                  <w:lang w:val="en-US" w:eastAsia="zh-CN" w:bidi="ar-SA"/>
                </w:rPr>
              </m:ctrlPr>
            </m:e>
            <m:sup>
              <m:r>
                <m:rPr>
                  <m:sty m:val="p"/>
                </m:rPr>
                <w:rPr>
                  <w:rFonts w:hint="default" w:ascii="Cambria Math" w:hAnsi="Cambria Math" w:cs="Cambria Math"/>
                  <w:color w:val="auto"/>
                  <w:kern w:val="0"/>
                  <w:sz w:val="20"/>
                  <w:szCs w:val="24"/>
                  <w:highlight w:val="none"/>
                  <w:lang w:val="en-US" w:eastAsia="zh-CN" w:bidi="ar-SA"/>
                </w:rPr>
                <m:t>−6</m:t>
              </m:r>
              <m:ctrlPr>
                <w:rPr>
                  <w:rFonts w:hint="default" w:ascii="Cambria Math" w:hAnsi="Cambria Math" w:cs="Cambria Math"/>
                  <w:color w:val="auto"/>
                  <w:kern w:val="0"/>
                  <w:sz w:val="20"/>
                  <w:szCs w:val="24"/>
                  <w:highlight w:val="none"/>
                  <w:lang w:val="en-US" w:eastAsia="zh-CN" w:bidi="ar-SA"/>
                </w:rPr>
              </m:ctrlPr>
            </m:sup>
          </m:sSup>
        </m:oMath>
      </m:oMathPara>
    </w:p>
    <w:p>
      <w:pPr>
        <w:spacing w:line="360" w:lineRule="auto"/>
        <w:ind w:firstLine="480" w:firstLineChars="200"/>
        <w:rPr>
          <w:rFonts w:hint="eastAsia"/>
          <w:color w:val="auto"/>
          <w:sz w:val="24"/>
          <w:szCs w:val="20"/>
          <w:highlight w:val="none"/>
          <w:lang w:val="en-US" w:eastAsia="zh-CN"/>
        </w:rPr>
      </w:pPr>
      <w:r>
        <w:rPr>
          <w:rFonts w:hint="eastAsia"/>
          <w:color w:val="auto"/>
          <w:sz w:val="24"/>
          <w:szCs w:val="20"/>
          <w:highlight w:val="none"/>
          <w:lang w:val="en-US" w:eastAsia="zh-CN"/>
        </w:rPr>
        <w:t>式中：A—单位合成树脂产品非甲烷总烃排放量，kg/t-产品；</w:t>
      </w:r>
    </w:p>
    <w:p>
      <w:pPr>
        <w:spacing w:line="360" w:lineRule="auto"/>
        <w:ind w:firstLine="1200" w:firstLineChars="500"/>
        <w:rPr>
          <w:rFonts w:hint="default"/>
          <w:color w:val="auto"/>
          <w:sz w:val="24"/>
          <w:szCs w:val="20"/>
          <w:highlight w:val="none"/>
          <w:lang w:val="en-US" w:eastAsia="zh-CN"/>
        </w:rPr>
      </w:pPr>
      <w:r>
        <w:rPr>
          <w:rFonts w:hint="eastAsia"/>
          <w:color w:val="auto"/>
          <w:sz w:val="24"/>
          <w:szCs w:val="20"/>
          <w:highlight w:val="none"/>
          <w:lang w:val="en-US" w:eastAsia="zh-CN"/>
        </w:rPr>
        <w:t>C</w:t>
      </w:r>
      <w:r>
        <w:rPr>
          <w:rFonts w:hint="eastAsia"/>
          <w:color w:val="auto"/>
          <w:sz w:val="24"/>
          <w:szCs w:val="20"/>
          <w:highlight w:val="none"/>
          <w:vertAlign w:val="subscript"/>
          <w:lang w:val="en-US" w:eastAsia="zh-CN"/>
        </w:rPr>
        <w:t>实</w:t>
      </w:r>
      <w:r>
        <w:rPr>
          <w:rFonts w:hint="eastAsia"/>
          <w:color w:val="auto"/>
          <w:sz w:val="24"/>
          <w:szCs w:val="20"/>
          <w:highlight w:val="none"/>
          <w:lang w:val="en-US" w:eastAsia="zh-CN"/>
        </w:rPr>
        <w:t>—排气筒中非甲烷总烃实测浓度mg/m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；取20.51mg/m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w:t>
      </w:r>
    </w:p>
    <w:p>
      <w:pPr>
        <w:spacing w:line="360" w:lineRule="auto"/>
        <w:ind w:firstLine="1200" w:firstLineChars="500"/>
        <w:rPr>
          <w:rFonts w:hint="eastAsia"/>
          <w:color w:val="auto"/>
          <w:sz w:val="24"/>
          <w:szCs w:val="20"/>
          <w:highlight w:val="none"/>
          <w:lang w:val="en-US" w:eastAsia="zh-CN"/>
        </w:rPr>
      </w:pPr>
      <w:r>
        <w:rPr>
          <w:rFonts w:hint="eastAsia"/>
          <w:color w:val="auto"/>
          <w:sz w:val="24"/>
          <w:szCs w:val="20"/>
          <w:highlight w:val="none"/>
          <w:lang w:val="en-US" w:eastAsia="zh-CN"/>
        </w:rPr>
        <w:t>Q—排气筒单位时间内排气量，m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/h；12000m</w:t>
      </w:r>
      <w:r>
        <w:rPr>
          <w:rFonts w:hint="eastAsia"/>
          <w:color w:val="auto"/>
          <w:sz w:val="24"/>
          <w:szCs w:val="20"/>
          <w:highlight w:val="none"/>
          <w:vertAlign w:val="superscript"/>
          <w:lang w:val="en-US" w:eastAsia="zh-CN"/>
        </w:rPr>
        <w:t>3</w:t>
      </w:r>
      <w:r>
        <w:rPr>
          <w:rFonts w:hint="eastAsia"/>
          <w:color w:val="auto"/>
          <w:sz w:val="24"/>
          <w:szCs w:val="20"/>
          <w:highlight w:val="none"/>
          <w:lang w:val="en-US" w:eastAsia="zh-CN"/>
        </w:rPr>
        <w:t>/h；</w:t>
      </w:r>
    </w:p>
    <w:p>
      <w:pPr>
        <w:spacing w:line="360" w:lineRule="auto"/>
        <w:ind w:firstLine="1200" w:firstLineChars="500"/>
        <w:rPr>
          <w:rFonts w:hint="default"/>
          <w:color w:val="auto"/>
          <w:highlight w:val="none"/>
          <w:lang w:val="en-US" w:eastAsia="zh-CN"/>
        </w:rPr>
      </w:pPr>
      <w:r>
        <w:rPr>
          <w:rFonts w:hint="eastAsia"/>
          <w:color w:val="auto"/>
          <w:sz w:val="24"/>
          <w:szCs w:val="20"/>
          <w:highlight w:val="none"/>
          <w:lang w:val="en-US" w:eastAsia="zh-CN"/>
        </w:rPr>
        <w:t>T</w:t>
      </w:r>
      <w:r>
        <w:rPr>
          <w:rFonts w:hint="eastAsia"/>
          <w:color w:val="auto"/>
          <w:sz w:val="24"/>
          <w:szCs w:val="20"/>
          <w:highlight w:val="none"/>
          <w:vertAlign w:val="subscript"/>
          <w:lang w:val="en-US" w:eastAsia="zh-CN"/>
        </w:rPr>
        <w:t>产</w:t>
      </w:r>
      <w:r>
        <w:rPr>
          <w:rFonts w:hint="eastAsia"/>
          <w:color w:val="auto"/>
          <w:sz w:val="24"/>
          <w:szCs w:val="20"/>
          <w:highlight w:val="none"/>
          <w:lang w:val="en-US" w:eastAsia="zh-CN"/>
        </w:rPr>
        <w:t>—单位时间内合成树脂的产量，t/h；生产线塑料框产量为50万只/a，折合1250t/a，年生产时间2400h，则单位时间内产量约为0.5208t/h。</w:t>
      </w:r>
    </w:p>
    <w:p>
      <w:pPr>
        <w:spacing w:line="360" w:lineRule="auto"/>
        <w:ind w:firstLine="480" w:firstLineChars="200"/>
        <w:rPr>
          <w:rFonts w:hint="eastAsia"/>
          <w:color w:val="auto"/>
          <w:sz w:val="24"/>
          <w:szCs w:val="20"/>
          <w:highlight w:val="none"/>
        </w:rPr>
      </w:pPr>
      <w:r>
        <w:rPr>
          <w:rFonts w:hint="eastAsia"/>
          <w:color w:val="auto"/>
          <w:sz w:val="24"/>
          <w:szCs w:val="20"/>
          <w:highlight w:val="none"/>
          <w:lang w:val="en-US" w:eastAsia="zh-CN"/>
        </w:rPr>
        <w:t>根据上式计算得单位产品非甲烷总烃排放量为0.4726kg/t-产品。满足《合成树脂工业污染物排放标准》（GB31572-2015）表4限值要求（单位产品非甲烷总烃排放量为0.5kg/t产品）。</w:t>
      </w:r>
    </w:p>
    <w:p>
      <w:pPr>
        <w:spacing w:line="360" w:lineRule="auto"/>
        <w:ind w:firstLine="480" w:firstLineChars="200"/>
        <w:rPr>
          <w:rFonts w:hint="default"/>
          <w:color w:val="auto"/>
          <w:sz w:val="24"/>
          <w:szCs w:val="20"/>
          <w:highlight w:val="none"/>
          <w:lang w:val="en-US" w:eastAsia="zh-CN"/>
        </w:rPr>
      </w:pPr>
      <w:r>
        <w:rPr>
          <w:rFonts w:hint="eastAsia"/>
          <w:color w:val="auto"/>
          <w:sz w:val="24"/>
          <w:szCs w:val="20"/>
          <w:highlight w:val="none"/>
          <w:lang w:eastAsia="zh-CN"/>
        </w:rPr>
        <w:t>②</w:t>
      </w:r>
      <w:r>
        <w:rPr>
          <w:rFonts w:hint="eastAsia"/>
          <w:color w:val="auto"/>
          <w:sz w:val="24"/>
          <w:szCs w:val="20"/>
          <w:highlight w:val="none"/>
          <w:lang w:val="en-US" w:eastAsia="zh-CN"/>
        </w:rPr>
        <w:t>颗粒物</w:t>
      </w:r>
    </w:p>
    <w:p>
      <w:pPr>
        <w:spacing w:line="360" w:lineRule="auto"/>
        <w:ind w:firstLine="480" w:firstLineChars="200"/>
        <w:rPr>
          <w:rFonts w:hint="default"/>
          <w:color w:val="auto"/>
          <w:sz w:val="24"/>
          <w:szCs w:val="20"/>
          <w:highlight w:val="none"/>
          <w:lang w:eastAsia="zh-CN"/>
        </w:rPr>
      </w:pPr>
      <w:r>
        <w:rPr>
          <w:rFonts w:hint="eastAsia"/>
          <w:color w:val="auto"/>
          <w:sz w:val="24"/>
          <w:szCs w:val="20"/>
          <w:highlight w:val="none"/>
        </w:rPr>
        <w:t>塑料</w:t>
      </w:r>
      <w:r>
        <w:rPr>
          <w:rFonts w:hint="eastAsia"/>
          <w:color w:val="auto"/>
          <w:sz w:val="24"/>
          <w:szCs w:val="20"/>
          <w:highlight w:val="none"/>
          <w:lang w:val="en-US" w:eastAsia="zh-CN"/>
        </w:rPr>
        <w:t>框</w:t>
      </w:r>
      <w:r>
        <w:rPr>
          <w:rFonts w:hint="eastAsia"/>
          <w:color w:val="auto"/>
          <w:sz w:val="24"/>
          <w:szCs w:val="20"/>
          <w:highlight w:val="none"/>
        </w:rPr>
        <w:t>生产过程中修整</w:t>
      </w:r>
      <w:r>
        <w:rPr>
          <w:rFonts w:hint="eastAsia"/>
          <w:color w:val="auto"/>
          <w:sz w:val="24"/>
          <w:szCs w:val="20"/>
          <w:highlight w:val="none"/>
          <w:lang w:val="en-US" w:eastAsia="zh-CN"/>
        </w:rPr>
        <w:t>会</w:t>
      </w:r>
      <w:r>
        <w:rPr>
          <w:rFonts w:hint="eastAsia"/>
          <w:color w:val="auto"/>
          <w:sz w:val="24"/>
          <w:szCs w:val="20"/>
          <w:highlight w:val="none"/>
        </w:rPr>
        <w:t>产生</w:t>
      </w:r>
      <w:r>
        <w:rPr>
          <w:rFonts w:hint="eastAsia"/>
          <w:color w:val="auto"/>
          <w:sz w:val="24"/>
          <w:szCs w:val="20"/>
          <w:highlight w:val="none"/>
          <w:lang w:val="en-US" w:eastAsia="zh-CN"/>
        </w:rPr>
        <w:t>边角料</w:t>
      </w:r>
      <w:r>
        <w:rPr>
          <w:rFonts w:hint="eastAsia"/>
          <w:color w:val="auto"/>
          <w:sz w:val="24"/>
          <w:szCs w:val="20"/>
          <w:highlight w:val="none"/>
        </w:rPr>
        <w:t>、检验</w:t>
      </w:r>
      <w:r>
        <w:rPr>
          <w:rFonts w:hint="eastAsia"/>
          <w:color w:val="auto"/>
          <w:sz w:val="24"/>
          <w:szCs w:val="20"/>
          <w:highlight w:val="none"/>
          <w:lang w:val="en-US" w:eastAsia="zh-CN"/>
        </w:rPr>
        <w:t>会</w:t>
      </w:r>
      <w:r>
        <w:rPr>
          <w:rFonts w:hint="eastAsia"/>
          <w:color w:val="auto"/>
          <w:sz w:val="24"/>
          <w:szCs w:val="20"/>
          <w:highlight w:val="none"/>
        </w:rPr>
        <w:t>产生</w:t>
      </w:r>
      <w:r>
        <w:rPr>
          <w:rFonts w:hint="eastAsia"/>
          <w:color w:val="auto"/>
          <w:sz w:val="24"/>
          <w:szCs w:val="20"/>
          <w:highlight w:val="none"/>
          <w:lang w:val="en-US" w:eastAsia="zh-CN"/>
        </w:rPr>
        <w:t>不合格产品，边角料及不合格产品投入干式破碎机进行粗破碎，破碎成粒状或片状，粗破碎过程产生少量粉尘（颗粒物）。粉尘（颗粒物）</w:t>
      </w:r>
      <w:r>
        <w:rPr>
          <w:rFonts w:hint="default"/>
          <w:color w:val="auto"/>
          <w:sz w:val="24"/>
          <w:szCs w:val="20"/>
          <w:highlight w:val="none"/>
          <w:lang w:val="en-US" w:eastAsia="zh-CN"/>
        </w:rPr>
        <w:t>产生量</w:t>
      </w:r>
      <w:r>
        <w:rPr>
          <w:rFonts w:hint="default"/>
          <w:color w:val="auto"/>
          <w:sz w:val="24"/>
          <w:szCs w:val="20"/>
          <w:highlight w:val="none"/>
        </w:rPr>
        <w:t>参考《排放源统计调查产排污核算方法和系数手册》中的“42 废弃资源综合利用行业系数手册”—“4220 非金属废料和碎屑加工处理行业系数表”，</w:t>
      </w:r>
      <w:r>
        <w:rPr>
          <w:rFonts w:hint="eastAsia"/>
          <w:color w:val="auto"/>
          <w:sz w:val="24"/>
          <w:szCs w:val="20"/>
          <w:highlight w:val="none"/>
          <w:lang w:val="en-US" w:eastAsia="zh-CN"/>
        </w:rPr>
        <w:t>废聚丙烯再生树脂颗粒</w:t>
      </w:r>
      <w:r>
        <w:rPr>
          <w:rFonts w:hint="default"/>
          <w:color w:val="auto"/>
          <w:sz w:val="24"/>
          <w:szCs w:val="20"/>
          <w:highlight w:val="none"/>
        </w:rPr>
        <w:t>，采用干法破碎工艺时，颗粒物产污系数为375g/t·原料</w:t>
      </w:r>
      <w:r>
        <w:rPr>
          <w:rFonts w:hint="default"/>
          <w:color w:val="auto"/>
          <w:sz w:val="24"/>
          <w:szCs w:val="20"/>
          <w:highlight w:val="none"/>
          <w:lang w:eastAsia="zh-CN"/>
        </w:rPr>
        <w:t>。</w:t>
      </w:r>
    </w:p>
    <w:p>
      <w:pPr>
        <w:spacing w:line="360" w:lineRule="auto"/>
        <w:ind w:firstLine="480" w:firstLineChars="200"/>
        <w:rPr>
          <w:rFonts w:hint="eastAsia" w:ascii="Times New Roman" w:hAnsi="Times New Roman" w:eastAsia="宋体" w:cs="Times New Roman"/>
          <w:color w:val="auto"/>
          <w:sz w:val="24"/>
          <w:szCs w:val="20"/>
          <w:highlight w:val="none"/>
          <w:lang w:val="en-US" w:eastAsia="zh-CN"/>
        </w:rPr>
      </w:pPr>
      <w:r>
        <w:rPr>
          <w:rFonts w:hint="default"/>
          <w:color w:val="auto"/>
          <w:sz w:val="24"/>
          <w:szCs w:val="20"/>
          <w:highlight w:val="none"/>
          <w:lang w:eastAsia="zh-CN"/>
        </w:rPr>
        <w:t>不合格产品及边角料</w:t>
      </w:r>
      <w:r>
        <w:rPr>
          <w:rFonts w:hint="default"/>
          <w:color w:val="auto"/>
          <w:sz w:val="24"/>
          <w:szCs w:val="20"/>
          <w:highlight w:val="none"/>
          <w:lang w:val="en-US" w:eastAsia="zh-CN"/>
        </w:rPr>
        <w:t>产生量</w:t>
      </w:r>
      <w:r>
        <w:rPr>
          <w:rFonts w:hint="default"/>
          <w:color w:val="auto"/>
          <w:sz w:val="24"/>
          <w:szCs w:val="20"/>
          <w:highlight w:val="none"/>
          <w:lang w:eastAsia="zh-CN"/>
        </w:rPr>
        <w:t>参照《排放源统计调查产排污核算方法和系数手册》292 塑料制品业系数手册中2926塑料包装箱及容器制造行业系数表，一般固废的产污系数为2.5kg/吨-产品，</w:t>
      </w:r>
      <w:r>
        <w:rPr>
          <w:rFonts w:hint="default"/>
          <w:color w:val="auto"/>
          <w:sz w:val="24"/>
          <w:szCs w:val="20"/>
          <w:highlight w:val="none"/>
          <w:lang w:val="en-US" w:eastAsia="zh-CN"/>
        </w:rPr>
        <w:t>则</w:t>
      </w:r>
      <w:r>
        <w:rPr>
          <w:rFonts w:hint="default"/>
          <w:color w:val="auto"/>
          <w:sz w:val="24"/>
          <w:szCs w:val="20"/>
          <w:highlight w:val="none"/>
        </w:rPr>
        <w:t>项目不合格产品</w:t>
      </w:r>
      <w:r>
        <w:rPr>
          <w:rFonts w:hint="default"/>
          <w:color w:val="auto"/>
          <w:sz w:val="24"/>
          <w:szCs w:val="20"/>
          <w:highlight w:val="none"/>
          <w:lang w:val="en-US" w:eastAsia="zh-CN"/>
        </w:rPr>
        <w:t>及边角料</w:t>
      </w:r>
      <w:r>
        <w:rPr>
          <w:rFonts w:hint="default"/>
          <w:color w:val="auto"/>
          <w:sz w:val="24"/>
          <w:szCs w:val="20"/>
          <w:highlight w:val="none"/>
        </w:rPr>
        <w:t>量为</w:t>
      </w:r>
      <w:r>
        <w:rPr>
          <w:rFonts w:hint="eastAsia"/>
          <w:color w:val="auto"/>
          <w:sz w:val="24"/>
          <w:szCs w:val="20"/>
          <w:highlight w:val="none"/>
          <w:lang w:val="en-US" w:eastAsia="zh-CN"/>
        </w:rPr>
        <w:t>3.125</w:t>
      </w:r>
      <w:r>
        <w:rPr>
          <w:rFonts w:hint="default"/>
          <w:color w:val="auto"/>
          <w:sz w:val="24"/>
          <w:szCs w:val="20"/>
          <w:highlight w:val="none"/>
          <w:lang w:eastAsia="zh-CN"/>
        </w:rPr>
        <w:t>t/a</w:t>
      </w:r>
      <w:r>
        <w:rPr>
          <w:rFonts w:hint="default"/>
          <w:color w:val="auto"/>
          <w:sz w:val="24"/>
          <w:szCs w:val="20"/>
          <w:highlight w:val="none"/>
        </w:rPr>
        <w:t>，破碎工序粉尘产生量为</w:t>
      </w:r>
      <w:r>
        <w:rPr>
          <w:rFonts w:hint="eastAsia"/>
          <w:color w:val="auto"/>
          <w:sz w:val="24"/>
          <w:szCs w:val="20"/>
          <w:highlight w:val="none"/>
          <w:lang w:val="en-US" w:eastAsia="zh-CN"/>
        </w:rPr>
        <w:t>0.0012</w:t>
      </w:r>
      <w:r>
        <w:rPr>
          <w:rFonts w:hint="default"/>
          <w:color w:val="auto"/>
          <w:sz w:val="24"/>
          <w:szCs w:val="20"/>
          <w:highlight w:val="none"/>
        </w:rPr>
        <w:t>t/a。</w:t>
      </w:r>
      <w:r>
        <w:rPr>
          <w:rFonts w:hint="eastAsia"/>
          <w:color w:val="auto"/>
          <w:sz w:val="24"/>
          <w:szCs w:val="20"/>
          <w:highlight w:val="none"/>
          <w:lang w:val="en-US" w:eastAsia="zh-CN"/>
        </w:rPr>
        <w:t>破碎机每小时可破碎不合格产品20kg，每年需破碎157h，则破碎颗粒物产生速率为0.0076kg/h。项目破碎机为密闭结构，仅在进出料口敞开，项目拟在破碎机末端设置1套布袋除尘器对破碎粉尘进行处理后与经三级活性炭吸附装置处理后的有机废气一同经15m高排气筒（DA001）排放，袋式除尘器收集的粉尘（颗粒物）作为一般工业固废处理</w:t>
      </w:r>
      <w:r>
        <w:rPr>
          <w:rFonts w:hint="eastAsia" w:ascii="Times New Roman" w:hAnsi="Times New Roman" w:eastAsia="宋体" w:cs="Times New Roman"/>
          <w:color w:val="auto"/>
          <w:sz w:val="24"/>
          <w:szCs w:val="20"/>
          <w:highlight w:val="none"/>
          <w:lang w:val="en-US" w:eastAsia="zh-CN"/>
        </w:rPr>
        <w:t>。</w:t>
      </w:r>
    </w:p>
    <w:p>
      <w:pPr>
        <w:spacing w:line="360" w:lineRule="auto"/>
        <w:ind w:firstLine="480" w:firstLineChars="2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eastAsia="zh-CN"/>
        </w:rPr>
        <w:t>参考《排放源统计调查产排污核算方法和系数手册》中的“42 废弃资源综合利用行业系数手册”—“4220 非金属废料和碎屑加工处理行业系数表”，采用干法破碎工艺时，颗粒物采用袋式除尘治理技术，末端治理技术平均效率可达到95%，袋式除尘器的</w:t>
      </w:r>
      <w:r>
        <w:rPr>
          <w:rFonts w:hint="default" w:ascii="Times New Roman" w:hAnsi="Times New Roman" w:eastAsia="宋体" w:cs="Times New Roman"/>
          <w:color w:val="auto"/>
          <w:sz w:val="24"/>
          <w:szCs w:val="20"/>
          <w:highlight w:val="none"/>
          <w:lang w:val="en-US" w:eastAsia="zh-CN"/>
        </w:rPr>
        <w:t>集尘</w:t>
      </w:r>
      <w:r>
        <w:rPr>
          <w:rFonts w:hint="default" w:ascii="Times New Roman" w:hAnsi="Times New Roman" w:eastAsia="宋体" w:cs="Times New Roman"/>
          <w:color w:val="auto"/>
          <w:sz w:val="24"/>
          <w:szCs w:val="20"/>
          <w:highlight w:val="none"/>
          <w:lang w:eastAsia="zh-CN"/>
        </w:rPr>
        <w:t>率取</w:t>
      </w:r>
      <w:r>
        <w:rPr>
          <w:rFonts w:hint="default" w:ascii="Times New Roman" w:hAnsi="Times New Roman" w:eastAsia="宋体" w:cs="Times New Roman"/>
          <w:color w:val="auto"/>
          <w:sz w:val="24"/>
          <w:szCs w:val="20"/>
          <w:highlight w:val="none"/>
          <w:lang w:val="en-US" w:eastAsia="zh-CN"/>
        </w:rPr>
        <w:t>8</w:t>
      </w:r>
      <w:r>
        <w:rPr>
          <w:rFonts w:hint="default" w:ascii="Times New Roman" w:hAnsi="Times New Roman" w:eastAsia="宋体" w:cs="Times New Roman"/>
          <w:color w:val="auto"/>
          <w:sz w:val="24"/>
          <w:szCs w:val="20"/>
          <w:highlight w:val="none"/>
          <w:lang w:eastAsia="zh-CN"/>
        </w:rPr>
        <w:t>5%，</w:t>
      </w:r>
      <w:r>
        <w:rPr>
          <w:rFonts w:hint="default" w:ascii="Times New Roman" w:hAnsi="Times New Roman" w:eastAsia="宋体" w:cs="Times New Roman"/>
          <w:color w:val="auto"/>
          <w:sz w:val="24"/>
          <w:szCs w:val="20"/>
          <w:highlight w:val="none"/>
          <w:lang w:val="en-US" w:eastAsia="zh-CN"/>
        </w:rPr>
        <w:t>则布袋除尘器</w:t>
      </w:r>
      <w:r>
        <w:rPr>
          <w:rFonts w:hint="default" w:ascii="Times New Roman" w:hAnsi="Times New Roman" w:eastAsia="宋体" w:cs="Times New Roman"/>
          <w:color w:val="auto"/>
          <w:sz w:val="24"/>
          <w:szCs w:val="20"/>
          <w:highlight w:val="none"/>
          <w:lang w:eastAsia="zh-CN"/>
        </w:rPr>
        <w:t>去除</w:t>
      </w:r>
      <w:r>
        <w:rPr>
          <w:rFonts w:hint="default" w:ascii="Times New Roman" w:hAnsi="Times New Roman" w:eastAsia="宋体" w:cs="Times New Roman"/>
          <w:color w:val="auto"/>
          <w:sz w:val="24"/>
          <w:szCs w:val="20"/>
          <w:highlight w:val="none"/>
          <w:lang w:val="en-US" w:eastAsia="zh-CN"/>
        </w:rPr>
        <w:t>量为</w:t>
      </w:r>
      <w:r>
        <w:rPr>
          <w:rFonts w:hint="eastAsia" w:ascii="Times New Roman" w:hAnsi="Times New Roman" w:eastAsia="宋体" w:cs="Times New Roman"/>
          <w:color w:val="auto"/>
          <w:sz w:val="24"/>
          <w:szCs w:val="20"/>
          <w:highlight w:val="none"/>
          <w:lang w:val="en-US" w:eastAsia="zh-CN"/>
        </w:rPr>
        <w:t>0.00097</w:t>
      </w:r>
      <w:r>
        <w:rPr>
          <w:rFonts w:hint="default" w:ascii="Times New Roman" w:hAnsi="Times New Roman" w:eastAsia="宋体" w:cs="Times New Roman"/>
          <w:color w:val="auto"/>
          <w:sz w:val="24"/>
          <w:szCs w:val="20"/>
          <w:highlight w:val="none"/>
          <w:lang w:eastAsia="zh-CN"/>
        </w:rPr>
        <w:t>t/a，</w:t>
      </w:r>
      <w:r>
        <w:rPr>
          <w:rFonts w:hint="default" w:ascii="Times New Roman" w:hAnsi="Times New Roman" w:eastAsia="宋体" w:cs="Times New Roman"/>
          <w:color w:val="auto"/>
          <w:sz w:val="24"/>
          <w:szCs w:val="20"/>
          <w:highlight w:val="none"/>
          <w:lang w:val="en-US" w:eastAsia="zh-CN"/>
        </w:rPr>
        <w:t>全部作为一般工业固体废物处置</w:t>
      </w:r>
      <w:r>
        <w:rPr>
          <w:rFonts w:hint="eastAsia" w:ascii="Times New Roman" w:hAnsi="Times New Roman" w:eastAsia="宋体" w:cs="Times New Roman"/>
          <w:color w:val="auto"/>
          <w:sz w:val="24"/>
          <w:szCs w:val="20"/>
          <w:highlight w:val="none"/>
          <w:lang w:val="en-US" w:eastAsia="zh-CN"/>
        </w:rPr>
        <w:t>。破碎颗粒物有组织排放量为0.00017t/a，排放速率0.0011kg/h，排放浓度0.09mg/m</w:t>
      </w:r>
      <w:r>
        <w:rPr>
          <w:rFonts w:hint="eastAsia" w:ascii="Times New Roman" w:hAnsi="Times New Roman" w:eastAsia="宋体" w:cs="Times New Roman"/>
          <w:color w:val="auto"/>
          <w:sz w:val="24"/>
          <w:szCs w:val="20"/>
          <w:highlight w:val="none"/>
          <w:vertAlign w:val="superscript"/>
          <w:lang w:val="en-US" w:eastAsia="zh-CN"/>
        </w:rPr>
        <w:t>3</w:t>
      </w:r>
      <w:r>
        <w:rPr>
          <w:rFonts w:hint="eastAsia" w:ascii="Times New Roman" w:hAnsi="Times New Roman" w:eastAsia="宋体" w:cs="Times New Roman"/>
          <w:color w:val="auto"/>
          <w:sz w:val="24"/>
          <w:szCs w:val="20"/>
          <w:highlight w:val="none"/>
          <w:lang w:val="en-US" w:eastAsia="zh-CN"/>
        </w:rPr>
        <w:t>。</w:t>
      </w:r>
    </w:p>
    <w:p>
      <w:pPr>
        <w:spacing w:line="360" w:lineRule="auto"/>
        <w:ind w:firstLine="480" w:firstLineChars="200"/>
        <w:rPr>
          <w:rFonts w:hint="eastAsia" w:eastAsia="宋体"/>
          <w:color w:val="auto"/>
          <w:sz w:val="24"/>
          <w:szCs w:val="20"/>
          <w:highlight w:val="none"/>
          <w:lang w:val="en-US" w:eastAsia="zh-CN"/>
        </w:rPr>
      </w:pPr>
      <w:r>
        <w:rPr>
          <w:rFonts w:hint="eastAsia"/>
          <w:color w:val="auto"/>
          <w:sz w:val="24"/>
          <w:szCs w:val="20"/>
          <w:highlight w:val="none"/>
        </w:rPr>
        <w:t>③</w:t>
      </w:r>
      <w:r>
        <w:rPr>
          <w:rFonts w:hint="eastAsia"/>
          <w:color w:val="auto"/>
          <w:sz w:val="24"/>
          <w:szCs w:val="20"/>
          <w:highlight w:val="none"/>
          <w:lang w:val="en-US" w:eastAsia="zh-CN"/>
        </w:rPr>
        <w:t>臭气</w:t>
      </w:r>
    </w:p>
    <w:p>
      <w:pPr>
        <w:spacing w:line="360" w:lineRule="auto"/>
        <w:ind w:firstLine="480" w:firstLineChars="200"/>
        <w:rPr>
          <w:rFonts w:hint="eastAsia"/>
          <w:color w:val="auto"/>
          <w:sz w:val="24"/>
          <w:szCs w:val="20"/>
          <w:highlight w:val="none"/>
          <w:lang w:val="en-US" w:eastAsia="zh-CN"/>
        </w:rPr>
      </w:pPr>
      <w:r>
        <w:rPr>
          <w:rFonts w:hint="eastAsia"/>
          <w:color w:val="auto"/>
          <w:sz w:val="24"/>
          <w:szCs w:val="20"/>
          <w:highlight w:val="none"/>
        </w:rPr>
        <w:t>项目</w:t>
      </w:r>
      <w:r>
        <w:rPr>
          <w:rFonts w:hint="eastAsia"/>
          <w:color w:val="auto"/>
          <w:sz w:val="24"/>
          <w:szCs w:val="20"/>
          <w:highlight w:val="none"/>
          <w:lang w:val="en-US" w:eastAsia="zh-CN"/>
        </w:rPr>
        <w:t>塑料框注塑产生的有机废气成分比较复杂，在排放过程中会同时产生令人不愉快的异味，项目热熔注塑工序中大部分有机废气经集气罩收集后，废气最终通过“三级活性炭吸附装置”集中处理后高空排放，其余少量有机废气呈无组织逸散；从而产生少量异味。</w:t>
      </w:r>
    </w:p>
    <w:p>
      <w:pPr>
        <w:spacing w:line="360" w:lineRule="auto"/>
        <w:ind w:firstLine="480" w:firstLineChars="200"/>
        <w:rPr>
          <w:color w:val="auto"/>
          <w:sz w:val="24"/>
          <w:szCs w:val="20"/>
          <w:highlight w:val="none"/>
        </w:rPr>
      </w:pPr>
      <w:r>
        <w:rPr>
          <w:rFonts w:hint="eastAsia"/>
          <w:color w:val="auto"/>
          <w:sz w:val="24"/>
          <w:szCs w:val="20"/>
          <w:highlight w:val="none"/>
          <w:lang w:val="en-US" w:eastAsia="zh-CN"/>
        </w:rPr>
        <w:t>本项目臭气浓度类比湖南精科检测有限公司</w:t>
      </w:r>
      <w:r>
        <w:rPr>
          <w:rFonts w:hint="eastAsia"/>
          <w:color w:val="auto"/>
          <w:sz w:val="24"/>
          <w:szCs w:val="20"/>
          <w:highlight w:val="none"/>
        </w:rPr>
        <w:t>202</w:t>
      </w:r>
      <w:r>
        <w:rPr>
          <w:rFonts w:hint="eastAsia"/>
          <w:color w:val="auto"/>
          <w:sz w:val="24"/>
          <w:szCs w:val="20"/>
          <w:highlight w:val="none"/>
          <w:lang w:val="en-US" w:eastAsia="zh-CN"/>
        </w:rPr>
        <w:t>0</w:t>
      </w:r>
      <w:r>
        <w:rPr>
          <w:rFonts w:hint="eastAsia"/>
          <w:color w:val="auto"/>
          <w:sz w:val="24"/>
          <w:szCs w:val="20"/>
          <w:highlight w:val="none"/>
        </w:rPr>
        <w:t>年</w:t>
      </w:r>
      <w:r>
        <w:rPr>
          <w:rFonts w:hint="eastAsia"/>
          <w:color w:val="auto"/>
          <w:sz w:val="24"/>
          <w:szCs w:val="20"/>
          <w:highlight w:val="none"/>
          <w:lang w:val="en-US" w:eastAsia="zh-CN"/>
        </w:rPr>
        <w:t>6</w:t>
      </w:r>
      <w:r>
        <w:rPr>
          <w:rFonts w:hint="eastAsia"/>
          <w:color w:val="auto"/>
          <w:sz w:val="24"/>
          <w:szCs w:val="20"/>
          <w:highlight w:val="none"/>
        </w:rPr>
        <w:t>月</w:t>
      </w:r>
      <w:r>
        <w:rPr>
          <w:rFonts w:hint="eastAsia"/>
          <w:color w:val="auto"/>
          <w:sz w:val="24"/>
          <w:szCs w:val="20"/>
          <w:highlight w:val="none"/>
          <w:lang w:val="en-US" w:eastAsia="zh-CN"/>
        </w:rPr>
        <w:t>19</w:t>
      </w:r>
      <w:r>
        <w:rPr>
          <w:rFonts w:hint="eastAsia"/>
          <w:color w:val="auto"/>
          <w:sz w:val="24"/>
          <w:szCs w:val="20"/>
          <w:highlight w:val="none"/>
        </w:rPr>
        <w:t>日至</w:t>
      </w:r>
      <w:r>
        <w:rPr>
          <w:rFonts w:hint="eastAsia"/>
          <w:color w:val="auto"/>
          <w:sz w:val="24"/>
          <w:szCs w:val="20"/>
          <w:highlight w:val="none"/>
          <w:lang w:val="en-US" w:eastAsia="zh-CN"/>
        </w:rPr>
        <w:t>6</w:t>
      </w:r>
      <w:r>
        <w:rPr>
          <w:rFonts w:hint="eastAsia"/>
          <w:color w:val="auto"/>
          <w:sz w:val="24"/>
          <w:szCs w:val="20"/>
          <w:highlight w:val="none"/>
        </w:rPr>
        <w:t>月</w:t>
      </w:r>
      <w:r>
        <w:rPr>
          <w:rFonts w:hint="eastAsia"/>
          <w:color w:val="auto"/>
          <w:sz w:val="24"/>
          <w:szCs w:val="20"/>
          <w:highlight w:val="none"/>
          <w:lang w:val="en-US" w:eastAsia="zh-CN"/>
        </w:rPr>
        <w:t>20</w:t>
      </w:r>
      <w:r>
        <w:rPr>
          <w:rFonts w:hint="eastAsia"/>
          <w:color w:val="auto"/>
          <w:sz w:val="24"/>
          <w:szCs w:val="20"/>
          <w:highlight w:val="none"/>
        </w:rPr>
        <w:t>日对</w:t>
      </w:r>
      <w:r>
        <w:rPr>
          <w:rFonts w:hint="eastAsia"/>
          <w:color w:val="auto"/>
          <w:sz w:val="24"/>
          <w:szCs w:val="20"/>
          <w:highlight w:val="none"/>
          <w:lang w:val="en-US" w:eastAsia="zh-CN"/>
        </w:rPr>
        <w:t>石门县田氏达盛果业有限公司</w:t>
      </w:r>
      <w:r>
        <w:rPr>
          <w:rFonts w:hint="eastAsia"/>
          <w:color w:val="auto"/>
          <w:sz w:val="24"/>
          <w:szCs w:val="20"/>
          <w:highlight w:val="none"/>
        </w:rPr>
        <w:t>《</w:t>
      </w:r>
      <w:r>
        <w:rPr>
          <w:rFonts w:hint="eastAsia"/>
          <w:color w:val="auto"/>
          <w:sz w:val="24"/>
          <w:szCs w:val="20"/>
          <w:highlight w:val="none"/>
          <w:lang w:val="en-US" w:eastAsia="zh-CN"/>
        </w:rPr>
        <w:t>柑橘打蜡及塑料筐生产建设项</w:t>
      </w:r>
      <w:r>
        <w:rPr>
          <w:rFonts w:hint="eastAsia"/>
          <w:color w:val="auto"/>
          <w:sz w:val="24"/>
          <w:szCs w:val="20"/>
          <w:highlight w:val="none"/>
        </w:rPr>
        <w:t>目检测报告》（</w:t>
      </w:r>
      <w:r>
        <w:rPr>
          <w:rFonts w:hint="eastAsia"/>
          <w:color w:val="auto"/>
          <w:sz w:val="24"/>
          <w:szCs w:val="20"/>
          <w:highlight w:val="none"/>
          <w:lang w:val="en-US" w:eastAsia="zh-CN"/>
        </w:rPr>
        <w:t>精科检测JK2006902</w:t>
      </w:r>
      <w:r>
        <w:rPr>
          <w:rFonts w:hint="eastAsia"/>
          <w:color w:val="auto"/>
          <w:sz w:val="24"/>
          <w:szCs w:val="20"/>
          <w:highlight w:val="none"/>
        </w:rPr>
        <w:t>），该验收报告已通过验收。根据</w:t>
      </w:r>
      <w:r>
        <w:rPr>
          <w:rFonts w:hint="eastAsia"/>
          <w:color w:val="auto"/>
          <w:sz w:val="24"/>
          <w:szCs w:val="20"/>
          <w:highlight w:val="none"/>
          <w:lang w:val="en-US" w:eastAsia="zh-CN"/>
        </w:rPr>
        <w:t>湖南精科检测有限公司</w:t>
      </w:r>
      <w:r>
        <w:rPr>
          <w:rFonts w:hint="eastAsia"/>
          <w:color w:val="auto"/>
          <w:sz w:val="24"/>
          <w:szCs w:val="20"/>
          <w:highlight w:val="none"/>
        </w:rPr>
        <w:t>编制的《</w:t>
      </w:r>
      <w:r>
        <w:rPr>
          <w:rFonts w:hint="eastAsia"/>
          <w:color w:val="auto"/>
          <w:sz w:val="24"/>
          <w:szCs w:val="20"/>
          <w:highlight w:val="none"/>
          <w:lang w:val="en-US" w:eastAsia="zh-CN"/>
        </w:rPr>
        <w:t>柑橘打蜡及塑料筐生产建设项目</w:t>
      </w:r>
      <w:r>
        <w:rPr>
          <w:rFonts w:hint="eastAsia"/>
          <w:color w:val="auto"/>
          <w:sz w:val="24"/>
          <w:szCs w:val="20"/>
          <w:highlight w:val="none"/>
        </w:rPr>
        <w:t>竣工环境保护验收监测报告》</w:t>
      </w:r>
      <w:r>
        <w:rPr>
          <w:rFonts w:hint="eastAsia"/>
          <w:color w:val="auto"/>
          <w:sz w:val="24"/>
          <w:szCs w:val="20"/>
          <w:highlight w:val="none"/>
          <w:lang w:eastAsia="zh-CN"/>
        </w:rPr>
        <w:t>（</w:t>
      </w:r>
      <w:r>
        <w:rPr>
          <w:rFonts w:hint="eastAsia"/>
          <w:color w:val="auto"/>
          <w:sz w:val="24"/>
          <w:szCs w:val="20"/>
          <w:highlight w:val="none"/>
          <w:lang w:val="en-US" w:eastAsia="zh-CN"/>
        </w:rPr>
        <w:t>精检竣监[2020]051号</w:t>
      </w:r>
      <w:r>
        <w:rPr>
          <w:rFonts w:hint="eastAsia"/>
          <w:color w:val="auto"/>
          <w:sz w:val="24"/>
          <w:szCs w:val="20"/>
          <w:highlight w:val="none"/>
          <w:lang w:eastAsia="zh-CN"/>
        </w:rPr>
        <w:t>）</w:t>
      </w:r>
      <w:r>
        <w:rPr>
          <w:rFonts w:hint="eastAsia"/>
          <w:color w:val="auto"/>
          <w:sz w:val="24"/>
          <w:szCs w:val="20"/>
          <w:highlight w:val="none"/>
        </w:rPr>
        <w:t>显示，该项目采用</w:t>
      </w:r>
      <w:r>
        <w:rPr>
          <w:rFonts w:hint="eastAsia"/>
          <w:color w:val="auto"/>
          <w:sz w:val="24"/>
          <w:szCs w:val="20"/>
          <w:highlight w:val="none"/>
          <w:lang w:val="en-US" w:eastAsia="zh-CN"/>
        </w:rPr>
        <w:t>聚丙烯、填充母料、无机颜料</w:t>
      </w:r>
      <w:r>
        <w:rPr>
          <w:rFonts w:hint="eastAsia"/>
          <w:color w:val="auto"/>
          <w:sz w:val="24"/>
          <w:szCs w:val="20"/>
          <w:highlight w:val="none"/>
        </w:rPr>
        <w:t>等原材料生产</w:t>
      </w:r>
      <w:r>
        <w:rPr>
          <w:rFonts w:hint="eastAsia"/>
          <w:color w:val="auto"/>
          <w:sz w:val="24"/>
          <w:szCs w:val="20"/>
          <w:highlight w:val="none"/>
          <w:lang w:val="en-US" w:eastAsia="zh-CN"/>
        </w:rPr>
        <w:t>一次性塑料筐</w:t>
      </w:r>
      <w:r>
        <w:rPr>
          <w:rFonts w:hint="eastAsia"/>
          <w:color w:val="auto"/>
          <w:sz w:val="24"/>
          <w:szCs w:val="20"/>
          <w:highlight w:val="none"/>
        </w:rPr>
        <w:t>，</w:t>
      </w:r>
      <w:r>
        <w:rPr>
          <w:rFonts w:hint="eastAsia"/>
          <w:color w:val="auto"/>
          <w:sz w:val="24"/>
          <w:szCs w:val="20"/>
          <w:highlight w:val="none"/>
          <w:lang w:val="en-US" w:eastAsia="zh-CN"/>
        </w:rPr>
        <w:t>年产塑料筐100万只，塑料筐生产线投料至注塑机熔融挤出成型产生的有机废气</w:t>
      </w:r>
      <w:r>
        <w:rPr>
          <w:rFonts w:hint="eastAsia"/>
          <w:color w:val="auto"/>
          <w:sz w:val="24"/>
          <w:szCs w:val="20"/>
          <w:highlight w:val="none"/>
        </w:rPr>
        <w:t>通过集气罩收集后经UV</w:t>
      </w:r>
      <w:r>
        <w:rPr>
          <w:rFonts w:hint="eastAsia"/>
          <w:color w:val="auto"/>
          <w:sz w:val="24"/>
          <w:szCs w:val="20"/>
          <w:highlight w:val="none"/>
          <w:lang w:val="en-US" w:eastAsia="zh-CN"/>
        </w:rPr>
        <w:t>光解</w:t>
      </w:r>
      <w:r>
        <w:rPr>
          <w:rFonts w:hint="eastAsia"/>
          <w:color w:val="auto"/>
          <w:sz w:val="24"/>
          <w:szCs w:val="20"/>
          <w:highlight w:val="none"/>
        </w:rPr>
        <w:t>+活性炭吸附处理后，通过1根1</w:t>
      </w:r>
      <w:r>
        <w:rPr>
          <w:rFonts w:hint="eastAsia"/>
          <w:color w:val="auto"/>
          <w:sz w:val="24"/>
          <w:szCs w:val="20"/>
          <w:highlight w:val="none"/>
          <w:lang w:val="en-US" w:eastAsia="zh-CN"/>
        </w:rPr>
        <w:t>2</w:t>
      </w:r>
      <w:r>
        <w:rPr>
          <w:rFonts w:hint="eastAsia"/>
          <w:color w:val="auto"/>
          <w:sz w:val="24"/>
          <w:szCs w:val="20"/>
          <w:highlight w:val="none"/>
        </w:rPr>
        <w:t>m高排气筒排放，该项目采用的原辅料、生产工艺与本项目类似，且该项目所采用的废气处理工艺与本项目基本一致，具有可类比性。有组织臭气浓度监测数据见下表。</w:t>
      </w:r>
    </w:p>
    <w:p>
      <w:pPr>
        <w:spacing w:line="360" w:lineRule="auto"/>
        <w:jc w:val="center"/>
        <w:rPr>
          <w:color w:val="auto"/>
          <w:highlight w:val="none"/>
        </w:rPr>
      </w:pPr>
      <w:r>
        <w:rPr>
          <w:rFonts w:hint="eastAsia"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lang w:val="en-US" w:eastAsia="zh-CN"/>
        </w:rPr>
        <w:t>3.5-1</w:t>
      </w:r>
      <w:r>
        <w:rPr>
          <w:rFonts w:hint="eastAsia" w:ascii="Times New Roman" w:hAnsi="Times New Roman" w:eastAsia="宋体" w:cs="Times New Roman"/>
          <w:b/>
          <w:color w:val="auto"/>
          <w:sz w:val="24"/>
          <w:highlight w:val="none"/>
        </w:rPr>
        <w:t xml:space="preserve">  有组织臭气浓度监测值</w:t>
      </w:r>
    </w:p>
    <w:tbl>
      <w:tblPr>
        <w:tblStyle w:val="56"/>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1216"/>
        <w:gridCol w:w="1095"/>
        <w:gridCol w:w="915"/>
        <w:gridCol w:w="810"/>
        <w:gridCol w:w="750"/>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vMerge w:val="restart"/>
          </w:tcPr>
          <w:p>
            <w:pPr>
              <w:jc w:val="center"/>
              <w:rPr>
                <w:color w:val="auto"/>
                <w:szCs w:val="21"/>
                <w:highlight w:val="none"/>
              </w:rPr>
            </w:pPr>
            <w:r>
              <w:rPr>
                <w:rFonts w:hint="eastAsia"/>
                <w:color w:val="auto"/>
                <w:szCs w:val="21"/>
                <w:highlight w:val="none"/>
              </w:rPr>
              <w:t>检测点位</w:t>
            </w:r>
          </w:p>
        </w:tc>
        <w:tc>
          <w:tcPr>
            <w:tcW w:w="1216" w:type="dxa"/>
            <w:vMerge w:val="restart"/>
          </w:tcPr>
          <w:p>
            <w:pPr>
              <w:jc w:val="center"/>
              <w:rPr>
                <w:color w:val="auto"/>
                <w:szCs w:val="21"/>
                <w:highlight w:val="none"/>
              </w:rPr>
            </w:pPr>
            <w:r>
              <w:rPr>
                <w:rFonts w:hint="eastAsia"/>
                <w:color w:val="auto"/>
                <w:szCs w:val="21"/>
                <w:highlight w:val="none"/>
              </w:rPr>
              <w:t>检测时间</w:t>
            </w:r>
          </w:p>
        </w:tc>
        <w:tc>
          <w:tcPr>
            <w:tcW w:w="1095" w:type="dxa"/>
            <w:vMerge w:val="restart"/>
          </w:tcPr>
          <w:p>
            <w:pPr>
              <w:jc w:val="center"/>
              <w:rPr>
                <w:color w:val="auto"/>
                <w:szCs w:val="21"/>
                <w:highlight w:val="none"/>
              </w:rPr>
            </w:pPr>
            <w:r>
              <w:rPr>
                <w:rFonts w:hint="eastAsia"/>
                <w:color w:val="auto"/>
                <w:szCs w:val="21"/>
                <w:highlight w:val="none"/>
              </w:rPr>
              <w:t>检测项目</w:t>
            </w:r>
          </w:p>
        </w:tc>
        <w:tc>
          <w:tcPr>
            <w:tcW w:w="915" w:type="dxa"/>
            <w:vMerge w:val="restart"/>
          </w:tcPr>
          <w:p>
            <w:pPr>
              <w:jc w:val="center"/>
              <w:rPr>
                <w:color w:val="auto"/>
                <w:szCs w:val="21"/>
                <w:highlight w:val="none"/>
              </w:rPr>
            </w:pPr>
            <w:r>
              <w:rPr>
                <w:rFonts w:hint="eastAsia"/>
                <w:color w:val="auto"/>
                <w:szCs w:val="21"/>
                <w:highlight w:val="none"/>
              </w:rPr>
              <w:t>单位</w:t>
            </w:r>
          </w:p>
        </w:tc>
        <w:tc>
          <w:tcPr>
            <w:tcW w:w="2224" w:type="dxa"/>
            <w:gridSpan w:val="3"/>
          </w:tcPr>
          <w:p>
            <w:pPr>
              <w:jc w:val="center"/>
              <w:rPr>
                <w:color w:val="auto"/>
                <w:szCs w:val="21"/>
                <w:highlight w:val="none"/>
              </w:rPr>
            </w:pPr>
            <w:r>
              <w:rPr>
                <w:rFonts w:hint="eastAsia"/>
                <w:color w:val="auto"/>
                <w:szCs w:val="21"/>
                <w:highlight w:val="none"/>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vMerge w:val="continue"/>
          </w:tcPr>
          <w:p>
            <w:pPr>
              <w:jc w:val="center"/>
              <w:rPr>
                <w:color w:val="auto"/>
                <w:szCs w:val="21"/>
                <w:highlight w:val="none"/>
              </w:rPr>
            </w:pPr>
          </w:p>
        </w:tc>
        <w:tc>
          <w:tcPr>
            <w:tcW w:w="1216" w:type="dxa"/>
            <w:vMerge w:val="continue"/>
          </w:tcPr>
          <w:p>
            <w:pPr>
              <w:jc w:val="center"/>
              <w:rPr>
                <w:color w:val="auto"/>
                <w:szCs w:val="21"/>
                <w:highlight w:val="none"/>
              </w:rPr>
            </w:pPr>
          </w:p>
        </w:tc>
        <w:tc>
          <w:tcPr>
            <w:tcW w:w="1095" w:type="dxa"/>
            <w:vMerge w:val="continue"/>
          </w:tcPr>
          <w:p>
            <w:pPr>
              <w:jc w:val="center"/>
              <w:rPr>
                <w:color w:val="auto"/>
                <w:szCs w:val="21"/>
                <w:highlight w:val="none"/>
              </w:rPr>
            </w:pPr>
          </w:p>
        </w:tc>
        <w:tc>
          <w:tcPr>
            <w:tcW w:w="915" w:type="dxa"/>
            <w:vMerge w:val="continue"/>
          </w:tcPr>
          <w:p>
            <w:pPr>
              <w:jc w:val="center"/>
              <w:rPr>
                <w:color w:val="auto"/>
                <w:szCs w:val="21"/>
                <w:highlight w:val="none"/>
              </w:rPr>
            </w:pPr>
          </w:p>
        </w:tc>
        <w:tc>
          <w:tcPr>
            <w:tcW w:w="810" w:type="dxa"/>
          </w:tcPr>
          <w:p>
            <w:pPr>
              <w:jc w:val="center"/>
              <w:rPr>
                <w:color w:val="auto"/>
                <w:szCs w:val="21"/>
                <w:highlight w:val="none"/>
              </w:rPr>
            </w:pPr>
            <w:r>
              <w:rPr>
                <w:rFonts w:hint="eastAsia"/>
                <w:color w:val="auto"/>
                <w:szCs w:val="21"/>
                <w:highlight w:val="none"/>
              </w:rPr>
              <w:t>1</w:t>
            </w:r>
          </w:p>
        </w:tc>
        <w:tc>
          <w:tcPr>
            <w:tcW w:w="750" w:type="dxa"/>
          </w:tcPr>
          <w:p>
            <w:pPr>
              <w:jc w:val="center"/>
              <w:rPr>
                <w:color w:val="auto"/>
                <w:szCs w:val="21"/>
                <w:highlight w:val="none"/>
              </w:rPr>
            </w:pPr>
            <w:r>
              <w:rPr>
                <w:rFonts w:hint="eastAsia"/>
                <w:color w:val="auto"/>
                <w:szCs w:val="21"/>
                <w:highlight w:val="none"/>
              </w:rPr>
              <w:t>2</w:t>
            </w:r>
          </w:p>
        </w:tc>
        <w:tc>
          <w:tcPr>
            <w:tcW w:w="664" w:type="dxa"/>
          </w:tcPr>
          <w:p>
            <w:pPr>
              <w:jc w:val="center"/>
              <w:rPr>
                <w:color w:val="auto"/>
                <w:szCs w:val="21"/>
                <w:highlight w:val="none"/>
              </w:rPr>
            </w:pPr>
            <w:r>
              <w:rPr>
                <w:rFonts w:hint="eastAsia"/>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vMerge w:val="restart"/>
          </w:tcPr>
          <w:p>
            <w:pPr>
              <w:jc w:val="center"/>
              <w:rPr>
                <w:color w:val="auto"/>
                <w:szCs w:val="21"/>
                <w:highlight w:val="none"/>
              </w:rPr>
            </w:pPr>
            <w:r>
              <w:rPr>
                <w:rFonts w:hint="eastAsia"/>
                <w:color w:val="auto"/>
                <w:szCs w:val="21"/>
                <w:highlight w:val="none"/>
                <w:lang w:val="en-US" w:eastAsia="zh-CN"/>
              </w:rPr>
              <w:t>塑料筐生产线熔融挤出</w:t>
            </w:r>
            <w:r>
              <w:rPr>
                <w:rFonts w:hint="eastAsia"/>
                <w:color w:val="auto"/>
                <w:szCs w:val="21"/>
                <w:highlight w:val="none"/>
              </w:rPr>
              <w:t>“</w:t>
            </w:r>
            <w:r>
              <w:rPr>
                <w:rFonts w:hint="eastAsia"/>
                <w:color w:val="auto"/>
                <w:szCs w:val="21"/>
                <w:highlight w:val="none"/>
                <w:lang w:val="en-US" w:eastAsia="zh-CN"/>
              </w:rPr>
              <w:t>UV光解+活性炭吸附</w:t>
            </w:r>
            <w:r>
              <w:rPr>
                <w:rFonts w:hint="eastAsia"/>
                <w:color w:val="auto"/>
                <w:szCs w:val="21"/>
                <w:highlight w:val="none"/>
              </w:rPr>
              <w:t>”</w:t>
            </w:r>
            <w:r>
              <w:rPr>
                <w:rFonts w:hint="eastAsia"/>
                <w:color w:val="auto"/>
                <w:szCs w:val="21"/>
                <w:highlight w:val="none"/>
                <w:lang w:val="en-US" w:eastAsia="zh-CN"/>
              </w:rPr>
              <w:t>排气筒P2</w:t>
            </w:r>
            <w:r>
              <w:rPr>
                <w:rFonts w:hint="eastAsia"/>
                <w:color w:val="auto"/>
                <w:szCs w:val="21"/>
                <w:highlight w:val="none"/>
              </w:rPr>
              <w:t>进口（</w:t>
            </w:r>
            <w:r>
              <w:rPr>
                <w:rFonts w:hint="eastAsia"/>
                <w:color w:val="auto"/>
                <w:szCs w:val="21"/>
                <w:highlight w:val="none"/>
                <w:lang w:val="en-US" w:eastAsia="zh-CN"/>
              </w:rPr>
              <w:t>A1</w:t>
            </w:r>
            <w:r>
              <w:rPr>
                <w:rFonts w:hint="eastAsia"/>
                <w:color w:val="auto"/>
                <w:szCs w:val="21"/>
                <w:highlight w:val="none"/>
              </w:rPr>
              <w:t>）</w:t>
            </w:r>
          </w:p>
        </w:tc>
        <w:tc>
          <w:tcPr>
            <w:tcW w:w="1216"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2020.06.19</w:t>
            </w:r>
          </w:p>
        </w:tc>
        <w:tc>
          <w:tcPr>
            <w:tcW w:w="1095" w:type="dxa"/>
            <w:vMerge w:val="restart"/>
          </w:tcPr>
          <w:p>
            <w:pPr>
              <w:jc w:val="center"/>
              <w:rPr>
                <w:color w:val="auto"/>
                <w:szCs w:val="21"/>
                <w:highlight w:val="none"/>
              </w:rPr>
            </w:pPr>
            <w:r>
              <w:rPr>
                <w:rFonts w:hint="eastAsia"/>
                <w:color w:val="auto"/>
                <w:szCs w:val="21"/>
                <w:highlight w:val="none"/>
              </w:rPr>
              <w:t>臭气浓度</w:t>
            </w:r>
          </w:p>
        </w:tc>
        <w:tc>
          <w:tcPr>
            <w:tcW w:w="915" w:type="dxa"/>
            <w:vMerge w:val="restart"/>
          </w:tcPr>
          <w:p>
            <w:pPr>
              <w:jc w:val="center"/>
              <w:rPr>
                <w:color w:val="auto"/>
                <w:szCs w:val="21"/>
                <w:highlight w:val="none"/>
              </w:rPr>
            </w:pPr>
            <w:r>
              <w:rPr>
                <w:rFonts w:hint="eastAsia"/>
                <w:color w:val="auto"/>
                <w:szCs w:val="21"/>
                <w:highlight w:val="none"/>
              </w:rPr>
              <w:t>无量纲</w:t>
            </w:r>
          </w:p>
        </w:tc>
        <w:tc>
          <w:tcPr>
            <w:tcW w:w="81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2317</w:t>
            </w:r>
          </w:p>
        </w:tc>
        <w:tc>
          <w:tcPr>
            <w:tcW w:w="75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2317</w:t>
            </w:r>
          </w:p>
        </w:tc>
        <w:tc>
          <w:tcPr>
            <w:tcW w:w="664"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1738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vMerge w:val="continue"/>
          </w:tcPr>
          <w:p>
            <w:pPr>
              <w:jc w:val="center"/>
              <w:rPr>
                <w:color w:val="auto"/>
                <w:szCs w:val="21"/>
                <w:highlight w:val="none"/>
              </w:rPr>
            </w:pPr>
          </w:p>
        </w:tc>
        <w:tc>
          <w:tcPr>
            <w:tcW w:w="1216"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2020.06.20</w:t>
            </w:r>
          </w:p>
        </w:tc>
        <w:tc>
          <w:tcPr>
            <w:tcW w:w="1095" w:type="dxa"/>
            <w:vMerge w:val="continue"/>
          </w:tcPr>
          <w:p>
            <w:pPr>
              <w:jc w:val="center"/>
              <w:rPr>
                <w:color w:val="auto"/>
                <w:szCs w:val="21"/>
                <w:highlight w:val="none"/>
              </w:rPr>
            </w:pPr>
          </w:p>
        </w:tc>
        <w:tc>
          <w:tcPr>
            <w:tcW w:w="915" w:type="dxa"/>
            <w:vMerge w:val="continue"/>
          </w:tcPr>
          <w:p>
            <w:pPr>
              <w:jc w:val="center"/>
              <w:rPr>
                <w:color w:val="auto"/>
                <w:szCs w:val="21"/>
                <w:highlight w:val="none"/>
              </w:rPr>
            </w:pPr>
          </w:p>
        </w:tc>
        <w:tc>
          <w:tcPr>
            <w:tcW w:w="81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3090</w:t>
            </w:r>
          </w:p>
        </w:tc>
        <w:tc>
          <w:tcPr>
            <w:tcW w:w="75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2317</w:t>
            </w:r>
          </w:p>
        </w:tc>
        <w:tc>
          <w:tcPr>
            <w:tcW w:w="664"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2620" w:type="dxa"/>
            <w:vMerge w:val="restart"/>
          </w:tcPr>
          <w:p>
            <w:pPr>
              <w:jc w:val="center"/>
              <w:rPr>
                <w:color w:val="auto"/>
                <w:szCs w:val="21"/>
                <w:highlight w:val="none"/>
              </w:rPr>
            </w:pPr>
            <w:r>
              <w:rPr>
                <w:rFonts w:hint="eastAsia"/>
                <w:color w:val="auto"/>
                <w:szCs w:val="21"/>
                <w:highlight w:val="none"/>
                <w:lang w:val="en-US" w:eastAsia="zh-CN"/>
              </w:rPr>
              <w:t>塑料筐生产线熔融挤出</w:t>
            </w:r>
            <w:r>
              <w:rPr>
                <w:rFonts w:hint="eastAsia"/>
                <w:color w:val="auto"/>
                <w:szCs w:val="21"/>
                <w:highlight w:val="none"/>
              </w:rPr>
              <w:t>“</w:t>
            </w:r>
            <w:r>
              <w:rPr>
                <w:rFonts w:hint="eastAsia"/>
                <w:color w:val="auto"/>
                <w:szCs w:val="21"/>
                <w:highlight w:val="none"/>
                <w:lang w:val="en-US" w:eastAsia="zh-CN"/>
              </w:rPr>
              <w:t>UV光解+活性炭吸附</w:t>
            </w:r>
            <w:r>
              <w:rPr>
                <w:rFonts w:hint="eastAsia"/>
                <w:color w:val="auto"/>
                <w:szCs w:val="21"/>
                <w:highlight w:val="none"/>
              </w:rPr>
              <w:t>”</w:t>
            </w:r>
            <w:r>
              <w:rPr>
                <w:rFonts w:hint="eastAsia"/>
                <w:color w:val="auto"/>
                <w:szCs w:val="21"/>
                <w:highlight w:val="none"/>
                <w:lang w:val="en-US" w:eastAsia="zh-CN"/>
              </w:rPr>
              <w:t>排气筒P2出口</w:t>
            </w:r>
            <w:r>
              <w:rPr>
                <w:rFonts w:hint="eastAsia"/>
                <w:color w:val="auto"/>
                <w:szCs w:val="21"/>
                <w:highlight w:val="none"/>
              </w:rPr>
              <w:t>（</w:t>
            </w:r>
            <w:r>
              <w:rPr>
                <w:rFonts w:hint="eastAsia"/>
                <w:color w:val="auto"/>
                <w:szCs w:val="21"/>
                <w:highlight w:val="none"/>
                <w:lang w:val="en-US" w:eastAsia="zh-CN"/>
              </w:rPr>
              <w:t>A2</w:t>
            </w:r>
            <w:r>
              <w:rPr>
                <w:rFonts w:hint="eastAsia"/>
                <w:color w:val="auto"/>
                <w:szCs w:val="21"/>
                <w:highlight w:val="none"/>
              </w:rPr>
              <w:t>）</w:t>
            </w:r>
          </w:p>
        </w:tc>
        <w:tc>
          <w:tcPr>
            <w:tcW w:w="1216"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2020.06.19</w:t>
            </w:r>
          </w:p>
        </w:tc>
        <w:tc>
          <w:tcPr>
            <w:tcW w:w="1095" w:type="dxa"/>
            <w:vMerge w:val="continue"/>
          </w:tcPr>
          <w:p>
            <w:pPr>
              <w:jc w:val="center"/>
              <w:rPr>
                <w:color w:val="auto"/>
                <w:szCs w:val="21"/>
                <w:highlight w:val="none"/>
              </w:rPr>
            </w:pPr>
          </w:p>
        </w:tc>
        <w:tc>
          <w:tcPr>
            <w:tcW w:w="915" w:type="dxa"/>
            <w:vMerge w:val="continue"/>
          </w:tcPr>
          <w:p>
            <w:pPr>
              <w:jc w:val="center"/>
              <w:rPr>
                <w:color w:val="auto"/>
                <w:szCs w:val="21"/>
                <w:highlight w:val="none"/>
              </w:rPr>
            </w:pPr>
          </w:p>
        </w:tc>
        <w:tc>
          <w:tcPr>
            <w:tcW w:w="81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977</w:t>
            </w:r>
          </w:p>
        </w:tc>
        <w:tc>
          <w:tcPr>
            <w:tcW w:w="75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977</w:t>
            </w:r>
          </w:p>
        </w:tc>
        <w:tc>
          <w:tcPr>
            <w:tcW w:w="664"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20" w:type="dxa"/>
            <w:vMerge w:val="continue"/>
          </w:tcPr>
          <w:p>
            <w:pPr>
              <w:jc w:val="center"/>
              <w:rPr>
                <w:color w:val="auto"/>
                <w:szCs w:val="21"/>
                <w:highlight w:val="none"/>
              </w:rPr>
            </w:pPr>
          </w:p>
        </w:tc>
        <w:tc>
          <w:tcPr>
            <w:tcW w:w="1216"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2020.06.20</w:t>
            </w:r>
          </w:p>
        </w:tc>
        <w:tc>
          <w:tcPr>
            <w:tcW w:w="1095" w:type="dxa"/>
            <w:vMerge w:val="continue"/>
          </w:tcPr>
          <w:p>
            <w:pPr>
              <w:jc w:val="center"/>
              <w:rPr>
                <w:color w:val="auto"/>
                <w:szCs w:val="21"/>
                <w:highlight w:val="none"/>
              </w:rPr>
            </w:pPr>
          </w:p>
        </w:tc>
        <w:tc>
          <w:tcPr>
            <w:tcW w:w="915" w:type="dxa"/>
            <w:vMerge w:val="continue"/>
          </w:tcPr>
          <w:p>
            <w:pPr>
              <w:jc w:val="center"/>
              <w:rPr>
                <w:color w:val="auto"/>
                <w:szCs w:val="21"/>
                <w:highlight w:val="none"/>
              </w:rPr>
            </w:pPr>
          </w:p>
        </w:tc>
        <w:tc>
          <w:tcPr>
            <w:tcW w:w="81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1303</w:t>
            </w:r>
          </w:p>
        </w:tc>
        <w:tc>
          <w:tcPr>
            <w:tcW w:w="750"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977</w:t>
            </w:r>
          </w:p>
        </w:tc>
        <w:tc>
          <w:tcPr>
            <w:tcW w:w="664" w:type="dxa"/>
          </w:tcPr>
          <w:p>
            <w:pPr>
              <w:jc w:val="center"/>
              <w:rPr>
                <w:rFonts w:hint="default" w:eastAsia="宋体"/>
                <w:color w:val="auto"/>
                <w:szCs w:val="21"/>
                <w:highlight w:val="none"/>
                <w:lang w:val="en-US" w:eastAsia="zh-CN"/>
              </w:rPr>
            </w:pPr>
            <w:r>
              <w:rPr>
                <w:rFonts w:hint="eastAsia"/>
                <w:color w:val="auto"/>
                <w:szCs w:val="21"/>
                <w:highlight w:val="none"/>
                <w:lang w:val="en-US" w:eastAsia="zh-CN"/>
              </w:rPr>
              <w:t>977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0"/>
          <w:highlight w:val="none"/>
          <w:lang w:val="en-US" w:eastAsia="zh-CN"/>
        </w:rPr>
      </w:pPr>
      <w:r>
        <w:rPr>
          <w:rFonts w:hint="eastAsia"/>
          <w:color w:val="auto"/>
          <w:sz w:val="24"/>
          <w:szCs w:val="20"/>
          <w:highlight w:val="none"/>
          <w:lang w:eastAsia="zh-CN"/>
        </w:rPr>
        <w:t>（</w:t>
      </w:r>
      <w:r>
        <w:rPr>
          <w:rFonts w:hint="eastAsia"/>
          <w:color w:val="auto"/>
          <w:sz w:val="24"/>
          <w:szCs w:val="20"/>
          <w:highlight w:val="none"/>
          <w:lang w:val="en-US" w:eastAsia="zh-CN"/>
        </w:rPr>
        <w:t>2</w:t>
      </w:r>
      <w:r>
        <w:rPr>
          <w:rFonts w:hint="eastAsia"/>
          <w:color w:val="auto"/>
          <w:sz w:val="24"/>
          <w:szCs w:val="20"/>
          <w:highlight w:val="none"/>
          <w:lang w:eastAsia="zh-CN"/>
        </w:rPr>
        <w:t>）</w:t>
      </w:r>
      <w:r>
        <w:rPr>
          <w:rFonts w:hint="eastAsia"/>
          <w:color w:val="auto"/>
          <w:sz w:val="24"/>
          <w:szCs w:val="20"/>
          <w:highlight w:val="none"/>
          <w:lang w:val="en-US" w:eastAsia="zh-CN"/>
        </w:rPr>
        <w:t>无组织废气</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rPr>
        <w:t>①</w:t>
      </w:r>
      <w:r>
        <w:rPr>
          <w:rFonts w:hint="eastAsia"/>
          <w:color w:val="auto"/>
          <w:sz w:val="24"/>
          <w:szCs w:val="20"/>
          <w:highlight w:val="none"/>
          <w:lang w:val="en-US" w:eastAsia="zh-CN"/>
        </w:rPr>
        <w:t>拌料无组织颗粒物</w:t>
      </w:r>
    </w:p>
    <w:p>
      <w:pPr>
        <w:spacing w:line="360" w:lineRule="auto"/>
        <w:ind w:firstLine="480" w:firstLineChars="200"/>
        <w:rPr>
          <w:rFonts w:hint="eastAsia"/>
          <w:color w:val="auto"/>
          <w:sz w:val="24"/>
          <w:szCs w:val="20"/>
          <w:highlight w:val="none"/>
        </w:rPr>
      </w:pPr>
      <w:r>
        <w:rPr>
          <w:rFonts w:hint="eastAsia"/>
          <w:color w:val="auto"/>
          <w:sz w:val="24"/>
          <w:szCs w:val="20"/>
          <w:highlight w:val="none"/>
        </w:rPr>
        <w:t>项目塑料</w:t>
      </w:r>
      <w:r>
        <w:rPr>
          <w:rFonts w:hint="eastAsia"/>
          <w:color w:val="auto"/>
          <w:sz w:val="24"/>
          <w:szCs w:val="20"/>
          <w:highlight w:val="none"/>
          <w:lang w:val="en-US" w:eastAsia="zh-CN"/>
        </w:rPr>
        <w:t>框</w:t>
      </w:r>
      <w:r>
        <w:rPr>
          <w:rFonts w:hint="eastAsia"/>
          <w:color w:val="auto"/>
          <w:sz w:val="24"/>
          <w:szCs w:val="20"/>
          <w:highlight w:val="none"/>
        </w:rPr>
        <w:t>生产使用的原辅料中聚丙烯树脂颗粒</w:t>
      </w:r>
      <w:r>
        <w:rPr>
          <w:rFonts w:hint="eastAsia"/>
          <w:color w:val="auto"/>
          <w:sz w:val="24"/>
          <w:szCs w:val="20"/>
          <w:highlight w:val="none"/>
          <w:lang w:eastAsia="zh-CN"/>
        </w:rPr>
        <w:t>（</w:t>
      </w:r>
      <w:r>
        <w:rPr>
          <w:rFonts w:hint="eastAsia"/>
          <w:color w:val="auto"/>
          <w:sz w:val="24"/>
          <w:szCs w:val="20"/>
          <w:highlight w:val="none"/>
          <w:lang w:val="en-US" w:eastAsia="zh-CN"/>
        </w:rPr>
        <w:t>新料、再生料</w:t>
      </w:r>
      <w:r>
        <w:rPr>
          <w:rFonts w:hint="eastAsia"/>
          <w:color w:val="auto"/>
          <w:sz w:val="24"/>
          <w:szCs w:val="20"/>
          <w:highlight w:val="none"/>
          <w:lang w:eastAsia="zh-CN"/>
        </w:rPr>
        <w:t>）</w:t>
      </w:r>
      <w:r>
        <w:rPr>
          <w:rFonts w:hint="eastAsia"/>
          <w:color w:val="auto"/>
          <w:sz w:val="24"/>
          <w:szCs w:val="20"/>
          <w:highlight w:val="none"/>
        </w:rPr>
        <w:t>为</w:t>
      </w:r>
      <w:r>
        <w:rPr>
          <w:rFonts w:hint="eastAsia"/>
          <w:color w:val="auto"/>
          <w:sz w:val="24"/>
          <w:szCs w:val="20"/>
          <w:highlight w:val="none"/>
          <w:lang w:val="en-US" w:eastAsia="zh-CN"/>
        </w:rPr>
        <w:t>不规则</w:t>
      </w:r>
      <w:r>
        <w:rPr>
          <w:rFonts w:hint="eastAsia"/>
          <w:color w:val="auto"/>
          <w:sz w:val="24"/>
          <w:szCs w:val="20"/>
          <w:highlight w:val="none"/>
        </w:rPr>
        <w:t>颗粒状物料，且拌料在密闭的容器内进行，无组织颗粒物产生量较小，主要来源于投料、出料工序。根据《中华人民共和国国家标准聚丙烯树脂》(GB16270-90) 中的表1</w:t>
      </w:r>
      <w:r>
        <w:rPr>
          <w:rFonts w:hint="eastAsia"/>
          <w:color w:val="auto"/>
          <w:sz w:val="24"/>
          <w:szCs w:val="20"/>
          <w:highlight w:val="none"/>
          <w:lang w:eastAsia="zh-CN"/>
        </w:rPr>
        <w:t>，</w:t>
      </w:r>
      <w:r>
        <w:rPr>
          <w:rFonts w:hint="eastAsia"/>
          <w:color w:val="auto"/>
          <w:sz w:val="24"/>
          <w:szCs w:val="20"/>
          <w:highlight w:val="none"/>
        </w:rPr>
        <w:t>项目使用注塑类的合格品，其质量指标中粉末灰分含量不能大于0.05%，本次颗粒物产生量按粉末灰分含量计，则该过程颗粒物产生量约为投料总量的0.05%，项目原辅料用量 (即投料总量</w:t>
      </w:r>
      <w:r>
        <w:rPr>
          <w:rFonts w:hint="eastAsia"/>
          <w:color w:val="auto"/>
          <w:sz w:val="24"/>
          <w:szCs w:val="20"/>
          <w:highlight w:val="none"/>
          <w:lang w:val="en-US" w:eastAsia="zh-CN"/>
        </w:rPr>
        <w:t>=原辅料用量+破碎回用量</w:t>
      </w:r>
      <w:r>
        <w:rPr>
          <w:rFonts w:hint="eastAsia"/>
          <w:color w:val="auto"/>
          <w:sz w:val="24"/>
          <w:szCs w:val="20"/>
          <w:highlight w:val="none"/>
        </w:rPr>
        <w:t>)为</w:t>
      </w:r>
      <w:r>
        <w:rPr>
          <w:rFonts w:hint="eastAsia"/>
          <w:color w:val="auto"/>
          <w:sz w:val="24"/>
          <w:szCs w:val="20"/>
          <w:highlight w:val="none"/>
          <w:lang w:val="en-US" w:eastAsia="zh-CN"/>
        </w:rPr>
        <w:t>1257.13</w:t>
      </w:r>
      <w:r>
        <w:rPr>
          <w:rFonts w:hint="eastAsia"/>
          <w:color w:val="auto"/>
          <w:sz w:val="24"/>
          <w:szCs w:val="20"/>
          <w:highlight w:val="none"/>
        </w:rPr>
        <w:t>t， 则拌料颗粒物产生量约</w:t>
      </w:r>
      <w:r>
        <w:rPr>
          <w:rFonts w:hint="eastAsia"/>
          <w:color w:val="auto"/>
          <w:sz w:val="24"/>
          <w:szCs w:val="20"/>
          <w:highlight w:val="none"/>
          <w:lang w:val="en-US" w:eastAsia="zh-CN"/>
        </w:rPr>
        <w:t>0.6286</w:t>
      </w:r>
      <w:r>
        <w:rPr>
          <w:rFonts w:hint="eastAsia"/>
          <w:color w:val="auto"/>
          <w:sz w:val="24"/>
          <w:szCs w:val="20"/>
          <w:highlight w:val="none"/>
        </w:rPr>
        <w:t>t/a， 产生速率为</w:t>
      </w:r>
      <w:r>
        <w:rPr>
          <w:rFonts w:hint="eastAsia"/>
          <w:color w:val="auto"/>
          <w:sz w:val="24"/>
          <w:szCs w:val="20"/>
          <w:highlight w:val="none"/>
          <w:lang w:val="en-US" w:eastAsia="zh-CN"/>
        </w:rPr>
        <w:t>0.2619</w:t>
      </w:r>
      <w:r>
        <w:rPr>
          <w:rFonts w:hint="eastAsia"/>
          <w:color w:val="auto"/>
          <w:sz w:val="24"/>
          <w:szCs w:val="20"/>
          <w:highlight w:val="none"/>
        </w:rPr>
        <w:t>kgh。拌料</w:t>
      </w:r>
      <w:r>
        <w:rPr>
          <w:rFonts w:hint="eastAsia"/>
          <w:color w:val="auto"/>
          <w:sz w:val="24"/>
          <w:szCs w:val="20"/>
          <w:highlight w:val="none"/>
          <w:lang w:val="en-US" w:eastAsia="zh-CN"/>
        </w:rPr>
        <w:t>过程在封闭装置内进行，</w:t>
      </w:r>
      <w:r>
        <w:rPr>
          <w:rFonts w:hint="eastAsia"/>
          <w:color w:val="auto"/>
          <w:sz w:val="24"/>
          <w:szCs w:val="20"/>
          <w:highlight w:val="none"/>
        </w:rPr>
        <w:t>仅在进料与出料过程中有少量颗粒物产生，约占颗粒物产生量的10%，则拌料颗粒物排放量为</w:t>
      </w:r>
      <w:r>
        <w:rPr>
          <w:rFonts w:hint="eastAsia"/>
          <w:color w:val="auto"/>
          <w:sz w:val="24"/>
          <w:szCs w:val="20"/>
          <w:highlight w:val="none"/>
          <w:lang w:val="en-US" w:eastAsia="zh-CN"/>
        </w:rPr>
        <w:t>0.063</w:t>
      </w:r>
      <w:r>
        <w:rPr>
          <w:rFonts w:hint="eastAsia"/>
          <w:color w:val="auto"/>
          <w:sz w:val="24"/>
          <w:szCs w:val="20"/>
          <w:highlight w:val="none"/>
        </w:rPr>
        <w:t>t/a，排放速率为</w:t>
      </w:r>
      <w:r>
        <w:rPr>
          <w:rFonts w:hint="eastAsia"/>
          <w:color w:val="auto"/>
          <w:sz w:val="24"/>
          <w:szCs w:val="20"/>
          <w:highlight w:val="none"/>
          <w:lang w:val="en-US" w:eastAsia="zh-CN"/>
        </w:rPr>
        <w:t>0.026</w:t>
      </w:r>
      <w:r>
        <w:rPr>
          <w:rFonts w:hint="eastAsia"/>
          <w:color w:val="auto"/>
          <w:sz w:val="24"/>
          <w:szCs w:val="20"/>
          <w:highlight w:val="none"/>
        </w:rPr>
        <w:t>kg/h</w:t>
      </w:r>
      <w:r>
        <w:rPr>
          <w:rFonts w:hint="eastAsia"/>
          <w:color w:val="auto"/>
          <w:sz w:val="24"/>
          <w:szCs w:val="20"/>
          <w:highlight w:val="none"/>
          <w:lang w:eastAsia="zh-CN"/>
        </w:rPr>
        <w:t>，</w:t>
      </w:r>
      <w:r>
        <w:rPr>
          <w:rFonts w:hint="eastAsia"/>
          <w:color w:val="auto"/>
          <w:sz w:val="24"/>
          <w:szCs w:val="20"/>
          <w:highlight w:val="none"/>
        </w:rPr>
        <w:t>呈无组织排放。</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rPr>
        <w:t>②</w:t>
      </w:r>
      <w:r>
        <w:rPr>
          <w:rFonts w:hint="eastAsia"/>
          <w:color w:val="auto"/>
          <w:sz w:val="24"/>
          <w:szCs w:val="20"/>
          <w:highlight w:val="none"/>
          <w:lang w:val="en-US" w:eastAsia="zh-CN"/>
        </w:rPr>
        <w:t>破碎无组织颗粒物</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lang w:val="en-US" w:eastAsia="zh-CN"/>
        </w:rPr>
        <w:t>根据前文有组织废气章节分析可知，项目有15%的破碎颗粒物未被收集处理，呈无组织排放，排放量为0.00018t/a，排放速率为0.00115kg/h。无组织排放的颗粒物通过加强厂房通风，并经自然扩散后对环境影响较小。</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rPr>
        <w:t>③</w:t>
      </w:r>
      <w:r>
        <w:rPr>
          <w:rFonts w:hint="eastAsia"/>
          <w:color w:val="auto"/>
          <w:sz w:val="24"/>
          <w:szCs w:val="20"/>
          <w:highlight w:val="none"/>
          <w:lang w:val="en-US" w:eastAsia="zh-CN"/>
        </w:rPr>
        <w:t>无组织非甲烷总烃</w:t>
      </w:r>
    </w:p>
    <w:p>
      <w:pPr>
        <w:spacing w:line="360" w:lineRule="auto"/>
        <w:ind w:firstLine="480" w:firstLineChars="200"/>
        <w:rPr>
          <w:rFonts w:hint="default" w:eastAsia="宋体"/>
          <w:color w:val="auto"/>
          <w:sz w:val="24"/>
          <w:szCs w:val="20"/>
          <w:highlight w:val="none"/>
          <w:lang w:val="en-US" w:eastAsia="zh-CN"/>
        </w:rPr>
      </w:pPr>
      <w:r>
        <w:rPr>
          <w:rFonts w:hint="eastAsia"/>
          <w:color w:val="auto"/>
          <w:sz w:val="24"/>
          <w:szCs w:val="20"/>
          <w:highlight w:val="none"/>
          <w:lang w:val="en-US" w:eastAsia="zh-CN"/>
        </w:rPr>
        <w:t>根据前文有组织废气章节分析可知，项目有35%的非甲烷总烃未被收集，呈无组织排放，排放量为1.1813t/a，排放速率为0.492kg/h。无组织排放的非甲烷总烃通过加强厂房通风，并经自然扩散后对环境影响较小。</w:t>
      </w:r>
    </w:p>
    <w:p>
      <w:pPr>
        <w:spacing w:line="360" w:lineRule="auto"/>
        <w:ind w:firstLine="480" w:firstLineChars="200"/>
        <w:rPr>
          <w:color w:val="auto"/>
          <w:sz w:val="24"/>
          <w:szCs w:val="20"/>
          <w:highlight w:val="none"/>
        </w:rPr>
      </w:pPr>
      <w:r>
        <w:rPr>
          <w:rFonts w:hint="eastAsia"/>
          <w:color w:val="auto"/>
          <w:sz w:val="24"/>
          <w:szCs w:val="20"/>
          <w:highlight w:val="none"/>
        </w:rPr>
        <w:t>④恶臭</w:t>
      </w:r>
    </w:p>
    <w:p>
      <w:pPr>
        <w:spacing w:line="360" w:lineRule="auto"/>
        <w:ind w:firstLine="480" w:firstLineChars="200"/>
        <w:rPr>
          <w:rFonts w:hint="default" w:eastAsia="宋体"/>
          <w:b/>
          <w:bCs/>
          <w:color w:val="auto"/>
          <w:sz w:val="24"/>
          <w:szCs w:val="20"/>
          <w:highlight w:val="none"/>
          <w:lang w:val="en-US" w:eastAsia="zh-CN"/>
        </w:rPr>
      </w:pPr>
      <w:r>
        <w:rPr>
          <w:rFonts w:hint="eastAsia"/>
          <w:color w:val="auto"/>
          <w:sz w:val="24"/>
          <w:szCs w:val="20"/>
          <w:highlight w:val="none"/>
          <w:lang w:val="en-US" w:eastAsia="zh-CN"/>
        </w:rPr>
        <w:t>根据前文有组织废气章节分析可知，项目热熔注塑工序中大部分臭气经集气罩收集后，最终通过“三级活性炭吸附装置”集中处理后高空排放，其余少量有机废气呈无组织逸散；从而产生少量异味。若建设单位有效落实废气治理设施的维护，做好车间的通风换气措施，臭气浓度可达《恶臭污染物排放标准》（GB14554-93）表1新扩改建厂界标准限值二级标准；项目生活垃圾桶设置为密闭式，产生的恶臭很少，呈无组织排放。</w:t>
      </w:r>
    </w:p>
    <w:p>
      <w:pPr>
        <w:spacing w:line="360" w:lineRule="auto"/>
        <w:ind w:firstLine="480" w:firstLineChars="200"/>
        <w:rPr>
          <w:color w:val="auto"/>
          <w:sz w:val="24"/>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r>
        <w:rPr>
          <w:color w:val="auto"/>
          <w:sz w:val="24"/>
          <w:szCs w:val="20"/>
          <w:highlight w:val="none"/>
        </w:rPr>
        <w:t>项目</w:t>
      </w:r>
      <w:r>
        <w:rPr>
          <w:rFonts w:hint="eastAsia"/>
          <w:color w:val="auto"/>
          <w:sz w:val="24"/>
          <w:szCs w:val="20"/>
          <w:highlight w:val="none"/>
          <w:lang w:val="en-US" w:eastAsia="zh-CN"/>
        </w:rPr>
        <w:t>运营期废气</w:t>
      </w:r>
      <w:r>
        <w:rPr>
          <w:color w:val="auto"/>
          <w:sz w:val="24"/>
          <w:szCs w:val="20"/>
          <w:highlight w:val="none"/>
        </w:rPr>
        <w:t>产排情况见下表所示</w:t>
      </w:r>
      <w:r>
        <w:rPr>
          <w:rFonts w:hint="eastAsia"/>
          <w:color w:val="auto"/>
          <w:sz w:val="24"/>
          <w:szCs w:val="20"/>
          <w:highlight w:val="none"/>
          <w:lang w:eastAsia="zh-CN"/>
        </w:rPr>
        <w:t>。</w:t>
      </w:r>
    </w:p>
    <w:p>
      <w:pPr>
        <w:spacing w:line="360" w:lineRule="auto"/>
        <w:jc w:val="center"/>
        <w:rPr>
          <w:b/>
          <w:color w:val="auto"/>
          <w:sz w:val="24"/>
          <w:highlight w:val="none"/>
        </w:rPr>
      </w:pPr>
      <w:r>
        <w:rPr>
          <w:b/>
          <w:color w:val="auto"/>
          <w:sz w:val="24"/>
          <w:highlight w:val="none"/>
        </w:rPr>
        <w:t>表3.5-</w:t>
      </w:r>
      <w:r>
        <w:rPr>
          <w:rFonts w:hint="eastAsia"/>
          <w:b/>
          <w:color w:val="auto"/>
          <w:sz w:val="24"/>
          <w:highlight w:val="none"/>
          <w:lang w:val="en-US" w:eastAsia="zh-CN"/>
        </w:rPr>
        <w:t>2</w:t>
      </w:r>
      <w:r>
        <w:rPr>
          <w:b/>
          <w:color w:val="auto"/>
          <w:sz w:val="24"/>
          <w:highlight w:val="none"/>
        </w:rPr>
        <w:t xml:space="preserve"> </w:t>
      </w:r>
      <w:r>
        <w:rPr>
          <w:rFonts w:hint="eastAsia"/>
          <w:b/>
          <w:color w:val="auto"/>
          <w:sz w:val="24"/>
          <w:highlight w:val="none"/>
          <w:lang w:val="en-US" w:eastAsia="zh-CN"/>
        </w:rPr>
        <w:t xml:space="preserve"> 项目有组织废气排放量核算</w:t>
      </w:r>
      <w:r>
        <w:rPr>
          <w:b/>
          <w:color w:val="auto"/>
          <w:sz w:val="24"/>
          <w:highlight w:val="none"/>
        </w:rPr>
        <w:t>表</w:t>
      </w:r>
    </w:p>
    <w:tbl>
      <w:tblPr>
        <w:tblStyle w:val="55"/>
        <w:tblW w:w="13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320"/>
        <w:gridCol w:w="1800"/>
        <w:gridCol w:w="1230"/>
        <w:gridCol w:w="1095"/>
        <w:gridCol w:w="915"/>
        <w:gridCol w:w="3010"/>
        <w:gridCol w:w="1320"/>
        <w:gridCol w:w="1230"/>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60" w:lineRule="auto"/>
              <w:jc w:val="center"/>
              <w:rPr>
                <w:color w:val="auto"/>
                <w:szCs w:val="21"/>
                <w:highlight w:val="none"/>
              </w:rPr>
            </w:pPr>
            <w:r>
              <w:rPr>
                <w:color w:val="auto"/>
                <w:szCs w:val="21"/>
                <w:highlight w:val="none"/>
              </w:rPr>
              <w:t>序号</w:t>
            </w:r>
          </w:p>
        </w:tc>
        <w:tc>
          <w:tcPr>
            <w:tcW w:w="1320" w:type="dxa"/>
            <w:shd w:val="clear" w:color="auto" w:fill="auto"/>
            <w:vAlign w:val="center"/>
          </w:tcPr>
          <w:p>
            <w:pPr>
              <w:spacing w:line="360" w:lineRule="auto"/>
              <w:jc w:val="center"/>
              <w:rPr>
                <w:color w:val="auto"/>
                <w:szCs w:val="21"/>
                <w:highlight w:val="none"/>
              </w:rPr>
            </w:pPr>
            <w:r>
              <w:rPr>
                <w:color w:val="auto"/>
                <w:szCs w:val="21"/>
                <w:highlight w:val="none"/>
              </w:rPr>
              <w:t>排放口</w:t>
            </w:r>
          </w:p>
          <w:p>
            <w:pPr>
              <w:spacing w:line="360" w:lineRule="auto"/>
              <w:jc w:val="center"/>
              <w:rPr>
                <w:color w:val="auto"/>
                <w:szCs w:val="21"/>
                <w:highlight w:val="none"/>
              </w:rPr>
            </w:pPr>
            <w:r>
              <w:rPr>
                <w:color w:val="auto"/>
                <w:szCs w:val="21"/>
                <w:highlight w:val="none"/>
              </w:rPr>
              <w:t>编号</w:t>
            </w:r>
          </w:p>
        </w:tc>
        <w:tc>
          <w:tcPr>
            <w:tcW w:w="1800" w:type="dxa"/>
            <w:shd w:val="clear" w:color="auto" w:fill="auto"/>
            <w:vAlign w:val="center"/>
          </w:tcPr>
          <w:p>
            <w:pPr>
              <w:spacing w:line="360" w:lineRule="auto"/>
              <w:jc w:val="center"/>
              <w:rPr>
                <w:color w:val="auto"/>
                <w:szCs w:val="21"/>
                <w:highlight w:val="none"/>
              </w:rPr>
            </w:pPr>
            <w:r>
              <w:rPr>
                <w:color w:val="auto"/>
                <w:szCs w:val="21"/>
                <w:highlight w:val="none"/>
              </w:rPr>
              <w:t>污染物</w:t>
            </w:r>
          </w:p>
        </w:tc>
        <w:tc>
          <w:tcPr>
            <w:tcW w:w="1230" w:type="dxa"/>
            <w:shd w:val="clear" w:color="auto" w:fill="auto"/>
            <w:vAlign w:val="center"/>
          </w:tcPr>
          <w:p>
            <w:pPr>
              <w:spacing w:line="360" w:lineRule="auto"/>
              <w:jc w:val="center"/>
              <w:rPr>
                <w:color w:val="auto"/>
                <w:szCs w:val="21"/>
                <w:highlight w:val="none"/>
              </w:rPr>
            </w:pPr>
            <w:r>
              <w:rPr>
                <w:rFonts w:hint="eastAsia"/>
                <w:color w:val="auto"/>
                <w:szCs w:val="21"/>
                <w:highlight w:val="none"/>
                <w:lang w:val="en-US" w:eastAsia="zh-CN"/>
              </w:rPr>
              <w:t>产生浓度</w:t>
            </w:r>
            <w:r>
              <w:rPr>
                <w:color w:val="auto"/>
                <w:szCs w:val="21"/>
                <w:highlight w:val="none"/>
              </w:rPr>
              <w:t>（mg/m</w:t>
            </w:r>
            <w:r>
              <w:rPr>
                <w:color w:val="auto"/>
                <w:szCs w:val="21"/>
                <w:highlight w:val="none"/>
                <w:vertAlign w:val="superscript"/>
              </w:rPr>
              <w:t>3</w:t>
            </w:r>
            <w:r>
              <w:rPr>
                <w:color w:val="auto"/>
                <w:szCs w:val="21"/>
                <w:highlight w:val="none"/>
              </w:rPr>
              <w:t>）</w:t>
            </w:r>
          </w:p>
        </w:tc>
        <w:tc>
          <w:tcPr>
            <w:tcW w:w="1095"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产生速率（kg/h）</w:t>
            </w:r>
          </w:p>
        </w:tc>
        <w:tc>
          <w:tcPr>
            <w:tcW w:w="915" w:type="dxa"/>
            <w:shd w:val="clear" w:color="auto" w:fill="auto"/>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val="en-US" w:eastAsia="zh-CN"/>
              </w:rPr>
              <w:t>产生量（t/a）</w:t>
            </w:r>
          </w:p>
        </w:tc>
        <w:tc>
          <w:tcPr>
            <w:tcW w:w="3010" w:type="dxa"/>
            <w:shd w:val="clear" w:color="auto" w:fill="auto"/>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治理措施</w:t>
            </w:r>
          </w:p>
        </w:tc>
        <w:tc>
          <w:tcPr>
            <w:tcW w:w="1320" w:type="dxa"/>
            <w:shd w:val="clear" w:color="auto" w:fill="auto"/>
            <w:vAlign w:val="center"/>
          </w:tcPr>
          <w:p>
            <w:pPr>
              <w:spacing w:line="360" w:lineRule="auto"/>
              <w:jc w:val="center"/>
              <w:rPr>
                <w:color w:val="auto"/>
                <w:szCs w:val="21"/>
                <w:highlight w:val="none"/>
              </w:rPr>
            </w:pPr>
            <w:r>
              <w:rPr>
                <w:rFonts w:hint="eastAsia"/>
                <w:color w:val="auto"/>
                <w:szCs w:val="21"/>
                <w:highlight w:val="none"/>
                <w:lang w:val="en-US" w:eastAsia="zh-CN"/>
              </w:rPr>
              <w:t>排放浓度</w:t>
            </w:r>
            <w:r>
              <w:rPr>
                <w:color w:val="auto"/>
                <w:szCs w:val="21"/>
                <w:highlight w:val="none"/>
              </w:rPr>
              <w:t>（mg/m</w:t>
            </w:r>
            <w:r>
              <w:rPr>
                <w:color w:val="auto"/>
                <w:szCs w:val="21"/>
                <w:highlight w:val="none"/>
                <w:vertAlign w:val="superscript"/>
              </w:rPr>
              <w:t>3</w:t>
            </w:r>
            <w:r>
              <w:rPr>
                <w:color w:val="auto"/>
                <w:szCs w:val="21"/>
                <w:highlight w:val="none"/>
              </w:rPr>
              <w:t>）</w:t>
            </w:r>
          </w:p>
        </w:tc>
        <w:tc>
          <w:tcPr>
            <w:tcW w:w="1230" w:type="dxa"/>
            <w:shd w:val="clear" w:color="auto" w:fill="auto"/>
            <w:vAlign w:val="center"/>
          </w:tcPr>
          <w:p>
            <w:pPr>
              <w:spacing w:line="360" w:lineRule="auto"/>
              <w:jc w:val="center"/>
              <w:rPr>
                <w:color w:val="auto"/>
                <w:szCs w:val="21"/>
                <w:highlight w:val="none"/>
              </w:rPr>
            </w:pPr>
            <w:r>
              <w:rPr>
                <w:rFonts w:hint="eastAsia"/>
                <w:color w:val="auto"/>
                <w:szCs w:val="21"/>
                <w:highlight w:val="none"/>
                <w:lang w:val="en-US" w:eastAsia="zh-CN"/>
              </w:rPr>
              <w:t>排放速率（kg/h）</w:t>
            </w:r>
          </w:p>
        </w:tc>
        <w:tc>
          <w:tcPr>
            <w:tcW w:w="919" w:type="dxa"/>
            <w:shd w:val="clear" w:color="auto" w:fill="auto"/>
            <w:vAlign w:val="center"/>
          </w:tcPr>
          <w:p>
            <w:pPr>
              <w:spacing w:line="360" w:lineRule="auto"/>
              <w:jc w:val="center"/>
              <w:rPr>
                <w:color w:val="auto"/>
                <w:szCs w:val="21"/>
                <w:highlight w:val="none"/>
              </w:rPr>
            </w:pPr>
            <w:r>
              <w:rPr>
                <w:color w:val="auto"/>
                <w:szCs w:val="21"/>
                <w:highlight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1" w:type="dxa"/>
            <w:gridSpan w:val="10"/>
            <w:shd w:val="clear" w:color="auto" w:fill="auto"/>
            <w:vAlign w:val="center"/>
          </w:tcPr>
          <w:p>
            <w:pPr>
              <w:spacing w:line="360" w:lineRule="auto"/>
              <w:jc w:val="center"/>
              <w:rPr>
                <w:color w:val="auto"/>
                <w:szCs w:val="21"/>
                <w:highlight w:val="none"/>
              </w:rPr>
            </w:pPr>
            <w:r>
              <w:rPr>
                <w:rFonts w:hint="eastAsia"/>
                <w:color w:val="auto"/>
                <w:szCs w:val="21"/>
                <w:highlight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60" w:lineRule="auto"/>
              <w:jc w:val="center"/>
              <w:rPr>
                <w:color w:val="auto"/>
                <w:szCs w:val="21"/>
                <w:highlight w:val="none"/>
              </w:rPr>
            </w:pPr>
            <w:r>
              <w:rPr>
                <w:color w:val="auto"/>
                <w:szCs w:val="21"/>
                <w:highlight w:val="none"/>
              </w:rPr>
              <w:t>1</w:t>
            </w:r>
          </w:p>
        </w:tc>
        <w:tc>
          <w:tcPr>
            <w:tcW w:w="1320" w:type="dxa"/>
            <w:vMerge w:val="restart"/>
            <w:shd w:val="clear" w:color="auto" w:fill="auto"/>
            <w:vAlign w:val="center"/>
          </w:tcPr>
          <w:p>
            <w:pPr>
              <w:spacing w:line="360" w:lineRule="auto"/>
              <w:jc w:val="center"/>
              <w:rPr>
                <w:color w:val="auto"/>
                <w:szCs w:val="21"/>
                <w:highlight w:val="none"/>
              </w:rPr>
            </w:pPr>
            <w:r>
              <w:rPr>
                <w:rFonts w:hint="eastAsia"/>
                <w:color w:val="auto"/>
                <w:szCs w:val="21"/>
                <w:highlight w:val="none"/>
              </w:rPr>
              <w:t>有组织排放口DA001</w:t>
            </w:r>
          </w:p>
        </w:tc>
        <w:tc>
          <w:tcPr>
            <w:tcW w:w="1800" w:type="dxa"/>
            <w:shd w:val="clear" w:color="auto" w:fill="auto"/>
            <w:vAlign w:val="center"/>
          </w:tcPr>
          <w:p>
            <w:pPr>
              <w:spacing w:line="360" w:lineRule="auto"/>
              <w:jc w:val="center"/>
              <w:rPr>
                <w:color w:val="auto"/>
                <w:szCs w:val="21"/>
                <w:highlight w:val="none"/>
              </w:rPr>
            </w:pPr>
            <w:r>
              <w:rPr>
                <w:rFonts w:hint="eastAsia"/>
                <w:color w:val="auto"/>
                <w:szCs w:val="21"/>
                <w:highlight w:val="none"/>
                <w:lang w:val="en-US" w:eastAsia="zh-CN"/>
              </w:rPr>
              <w:t>挥发性有机物</w:t>
            </w:r>
            <w:r>
              <w:rPr>
                <w:color w:val="auto"/>
                <w:szCs w:val="21"/>
                <w:highlight w:val="none"/>
              </w:rPr>
              <w:t>（非甲烷总烃）</w:t>
            </w:r>
          </w:p>
        </w:tc>
        <w:tc>
          <w:tcPr>
            <w:tcW w:w="1230" w:type="dxa"/>
            <w:shd w:val="clear" w:color="auto" w:fill="auto"/>
            <w:vAlign w:val="center"/>
          </w:tcPr>
          <w:p>
            <w:pPr>
              <w:autoSpaceDE w:val="0"/>
              <w:autoSpaceDN w:val="0"/>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76.17</w:t>
            </w:r>
          </w:p>
        </w:tc>
        <w:tc>
          <w:tcPr>
            <w:tcW w:w="1095" w:type="dxa"/>
            <w:shd w:val="clear" w:color="auto" w:fill="auto"/>
            <w:vAlign w:val="center"/>
          </w:tcPr>
          <w:p>
            <w:pPr>
              <w:autoSpaceDE w:val="0"/>
              <w:autoSpaceDN w:val="0"/>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0.914</w:t>
            </w:r>
          </w:p>
        </w:tc>
        <w:tc>
          <w:tcPr>
            <w:tcW w:w="915"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2.194</w:t>
            </w:r>
          </w:p>
        </w:tc>
        <w:tc>
          <w:tcPr>
            <w:tcW w:w="3010" w:type="dxa"/>
            <w:vMerge w:val="restart"/>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集气罩收集后经三级活性炭吸附装置处理后通过15m高排气筒（DA001）排放</w:t>
            </w:r>
          </w:p>
        </w:tc>
        <w:tc>
          <w:tcPr>
            <w:tcW w:w="1320"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20.51</w:t>
            </w:r>
          </w:p>
        </w:tc>
        <w:tc>
          <w:tcPr>
            <w:tcW w:w="1230"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0.2461</w:t>
            </w:r>
          </w:p>
        </w:tc>
        <w:tc>
          <w:tcPr>
            <w:tcW w:w="919"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0.5906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320" w:type="dxa"/>
            <w:vMerge w:val="continue"/>
            <w:shd w:val="clear" w:color="auto" w:fill="auto"/>
            <w:vAlign w:val="center"/>
          </w:tcPr>
          <w:p>
            <w:pPr>
              <w:spacing w:line="360" w:lineRule="auto"/>
              <w:jc w:val="center"/>
              <w:rPr>
                <w:rFonts w:hint="eastAsia"/>
                <w:color w:val="auto"/>
                <w:szCs w:val="21"/>
                <w:highlight w:val="none"/>
              </w:rPr>
            </w:pPr>
          </w:p>
        </w:tc>
        <w:tc>
          <w:tcPr>
            <w:tcW w:w="1800" w:type="dxa"/>
            <w:shd w:val="clear" w:color="auto" w:fill="auto"/>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臭气浓度</w:t>
            </w:r>
          </w:p>
        </w:tc>
        <w:tc>
          <w:tcPr>
            <w:tcW w:w="1230" w:type="dxa"/>
            <w:shd w:val="clear" w:color="auto" w:fill="auto"/>
            <w:vAlign w:val="center"/>
          </w:tcPr>
          <w:p>
            <w:pPr>
              <w:autoSpaceDE w:val="0"/>
              <w:autoSpaceDN w:val="0"/>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3090（无量纲）</w:t>
            </w:r>
          </w:p>
        </w:tc>
        <w:tc>
          <w:tcPr>
            <w:tcW w:w="1095" w:type="dxa"/>
            <w:shd w:val="clear" w:color="auto" w:fill="auto"/>
            <w:vAlign w:val="center"/>
          </w:tcPr>
          <w:p>
            <w:pPr>
              <w:autoSpaceDE w:val="0"/>
              <w:autoSpaceDN w:val="0"/>
              <w:spacing w:line="360" w:lineRule="auto"/>
              <w:jc w:val="center"/>
              <w:rPr>
                <w:rFonts w:hint="default"/>
                <w:color w:val="auto"/>
                <w:szCs w:val="21"/>
                <w:highlight w:val="none"/>
                <w:lang w:val="en-US" w:eastAsia="zh-CN"/>
              </w:rPr>
            </w:pPr>
            <w:r>
              <w:rPr>
                <w:rFonts w:hint="eastAsia"/>
                <w:color w:val="auto"/>
                <w:szCs w:val="21"/>
                <w:highlight w:val="none"/>
                <w:lang w:val="en-US" w:eastAsia="zh-CN"/>
              </w:rPr>
              <w:t>/</w:t>
            </w:r>
          </w:p>
        </w:tc>
        <w:tc>
          <w:tcPr>
            <w:tcW w:w="915"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3010" w:type="dxa"/>
            <w:vMerge w:val="continue"/>
            <w:shd w:val="clear" w:color="auto" w:fill="auto"/>
            <w:vAlign w:val="center"/>
          </w:tcPr>
          <w:p>
            <w:pPr>
              <w:autoSpaceDE w:val="0"/>
              <w:autoSpaceDN w:val="0"/>
              <w:jc w:val="center"/>
              <w:rPr>
                <w:rFonts w:hint="eastAsia"/>
                <w:color w:val="auto"/>
                <w:szCs w:val="21"/>
                <w:highlight w:val="none"/>
                <w:lang w:val="en-US" w:eastAsia="zh-CN"/>
              </w:rPr>
            </w:pPr>
          </w:p>
        </w:tc>
        <w:tc>
          <w:tcPr>
            <w:tcW w:w="1320" w:type="dxa"/>
            <w:shd w:val="clear" w:color="auto" w:fill="auto"/>
            <w:vAlign w:val="center"/>
          </w:tcPr>
          <w:p>
            <w:pPr>
              <w:autoSpaceDE w:val="0"/>
              <w:autoSpaceDN w:val="0"/>
              <w:jc w:val="center"/>
              <w:rPr>
                <w:rFonts w:hint="default"/>
                <w:color w:val="auto"/>
                <w:szCs w:val="21"/>
                <w:highlight w:val="none"/>
                <w:lang w:val="en-US" w:eastAsia="zh-CN"/>
              </w:rPr>
            </w:pPr>
            <w:r>
              <w:rPr>
                <w:rFonts w:hint="eastAsia"/>
                <w:color w:val="auto"/>
                <w:szCs w:val="21"/>
                <w:highlight w:val="none"/>
                <w:lang w:val="en-US" w:eastAsia="zh-CN"/>
              </w:rPr>
              <w:t>1303（无量纲）</w:t>
            </w:r>
          </w:p>
        </w:tc>
        <w:tc>
          <w:tcPr>
            <w:tcW w:w="1230"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919" w:type="dxa"/>
            <w:shd w:val="clear" w:color="auto" w:fill="auto"/>
            <w:vAlign w:val="center"/>
          </w:tcPr>
          <w:p>
            <w:pPr>
              <w:autoSpaceDE w:val="0"/>
              <w:autoSpaceDN w:val="0"/>
              <w:jc w:val="center"/>
              <w:rPr>
                <w:rFonts w:hint="default"/>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320" w:type="dxa"/>
            <w:vMerge w:val="continue"/>
            <w:shd w:val="clear" w:color="auto" w:fill="auto"/>
            <w:vAlign w:val="center"/>
          </w:tcPr>
          <w:p>
            <w:pPr>
              <w:spacing w:line="360" w:lineRule="auto"/>
              <w:jc w:val="center"/>
              <w:rPr>
                <w:rFonts w:hint="eastAsia"/>
                <w:color w:val="auto"/>
                <w:szCs w:val="21"/>
                <w:highlight w:val="none"/>
              </w:rPr>
            </w:pPr>
          </w:p>
        </w:tc>
        <w:tc>
          <w:tcPr>
            <w:tcW w:w="1800" w:type="dxa"/>
            <w:shd w:val="clear" w:color="auto" w:fill="auto"/>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颗粒物</w:t>
            </w:r>
          </w:p>
        </w:tc>
        <w:tc>
          <w:tcPr>
            <w:tcW w:w="1230" w:type="dxa"/>
            <w:shd w:val="clear" w:color="auto" w:fill="auto"/>
            <w:vAlign w:val="center"/>
          </w:tcPr>
          <w:p>
            <w:pPr>
              <w:autoSpaceDE w:val="0"/>
              <w:autoSpaceDN w:val="0"/>
              <w:spacing w:line="360" w:lineRule="auto"/>
              <w:jc w:val="center"/>
              <w:rPr>
                <w:rFonts w:hint="default"/>
                <w:color w:val="auto"/>
                <w:szCs w:val="21"/>
                <w:highlight w:val="none"/>
                <w:lang w:val="en-US" w:eastAsia="zh-CN"/>
              </w:rPr>
            </w:pPr>
            <w:r>
              <w:rPr>
                <w:rFonts w:hint="eastAsia"/>
                <w:color w:val="auto"/>
                <w:szCs w:val="21"/>
                <w:highlight w:val="none"/>
                <w:lang w:val="en-US" w:eastAsia="zh-CN"/>
              </w:rPr>
              <w:t>0.54</w:t>
            </w:r>
          </w:p>
        </w:tc>
        <w:tc>
          <w:tcPr>
            <w:tcW w:w="1095" w:type="dxa"/>
            <w:shd w:val="clear" w:color="auto" w:fill="auto"/>
            <w:vAlign w:val="center"/>
          </w:tcPr>
          <w:p>
            <w:pPr>
              <w:autoSpaceDE w:val="0"/>
              <w:autoSpaceDN w:val="0"/>
              <w:spacing w:line="360" w:lineRule="auto"/>
              <w:jc w:val="center"/>
              <w:rPr>
                <w:rFonts w:hint="default"/>
                <w:color w:val="auto"/>
                <w:szCs w:val="21"/>
                <w:highlight w:val="none"/>
                <w:lang w:val="en-US" w:eastAsia="zh-CN"/>
              </w:rPr>
            </w:pPr>
            <w:r>
              <w:rPr>
                <w:rFonts w:hint="eastAsia"/>
                <w:color w:val="auto"/>
                <w:szCs w:val="21"/>
                <w:highlight w:val="none"/>
                <w:lang w:val="en-US" w:eastAsia="zh-CN"/>
              </w:rPr>
              <w:t>0.0065</w:t>
            </w:r>
          </w:p>
        </w:tc>
        <w:tc>
          <w:tcPr>
            <w:tcW w:w="915" w:type="dxa"/>
            <w:shd w:val="clear" w:color="auto" w:fill="auto"/>
            <w:vAlign w:val="center"/>
          </w:tcPr>
          <w:p>
            <w:pPr>
              <w:autoSpaceDE w:val="0"/>
              <w:autoSpaceDN w:val="0"/>
              <w:jc w:val="center"/>
              <w:rPr>
                <w:rFonts w:hint="default"/>
                <w:color w:val="auto"/>
                <w:szCs w:val="21"/>
                <w:highlight w:val="none"/>
                <w:lang w:val="en-US" w:eastAsia="zh-CN"/>
              </w:rPr>
            </w:pPr>
            <w:r>
              <w:rPr>
                <w:rFonts w:hint="eastAsia"/>
                <w:color w:val="auto"/>
                <w:szCs w:val="21"/>
                <w:highlight w:val="none"/>
                <w:lang w:val="en-US" w:eastAsia="zh-CN"/>
              </w:rPr>
              <w:t>0.00102</w:t>
            </w:r>
          </w:p>
        </w:tc>
        <w:tc>
          <w:tcPr>
            <w:tcW w:w="3010" w:type="dxa"/>
            <w:shd w:val="clear" w:color="auto" w:fill="auto"/>
            <w:vAlign w:val="center"/>
          </w:tcPr>
          <w:p>
            <w:pPr>
              <w:autoSpaceDE w:val="0"/>
              <w:autoSpaceDN w:val="0"/>
              <w:jc w:val="center"/>
              <w:rPr>
                <w:rFonts w:hint="default"/>
                <w:color w:val="auto"/>
                <w:szCs w:val="21"/>
                <w:highlight w:val="none"/>
                <w:lang w:val="en-US" w:eastAsia="zh-CN"/>
              </w:rPr>
            </w:pPr>
            <w:r>
              <w:rPr>
                <w:rFonts w:hint="eastAsia"/>
                <w:color w:val="auto"/>
                <w:szCs w:val="21"/>
                <w:highlight w:val="none"/>
                <w:lang w:val="en-US" w:eastAsia="zh-CN"/>
              </w:rPr>
              <w:t>布袋除尘器处理后经15m高排气筒（DA001）排放</w:t>
            </w:r>
          </w:p>
        </w:tc>
        <w:tc>
          <w:tcPr>
            <w:tcW w:w="1320" w:type="dxa"/>
            <w:shd w:val="clear" w:color="auto" w:fill="auto"/>
            <w:vAlign w:val="center"/>
          </w:tcPr>
          <w:p>
            <w:pPr>
              <w:autoSpaceDE w:val="0"/>
              <w:autoSpaceDN w:val="0"/>
              <w:jc w:val="center"/>
              <w:rPr>
                <w:rFonts w:hint="default"/>
                <w:color w:val="auto"/>
                <w:szCs w:val="21"/>
                <w:highlight w:val="none"/>
                <w:lang w:val="en-US" w:eastAsia="zh-CN"/>
              </w:rPr>
            </w:pPr>
            <w:r>
              <w:rPr>
                <w:rFonts w:hint="eastAsia"/>
                <w:color w:val="auto"/>
                <w:szCs w:val="21"/>
                <w:highlight w:val="none"/>
                <w:lang w:val="en-US" w:eastAsia="zh-CN"/>
              </w:rPr>
              <w:t>0.09</w:t>
            </w:r>
          </w:p>
        </w:tc>
        <w:tc>
          <w:tcPr>
            <w:tcW w:w="1230" w:type="dxa"/>
            <w:shd w:val="clear" w:color="auto" w:fill="auto"/>
            <w:vAlign w:val="center"/>
          </w:tcPr>
          <w:p>
            <w:pPr>
              <w:autoSpaceDE w:val="0"/>
              <w:autoSpaceDN w:val="0"/>
              <w:jc w:val="center"/>
              <w:rPr>
                <w:rFonts w:hint="default"/>
                <w:color w:val="auto"/>
                <w:szCs w:val="21"/>
                <w:highlight w:val="none"/>
                <w:lang w:val="en-US" w:eastAsia="zh-CN"/>
              </w:rPr>
            </w:pPr>
            <w:r>
              <w:rPr>
                <w:rFonts w:hint="eastAsia"/>
                <w:color w:val="auto"/>
                <w:szCs w:val="21"/>
                <w:highlight w:val="none"/>
                <w:lang w:val="en-US" w:eastAsia="zh-CN"/>
              </w:rPr>
              <w:t>0.0011</w:t>
            </w:r>
          </w:p>
        </w:tc>
        <w:tc>
          <w:tcPr>
            <w:tcW w:w="919" w:type="dxa"/>
            <w:shd w:val="clear" w:color="auto" w:fill="auto"/>
            <w:vAlign w:val="center"/>
          </w:tcPr>
          <w:p>
            <w:pPr>
              <w:autoSpaceDE w:val="0"/>
              <w:autoSpaceDN w:val="0"/>
              <w:jc w:val="center"/>
              <w:rPr>
                <w:rFonts w:hint="default"/>
                <w:color w:val="auto"/>
                <w:szCs w:val="21"/>
                <w:highlight w:val="none"/>
                <w:lang w:val="en-US" w:eastAsia="zh-CN"/>
              </w:rPr>
            </w:pPr>
            <w:r>
              <w:rPr>
                <w:rFonts w:hint="eastAsia"/>
                <w:color w:val="auto"/>
                <w:szCs w:val="21"/>
                <w:highlight w:val="none"/>
                <w:lang w:val="en-US" w:eastAsia="zh-CN"/>
              </w:rPr>
              <w:t>0.00017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gridSpan w:val="2"/>
            <w:vMerge w:val="restart"/>
            <w:shd w:val="clear" w:color="auto" w:fill="auto"/>
            <w:vAlign w:val="center"/>
          </w:tcPr>
          <w:p>
            <w:pPr>
              <w:spacing w:line="360" w:lineRule="auto"/>
              <w:jc w:val="center"/>
              <w:rPr>
                <w:rFonts w:hint="default" w:eastAsia="宋体"/>
                <w:color w:val="auto"/>
                <w:szCs w:val="21"/>
                <w:highlight w:val="none"/>
                <w:lang w:val="en-US" w:eastAsia="zh-CN"/>
              </w:rPr>
            </w:pPr>
            <w:r>
              <w:rPr>
                <w:rFonts w:hint="eastAsia"/>
                <w:b/>
                <w:bCs/>
                <w:color w:val="auto"/>
                <w:szCs w:val="21"/>
                <w:highlight w:val="none"/>
                <w:lang w:val="en-US" w:eastAsia="zh-CN"/>
              </w:rPr>
              <w:t>有组织排放总计</w:t>
            </w:r>
          </w:p>
        </w:tc>
        <w:tc>
          <w:tcPr>
            <w:tcW w:w="9370" w:type="dxa"/>
            <w:gridSpan w:val="6"/>
            <w:shd w:val="clear" w:color="auto" w:fill="auto"/>
            <w:vAlign w:val="center"/>
          </w:tcPr>
          <w:p>
            <w:pPr>
              <w:autoSpaceDE w:val="0"/>
              <w:autoSpaceDN w:val="0"/>
              <w:jc w:val="center"/>
              <w:rPr>
                <w:rFonts w:hint="default"/>
                <w:color w:val="auto"/>
                <w:kern w:val="0"/>
                <w:szCs w:val="21"/>
                <w:highlight w:val="none"/>
                <w:lang w:val="en-US" w:eastAsia="zh-CN"/>
              </w:rPr>
            </w:pPr>
            <w:r>
              <w:rPr>
                <w:rFonts w:hint="eastAsia"/>
                <w:color w:val="auto"/>
                <w:kern w:val="0"/>
                <w:szCs w:val="21"/>
                <w:highlight w:val="none"/>
                <w:lang w:val="en-US" w:eastAsia="zh-CN"/>
              </w:rPr>
              <w:t>非甲烷总烃</w:t>
            </w:r>
          </w:p>
        </w:tc>
        <w:tc>
          <w:tcPr>
            <w:tcW w:w="2149" w:type="dxa"/>
            <w:gridSpan w:val="2"/>
            <w:shd w:val="clear" w:color="auto" w:fill="auto"/>
            <w:vAlign w:val="center"/>
          </w:tcPr>
          <w:p>
            <w:pPr>
              <w:autoSpaceDE w:val="0"/>
              <w:autoSpaceDN w:val="0"/>
              <w:jc w:val="center"/>
              <w:rPr>
                <w:rFonts w:hint="default"/>
                <w:color w:val="auto"/>
                <w:kern w:val="0"/>
                <w:szCs w:val="21"/>
                <w:highlight w:val="none"/>
                <w:lang w:val="en-US" w:eastAsia="zh-CN"/>
              </w:rPr>
            </w:pPr>
            <w:r>
              <w:rPr>
                <w:rFonts w:hint="eastAsia"/>
                <w:color w:val="auto"/>
                <w:kern w:val="0"/>
                <w:szCs w:val="21"/>
                <w:highlight w:val="none"/>
                <w:lang w:val="en-US" w:eastAsia="zh-CN"/>
              </w:rPr>
              <w:t>0.5906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gridSpan w:val="2"/>
            <w:vMerge w:val="continue"/>
            <w:shd w:val="clear" w:color="auto" w:fill="auto"/>
            <w:vAlign w:val="center"/>
          </w:tcPr>
          <w:p>
            <w:pPr>
              <w:spacing w:line="360" w:lineRule="auto"/>
              <w:jc w:val="center"/>
              <w:rPr>
                <w:rFonts w:hint="eastAsia"/>
                <w:b/>
                <w:bCs/>
                <w:color w:val="auto"/>
                <w:szCs w:val="21"/>
                <w:highlight w:val="none"/>
                <w:lang w:val="en-US" w:eastAsia="zh-CN"/>
              </w:rPr>
            </w:pPr>
          </w:p>
        </w:tc>
        <w:tc>
          <w:tcPr>
            <w:tcW w:w="9370" w:type="dxa"/>
            <w:gridSpan w:val="6"/>
            <w:shd w:val="clear" w:color="auto" w:fill="auto"/>
            <w:vAlign w:val="center"/>
          </w:tcPr>
          <w:p>
            <w:pPr>
              <w:autoSpaceDE w:val="0"/>
              <w:autoSpaceDN w:val="0"/>
              <w:jc w:val="center"/>
              <w:rPr>
                <w:rFonts w:hint="default"/>
                <w:color w:val="auto"/>
                <w:kern w:val="0"/>
                <w:szCs w:val="21"/>
                <w:highlight w:val="none"/>
                <w:lang w:val="en-US" w:eastAsia="zh-CN"/>
              </w:rPr>
            </w:pPr>
            <w:r>
              <w:rPr>
                <w:rFonts w:hint="eastAsia"/>
                <w:color w:val="auto"/>
                <w:kern w:val="0"/>
                <w:szCs w:val="21"/>
                <w:highlight w:val="none"/>
                <w:lang w:val="en-US" w:eastAsia="zh-CN"/>
              </w:rPr>
              <w:t>颗粒物</w:t>
            </w:r>
          </w:p>
        </w:tc>
        <w:tc>
          <w:tcPr>
            <w:tcW w:w="2149" w:type="dxa"/>
            <w:gridSpan w:val="2"/>
            <w:shd w:val="clear" w:color="auto" w:fill="auto"/>
            <w:vAlign w:val="center"/>
          </w:tcPr>
          <w:p>
            <w:pPr>
              <w:autoSpaceDE w:val="0"/>
              <w:autoSpaceDN w:val="0"/>
              <w:jc w:val="center"/>
              <w:rPr>
                <w:rFonts w:hint="default"/>
                <w:color w:val="auto"/>
                <w:kern w:val="0"/>
                <w:szCs w:val="21"/>
                <w:highlight w:val="none"/>
                <w:lang w:val="en-US" w:eastAsia="zh-CN"/>
              </w:rPr>
            </w:pPr>
            <w:r>
              <w:rPr>
                <w:rFonts w:hint="eastAsia"/>
                <w:color w:val="auto"/>
                <w:kern w:val="0"/>
                <w:szCs w:val="21"/>
                <w:highlight w:val="none"/>
                <w:lang w:val="en-US" w:eastAsia="zh-CN"/>
              </w:rPr>
              <w:t>0.00017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gridSpan w:val="2"/>
            <w:vMerge w:val="continue"/>
            <w:shd w:val="clear" w:color="auto" w:fill="auto"/>
            <w:vAlign w:val="center"/>
          </w:tcPr>
          <w:p>
            <w:pPr>
              <w:spacing w:line="360" w:lineRule="auto"/>
              <w:jc w:val="center"/>
              <w:rPr>
                <w:rFonts w:hint="eastAsia"/>
                <w:b/>
                <w:bCs/>
                <w:color w:val="auto"/>
                <w:szCs w:val="21"/>
                <w:highlight w:val="none"/>
                <w:lang w:val="en-US" w:eastAsia="zh-CN"/>
              </w:rPr>
            </w:pPr>
          </w:p>
        </w:tc>
        <w:tc>
          <w:tcPr>
            <w:tcW w:w="9370" w:type="dxa"/>
            <w:gridSpan w:val="6"/>
            <w:shd w:val="clear" w:color="auto" w:fill="auto"/>
            <w:vAlign w:val="center"/>
          </w:tcPr>
          <w:p>
            <w:pPr>
              <w:autoSpaceDE w:val="0"/>
              <w:autoSpaceDN w:val="0"/>
              <w:jc w:val="center"/>
              <w:rPr>
                <w:rFonts w:hint="default"/>
                <w:color w:val="auto"/>
                <w:kern w:val="0"/>
                <w:szCs w:val="21"/>
                <w:highlight w:val="none"/>
                <w:lang w:val="en-US" w:eastAsia="zh-CN"/>
              </w:rPr>
            </w:pPr>
            <w:r>
              <w:rPr>
                <w:rFonts w:hint="eastAsia"/>
                <w:color w:val="auto"/>
                <w:kern w:val="0"/>
                <w:szCs w:val="21"/>
                <w:highlight w:val="none"/>
                <w:lang w:val="en-US" w:eastAsia="zh-CN"/>
              </w:rPr>
              <w:t>臭气浓度</w:t>
            </w:r>
          </w:p>
        </w:tc>
        <w:tc>
          <w:tcPr>
            <w:tcW w:w="2149" w:type="dxa"/>
            <w:gridSpan w:val="2"/>
            <w:shd w:val="clear" w:color="auto" w:fill="auto"/>
            <w:vAlign w:val="center"/>
          </w:tcPr>
          <w:p>
            <w:pPr>
              <w:autoSpaceDE w:val="0"/>
              <w:autoSpaceDN w:val="0"/>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r>
    </w:tbl>
    <w:p>
      <w:pPr>
        <w:spacing w:line="360" w:lineRule="auto"/>
        <w:jc w:val="center"/>
        <w:rPr>
          <w:b/>
          <w:color w:val="auto"/>
          <w:sz w:val="24"/>
          <w:highlight w:val="none"/>
        </w:rPr>
      </w:pPr>
    </w:p>
    <w:p>
      <w:pPr>
        <w:spacing w:line="360" w:lineRule="auto"/>
        <w:jc w:val="center"/>
        <w:rPr>
          <w:b/>
          <w:color w:val="auto"/>
          <w:sz w:val="24"/>
          <w:highlight w:val="none"/>
        </w:rPr>
      </w:pPr>
      <w:r>
        <w:rPr>
          <w:b/>
          <w:color w:val="auto"/>
          <w:sz w:val="24"/>
          <w:highlight w:val="none"/>
        </w:rPr>
        <w:t>表3.5-</w:t>
      </w:r>
      <w:r>
        <w:rPr>
          <w:rFonts w:hint="eastAsia"/>
          <w:b/>
          <w:color w:val="auto"/>
          <w:sz w:val="24"/>
          <w:highlight w:val="none"/>
          <w:lang w:val="en-US" w:eastAsia="zh-CN"/>
        </w:rPr>
        <w:t>3</w:t>
      </w:r>
      <w:r>
        <w:rPr>
          <w:b/>
          <w:color w:val="auto"/>
          <w:sz w:val="24"/>
          <w:highlight w:val="none"/>
        </w:rPr>
        <w:t xml:space="preserve">  项目无组织废气排放量核算表</w:t>
      </w:r>
    </w:p>
    <w:tbl>
      <w:tblPr>
        <w:tblStyle w:val="55"/>
        <w:tblW w:w="13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93"/>
        <w:gridCol w:w="848"/>
        <w:gridCol w:w="1737"/>
        <w:gridCol w:w="2331"/>
        <w:gridCol w:w="900"/>
        <w:gridCol w:w="2984"/>
        <w:gridCol w:w="2000"/>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2" w:type="dxa"/>
            <w:vMerge w:val="restart"/>
            <w:shd w:val="clear" w:color="auto" w:fill="auto"/>
            <w:vAlign w:val="center"/>
          </w:tcPr>
          <w:p>
            <w:pPr>
              <w:spacing w:line="360" w:lineRule="auto"/>
              <w:jc w:val="center"/>
              <w:rPr>
                <w:color w:val="auto"/>
                <w:szCs w:val="21"/>
                <w:highlight w:val="none"/>
              </w:rPr>
            </w:pPr>
            <w:r>
              <w:rPr>
                <w:color w:val="auto"/>
                <w:szCs w:val="21"/>
                <w:highlight w:val="none"/>
              </w:rPr>
              <w:t>序号</w:t>
            </w:r>
          </w:p>
        </w:tc>
        <w:tc>
          <w:tcPr>
            <w:tcW w:w="1093" w:type="dxa"/>
            <w:vMerge w:val="restart"/>
            <w:shd w:val="clear" w:color="auto" w:fill="auto"/>
            <w:vAlign w:val="center"/>
          </w:tcPr>
          <w:p>
            <w:pPr>
              <w:spacing w:line="360" w:lineRule="auto"/>
              <w:jc w:val="center"/>
              <w:rPr>
                <w:color w:val="auto"/>
                <w:szCs w:val="21"/>
                <w:highlight w:val="none"/>
              </w:rPr>
            </w:pPr>
            <w:r>
              <w:rPr>
                <w:color w:val="auto"/>
                <w:szCs w:val="21"/>
                <w:highlight w:val="none"/>
              </w:rPr>
              <w:t>排放口编号</w:t>
            </w:r>
          </w:p>
        </w:tc>
        <w:tc>
          <w:tcPr>
            <w:tcW w:w="848" w:type="dxa"/>
            <w:vMerge w:val="restart"/>
            <w:shd w:val="clear" w:color="auto" w:fill="auto"/>
            <w:vAlign w:val="center"/>
          </w:tcPr>
          <w:p>
            <w:pPr>
              <w:spacing w:line="360" w:lineRule="auto"/>
              <w:jc w:val="center"/>
              <w:rPr>
                <w:color w:val="auto"/>
                <w:szCs w:val="21"/>
                <w:highlight w:val="none"/>
              </w:rPr>
            </w:pPr>
            <w:r>
              <w:rPr>
                <w:color w:val="auto"/>
                <w:szCs w:val="21"/>
                <w:highlight w:val="none"/>
              </w:rPr>
              <w:t>产污环节</w:t>
            </w:r>
          </w:p>
        </w:tc>
        <w:tc>
          <w:tcPr>
            <w:tcW w:w="1737" w:type="dxa"/>
            <w:vMerge w:val="restart"/>
            <w:shd w:val="clear" w:color="auto" w:fill="auto"/>
            <w:vAlign w:val="center"/>
          </w:tcPr>
          <w:p>
            <w:pPr>
              <w:spacing w:line="360" w:lineRule="auto"/>
              <w:jc w:val="center"/>
              <w:rPr>
                <w:color w:val="auto"/>
                <w:szCs w:val="21"/>
                <w:highlight w:val="none"/>
              </w:rPr>
            </w:pPr>
            <w:r>
              <w:rPr>
                <w:color w:val="auto"/>
                <w:szCs w:val="21"/>
                <w:highlight w:val="none"/>
              </w:rPr>
              <w:t>污染物</w:t>
            </w:r>
          </w:p>
        </w:tc>
        <w:tc>
          <w:tcPr>
            <w:tcW w:w="2331" w:type="dxa"/>
            <w:vMerge w:val="restart"/>
            <w:shd w:val="clear" w:color="auto" w:fill="auto"/>
            <w:vAlign w:val="center"/>
          </w:tcPr>
          <w:p>
            <w:pPr>
              <w:spacing w:line="360" w:lineRule="auto"/>
              <w:jc w:val="center"/>
              <w:rPr>
                <w:color w:val="auto"/>
                <w:szCs w:val="21"/>
                <w:highlight w:val="none"/>
              </w:rPr>
            </w:pPr>
            <w:r>
              <w:rPr>
                <w:color w:val="auto"/>
                <w:szCs w:val="21"/>
                <w:highlight w:val="none"/>
              </w:rPr>
              <w:t>主要污染防治措施</w:t>
            </w:r>
          </w:p>
        </w:tc>
        <w:tc>
          <w:tcPr>
            <w:tcW w:w="5884" w:type="dxa"/>
            <w:gridSpan w:val="3"/>
            <w:shd w:val="clear" w:color="auto" w:fill="auto"/>
            <w:vAlign w:val="center"/>
          </w:tcPr>
          <w:p>
            <w:pPr>
              <w:spacing w:line="360" w:lineRule="auto"/>
              <w:jc w:val="center"/>
              <w:rPr>
                <w:color w:val="auto"/>
                <w:szCs w:val="21"/>
                <w:highlight w:val="none"/>
              </w:rPr>
            </w:pPr>
            <w:r>
              <w:rPr>
                <w:color w:val="auto"/>
                <w:szCs w:val="21"/>
                <w:highlight w:val="none"/>
              </w:rPr>
              <w:t>污染物排放标准</w:t>
            </w:r>
          </w:p>
        </w:tc>
        <w:tc>
          <w:tcPr>
            <w:tcW w:w="971" w:type="dxa"/>
            <w:vMerge w:val="restart"/>
            <w:vAlign w:val="center"/>
          </w:tcPr>
          <w:p>
            <w:pPr>
              <w:spacing w:line="360" w:lineRule="auto"/>
              <w:jc w:val="center"/>
              <w:rPr>
                <w:color w:val="auto"/>
                <w:szCs w:val="21"/>
                <w:highlight w:val="none"/>
              </w:rPr>
            </w:pPr>
            <w:r>
              <w:rPr>
                <w:color w:val="auto"/>
                <w:szCs w:val="21"/>
                <w:highlight w:val="none"/>
              </w:rPr>
              <w:t>年排放</w:t>
            </w:r>
            <w:r>
              <w:rPr>
                <w:rFonts w:hint="eastAsia"/>
                <w:color w:val="auto"/>
                <w:szCs w:val="21"/>
                <w:highlight w:val="none"/>
                <w:lang w:val="en-US" w:eastAsia="zh-CN"/>
              </w:rPr>
              <w:t>量</w:t>
            </w:r>
            <w:r>
              <w:rPr>
                <w:color w:val="auto"/>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vMerge w:val="continue"/>
            <w:shd w:val="clear" w:color="auto" w:fill="auto"/>
            <w:vAlign w:val="center"/>
          </w:tcPr>
          <w:p>
            <w:pPr>
              <w:spacing w:line="360" w:lineRule="auto"/>
              <w:jc w:val="center"/>
              <w:rPr>
                <w:color w:val="auto"/>
                <w:szCs w:val="21"/>
                <w:highlight w:val="none"/>
              </w:rPr>
            </w:pPr>
          </w:p>
        </w:tc>
        <w:tc>
          <w:tcPr>
            <w:tcW w:w="1093" w:type="dxa"/>
            <w:vMerge w:val="continue"/>
            <w:shd w:val="clear" w:color="auto" w:fill="auto"/>
            <w:vAlign w:val="center"/>
          </w:tcPr>
          <w:p>
            <w:pPr>
              <w:spacing w:line="360" w:lineRule="auto"/>
              <w:jc w:val="center"/>
              <w:rPr>
                <w:color w:val="auto"/>
                <w:szCs w:val="21"/>
                <w:highlight w:val="none"/>
              </w:rPr>
            </w:pPr>
          </w:p>
        </w:tc>
        <w:tc>
          <w:tcPr>
            <w:tcW w:w="848" w:type="dxa"/>
            <w:vMerge w:val="continue"/>
            <w:shd w:val="clear" w:color="auto" w:fill="auto"/>
            <w:vAlign w:val="center"/>
          </w:tcPr>
          <w:p>
            <w:pPr>
              <w:spacing w:line="360" w:lineRule="auto"/>
              <w:jc w:val="center"/>
              <w:rPr>
                <w:color w:val="auto"/>
                <w:szCs w:val="21"/>
                <w:highlight w:val="none"/>
              </w:rPr>
            </w:pPr>
          </w:p>
        </w:tc>
        <w:tc>
          <w:tcPr>
            <w:tcW w:w="1737" w:type="dxa"/>
            <w:vMerge w:val="continue"/>
            <w:shd w:val="clear" w:color="auto" w:fill="auto"/>
            <w:vAlign w:val="center"/>
          </w:tcPr>
          <w:p>
            <w:pPr>
              <w:spacing w:line="360" w:lineRule="auto"/>
              <w:jc w:val="center"/>
              <w:rPr>
                <w:color w:val="auto"/>
                <w:szCs w:val="21"/>
                <w:highlight w:val="none"/>
              </w:rPr>
            </w:pPr>
          </w:p>
        </w:tc>
        <w:tc>
          <w:tcPr>
            <w:tcW w:w="2331" w:type="dxa"/>
            <w:vMerge w:val="continue"/>
            <w:shd w:val="clear" w:color="auto" w:fill="auto"/>
            <w:vAlign w:val="center"/>
          </w:tcPr>
          <w:p>
            <w:pPr>
              <w:spacing w:line="360" w:lineRule="auto"/>
              <w:jc w:val="center"/>
              <w:rPr>
                <w:color w:val="auto"/>
                <w:szCs w:val="21"/>
                <w:highlight w:val="none"/>
              </w:rPr>
            </w:pPr>
          </w:p>
        </w:tc>
        <w:tc>
          <w:tcPr>
            <w:tcW w:w="900"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排放方式</w:t>
            </w:r>
          </w:p>
        </w:tc>
        <w:tc>
          <w:tcPr>
            <w:tcW w:w="2984" w:type="dxa"/>
            <w:shd w:val="clear" w:color="auto" w:fill="auto"/>
            <w:vAlign w:val="center"/>
          </w:tcPr>
          <w:p>
            <w:pPr>
              <w:spacing w:line="360" w:lineRule="auto"/>
              <w:jc w:val="center"/>
              <w:rPr>
                <w:color w:val="auto"/>
                <w:szCs w:val="21"/>
                <w:highlight w:val="none"/>
              </w:rPr>
            </w:pPr>
            <w:r>
              <w:rPr>
                <w:color w:val="auto"/>
                <w:szCs w:val="21"/>
                <w:highlight w:val="none"/>
              </w:rPr>
              <w:t>标准名称</w:t>
            </w:r>
          </w:p>
        </w:tc>
        <w:tc>
          <w:tcPr>
            <w:tcW w:w="2000" w:type="dxa"/>
            <w:shd w:val="clear" w:color="auto" w:fill="auto"/>
            <w:vAlign w:val="center"/>
          </w:tcPr>
          <w:p>
            <w:pPr>
              <w:spacing w:line="360" w:lineRule="auto"/>
              <w:jc w:val="center"/>
              <w:rPr>
                <w:color w:val="auto"/>
                <w:szCs w:val="21"/>
                <w:highlight w:val="none"/>
              </w:rPr>
            </w:pPr>
            <w:r>
              <w:rPr>
                <w:color w:val="auto"/>
                <w:szCs w:val="21"/>
                <w:highlight w:val="none"/>
              </w:rPr>
              <w:t>浓度限</w:t>
            </w:r>
            <w:r>
              <w:rPr>
                <w:rFonts w:hint="eastAsia"/>
                <w:color w:val="auto"/>
                <w:szCs w:val="21"/>
                <w:highlight w:val="none"/>
                <w:lang w:val="en-US" w:eastAsia="zh-CN"/>
              </w:rPr>
              <w:t>值</w:t>
            </w:r>
            <w:r>
              <w:rPr>
                <w:color w:val="auto"/>
                <w:szCs w:val="21"/>
                <w:highlight w:val="none"/>
              </w:rPr>
              <w:t>（</w:t>
            </w:r>
            <w:r>
              <w:rPr>
                <w:rFonts w:hint="eastAsia"/>
                <w:color w:val="auto"/>
                <w:szCs w:val="21"/>
                <w:highlight w:val="none"/>
              </w:rPr>
              <w:t>m</w:t>
            </w:r>
            <w:r>
              <w:rPr>
                <w:color w:val="auto"/>
                <w:szCs w:val="21"/>
                <w:highlight w:val="none"/>
              </w:rPr>
              <w:t>g/m</w:t>
            </w:r>
            <w:r>
              <w:rPr>
                <w:color w:val="auto"/>
                <w:szCs w:val="21"/>
                <w:highlight w:val="none"/>
                <w:vertAlign w:val="superscript"/>
              </w:rPr>
              <w:t>3</w:t>
            </w:r>
            <w:r>
              <w:rPr>
                <w:color w:val="auto"/>
                <w:szCs w:val="21"/>
                <w:highlight w:val="none"/>
              </w:rPr>
              <w:t>）</w:t>
            </w:r>
          </w:p>
        </w:tc>
        <w:tc>
          <w:tcPr>
            <w:tcW w:w="971" w:type="dxa"/>
            <w:vMerge w:val="continue"/>
            <w:vAlign w:val="center"/>
          </w:tcPr>
          <w:p>
            <w:pPr>
              <w:spacing w:line="36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12"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w:t>
            </w:r>
          </w:p>
        </w:tc>
        <w:tc>
          <w:tcPr>
            <w:tcW w:w="1093" w:type="dxa"/>
            <w:shd w:val="clear" w:color="auto" w:fill="auto"/>
            <w:vAlign w:val="center"/>
          </w:tcPr>
          <w:p>
            <w:pPr>
              <w:spacing w:line="360" w:lineRule="auto"/>
              <w:jc w:val="center"/>
              <w:rPr>
                <w:color w:val="auto"/>
                <w:szCs w:val="21"/>
                <w:highlight w:val="none"/>
              </w:rPr>
            </w:pPr>
            <w:r>
              <w:rPr>
                <w:color w:val="auto"/>
                <w:szCs w:val="21"/>
                <w:highlight w:val="none"/>
              </w:rPr>
              <w:t>生产车间</w:t>
            </w:r>
          </w:p>
        </w:tc>
        <w:tc>
          <w:tcPr>
            <w:tcW w:w="848" w:type="dxa"/>
            <w:shd w:val="clear" w:color="auto" w:fill="auto"/>
            <w:vAlign w:val="center"/>
          </w:tcPr>
          <w:p>
            <w:pPr>
              <w:spacing w:line="360" w:lineRule="auto"/>
              <w:jc w:val="center"/>
              <w:rPr>
                <w:rFonts w:hint="eastAsia" w:eastAsia="宋体"/>
                <w:color w:val="auto"/>
                <w:szCs w:val="21"/>
                <w:highlight w:val="none"/>
                <w:lang w:eastAsia="zh-CN"/>
              </w:rPr>
            </w:pPr>
            <w:r>
              <w:rPr>
                <w:rFonts w:hint="eastAsia"/>
                <w:color w:val="auto"/>
                <w:spacing w:val="-4"/>
                <w:szCs w:val="21"/>
                <w:highlight w:val="none"/>
                <w:lang w:val="en-US" w:eastAsia="zh-CN"/>
              </w:rPr>
              <w:t>拌料</w:t>
            </w:r>
          </w:p>
        </w:tc>
        <w:tc>
          <w:tcPr>
            <w:tcW w:w="1737" w:type="dxa"/>
            <w:shd w:val="clear" w:color="auto" w:fill="auto"/>
            <w:vAlign w:val="center"/>
          </w:tcPr>
          <w:p>
            <w:pPr>
              <w:spacing w:line="360" w:lineRule="auto"/>
              <w:jc w:val="center"/>
              <w:rPr>
                <w:color w:val="auto"/>
                <w:szCs w:val="21"/>
                <w:highlight w:val="none"/>
              </w:rPr>
            </w:pPr>
            <w:r>
              <w:rPr>
                <w:color w:val="auto"/>
                <w:szCs w:val="21"/>
                <w:highlight w:val="none"/>
              </w:rPr>
              <w:t>粉尘（颗粒物）</w:t>
            </w:r>
          </w:p>
        </w:tc>
        <w:tc>
          <w:tcPr>
            <w:tcW w:w="2331" w:type="dxa"/>
            <w:shd w:val="clear" w:color="auto" w:fill="auto"/>
            <w:vAlign w:val="center"/>
          </w:tcPr>
          <w:p>
            <w:pPr>
              <w:spacing w:line="360" w:lineRule="auto"/>
              <w:jc w:val="center"/>
              <w:rPr>
                <w:color w:val="auto"/>
                <w:szCs w:val="21"/>
                <w:highlight w:val="none"/>
              </w:rPr>
            </w:pPr>
            <w:r>
              <w:rPr>
                <w:color w:val="auto"/>
                <w:spacing w:val="-4"/>
                <w:szCs w:val="21"/>
                <w:highlight w:val="none"/>
              </w:rPr>
              <w:t>规范生产操作，</w:t>
            </w:r>
            <w:r>
              <w:rPr>
                <w:rFonts w:hint="eastAsia"/>
                <w:color w:val="auto"/>
                <w:spacing w:val="-4"/>
                <w:szCs w:val="21"/>
                <w:highlight w:val="none"/>
                <w:lang w:val="en-US" w:eastAsia="zh-CN"/>
              </w:rPr>
              <w:t>封闭装置内进行，</w:t>
            </w:r>
            <w:r>
              <w:rPr>
                <w:color w:val="auto"/>
                <w:spacing w:val="-4"/>
                <w:szCs w:val="21"/>
                <w:highlight w:val="none"/>
              </w:rPr>
              <w:t>自然沉降</w:t>
            </w:r>
          </w:p>
        </w:tc>
        <w:tc>
          <w:tcPr>
            <w:tcW w:w="900"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无组织</w:t>
            </w:r>
          </w:p>
        </w:tc>
        <w:tc>
          <w:tcPr>
            <w:tcW w:w="2984" w:type="dxa"/>
            <w:vMerge w:val="restart"/>
            <w:shd w:val="clear" w:color="auto" w:fill="auto"/>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合成树脂工业污染物排放标准</w:t>
            </w:r>
            <w:r>
              <w:rPr>
                <w:rFonts w:hint="eastAsia"/>
                <w:color w:val="auto"/>
                <w:szCs w:val="21"/>
                <w:highlight w:val="none"/>
                <w:lang w:eastAsia="zh-CN"/>
              </w:rPr>
              <w:t>》（</w:t>
            </w:r>
            <w:r>
              <w:rPr>
                <w:rFonts w:hint="eastAsia"/>
                <w:color w:val="auto"/>
                <w:szCs w:val="21"/>
                <w:highlight w:val="none"/>
                <w:lang w:val="en-US" w:eastAsia="zh-CN"/>
              </w:rPr>
              <w:t>GB31572-2015</w:t>
            </w:r>
            <w:r>
              <w:rPr>
                <w:rFonts w:hint="eastAsia"/>
                <w:color w:val="auto"/>
                <w:szCs w:val="21"/>
                <w:highlight w:val="none"/>
                <w:lang w:eastAsia="zh-CN"/>
              </w:rPr>
              <w:t>）</w:t>
            </w:r>
          </w:p>
        </w:tc>
        <w:tc>
          <w:tcPr>
            <w:tcW w:w="2000"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971" w:type="dxa"/>
            <w:vAlign w:val="center"/>
          </w:tcPr>
          <w:p>
            <w:pPr>
              <w:spacing w:line="36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12"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w:t>
            </w:r>
          </w:p>
        </w:tc>
        <w:tc>
          <w:tcPr>
            <w:tcW w:w="1093"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生产车间</w:t>
            </w:r>
          </w:p>
        </w:tc>
        <w:tc>
          <w:tcPr>
            <w:tcW w:w="848" w:type="dxa"/>
            <w:shd w:val="clear" w:color="auto" w:fill="auto"/>
            <w:vAlign w:val="center"/>
          </w:tcPr>
          <w:p>
            <w:pPr>
              <w:spacing w:line="360" w:lineRule="auto"/>
              <w:jc w:val="center"/>
              <w:rPr>
                <w:rFonts w:hint="default"/>
                <w:color w:val="auto"/>
                <w:spacing w:val="-4"/>
                <w:szCs w:val="21"/>
                <w:highlight w:val="none"/>
                <w:lang w:val="en-US" w:eastAsia="zh-CN"/>
              </w:rPr>
            </w:pPr>
            <w:r>
              <w:rPr>
                <w:rFonts w:hint="eastAsia"/>
                <w:color w:val="auto"/>
                <w:spacing w:val="-4"/>
                <w:szCs w:val="21"/>
                <w:highlight w:val="none"/>
                <w:lang w:val="en-US" w:eastAsia="zh-CN"/>
              </w:rPr>
              <w:t>破碎</w:t>
            </w:r>
          </w:p>
        </w:tc>
        <w:tc>
          <w:tcPr>
            <w:tcW w:w="1737"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粉尘（颗粒物）</w:t>
            </w:r>
          </w:p>
        </w:tc>
        <w:tc>
          <w:tcPr>
            <w:tcW w:w="2331" w:type="dxa"/>
            <w:vMerge w:val="restart"/>
            <w:shd w:val="clear" w:color="auto" w:fill="auto"/>
            <w:vAlign w:val="center"/>
          </w:tcPr>
          <w:p>
            <w:pPr>
              <w:spacing w:line="360" w:lineRule="auto"/>
              <w:jc w:val="center"/>
              <w:rPr>
                <w:color w:val="auto"/>
                <w:spacing w:val="-4"/>
                <w:szCs w:val="21"/>
                <w:highlight w:val="none"/>
              </w:rPr>
            </w:pPr>
            <w:r>
              <w:rPr>
                <w:color w:val="auto"/>
                <w:spacing w:val="-4"/>
                <w:szCs w:val="21"/>
                <w:highlight w:val="none"/>
              </w:rPr>
              <w:t>加强车间通风</w:t>
            </w:r>
          </w:p>
        </w:tc>
        <w:tc>
          <w:tcPr>
            <w:tcW w:w="900"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无组织</w:t>
            </w:r>
          </w:p>
        </w:tc>
        <w:tc>
          <w:tcPr>
            <w:tcW w:w="2984" w:type="dxa"/>
            <w:vMerge w:val="continue"/>
            <w:shd w:val="clear" w:color="auto" w:fill="auto"/>
            <w:vAlign w:val="center"/>
          </w:tcPr>
          <w:p>
            <w:pPr>
              <w:spacing w:line="360" w:lineRule="auto"/>
              <w:jc w:val="center"/>
              <w:rPr>
                <w:color w:val="auto"/>
                <w:szCs w:val="21"/>
                <w:highlight w:val="none"/>
              </w:rPr>
            </w:pPr>
          </w:p>
        </w:tc>
        <w:tc>
          <w:tcPr>
            <w:tcW w:w="2000"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971" w:type="dxa"/>
            <w:vAlign w:val="center"/>
          </w:tcPr>
          <w:p>
            <w:pPr>
              <w:spacing w:line="36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0.00018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2" w:type="dxa"/>
            <w:vMerge w:val="restart"/>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093" w:type="dxa"/>
            <w:vMerge w:val="restart"/>
            <w:shd w:val="clear" w:color="auto" w:fill="auto"/>
            <w:vAlign w:val="center"/>
          </w:tcPr>
          <w:p>
            <w:pPr>
              <w:spacing w:line="360" w:lineRule="auto"/>
              <w:jc w:val="center"/>
              <w:rPr>
                <w:rFonts w:hint="default"/>
                <w:color w:val="auto"/>
                <w:szCs w:val="21"/>
                <w:highlight w:val="none"/>
                <w:lang w:val="en-US"/>
              </w:rPr>
            </w:pPr>
            <w:r>
              <w:rPr>
                <w:rFonts w:hint="eastAsia"/>
                <w:color w:val="auto"/>
                <w:spacing w:val="-4"/>
                <w:szCs w:val="21"/>
                <w:highlight w:val="none"/>
                <w:lang w:val="en-US" w:eastAsia="zh-CN"/>
              </w:rPr>
              <w:t>生产车间</w:t>
            </w:r>
          </w:p>
        </w:tc>
        <w:tc>
          <w:tcPr>
            <w:tcW w:w="848" w:type="dxa"/>
            <w:vMerge w:val="restart"/>
            <w:shd w:val="clear" w:color="auto" w:fill="auto"/>
            <w:vAlign w:val="center"/>
          </w:tcPr>
          <w:p>
            <w:pPr>
              <w:spacing w:line="360"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热熔注塑</w:t>
            </w:r>
          </w:p>
        </w:tc>
        <w:tc>
          <w:tcPr>
            <w:tcW w:w="1737"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非甲烷总烃</w:t>
            </w:r>
          </w:p>
        </w:tc>
        <w:tc>
          <w:tcPr>
            <w:tcW w:w="2331" w:type="dxa"/>
            <w:vMerge w:val="continue"/>
            <w:shd w:val="clear" w:color="auto" w:fill="auto"/>
            <w:vAlign w:val="center"/>
          </w:tcPr>
          <w:p>
            <w:pPr>
              <w:spacing w:line="360" w:lineRule="auto"/>
              <w:jc w:val="center"/>
              <w:rPr>
                <w:color w:val="auto"/>
                <w:spacing w:val="-4"/>
                <w:szCs w:val="21"/>
                <w:highlight w:val="none"/>
              </w:rPr>
            </w:pPr>
          </w:p>
        </w:tc>
        <w:tc>
          <w:tcPr>
            <w:tcW w:w="900"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无组织</w:t>
            </w:r>
          </w:p>
        </w:tc>
        <w:tc>
          <w:tcPr>
            <w:tcW w:w="2984" w:type="dxa"/>
            <w:vMerge w:val="continue"/>
            <w:shd w:val="clear" w:color="auto" w:fill="auto"/>
            <w:vAlign w:val="center"/>
          </w:tcPr>
          <w:p>
            <w:pPr>
              <w:spacing w:line="360" w:lineRule="auto"/>
              <w:jc w:val="center"/>
              <w:rPr>
                <w:rFonts w:hint="eastAsia" w:eastAsia="宋体"/>
                <w:color w:val="auto"/>
                <w:szCs w:val="21"/>
                <w:highlight w:val="none"/>
                <w:lang w:eastAsia="zh-CN"/>
              </w:rPr>
            </w:pPr>
          </w:p>
        </w:tc>
        <w:tc>
          <w:tcPr>
            <w:tcW w:w="2000" w:type="dxa"/>
            <w:shd w:val="clear" w:color="auto" w:fill="auto"/>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971" w:type="dxa"/>
            <w:vAlign w:val="center"/>
          </w:tcPr>
          <w:p>
            <w:pPr>
              <w:spacing w:line="36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1.0125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2" w:type="dxa"/>
            <w:vMerge w:val="continue"/>
            <w:shd w:val="clear" w:color="auto" w:fill="auto"/>
            <w:vAlign w:val="center"/>
          </w:tcPr>
          <w:p>
            <w:pPr>
              <w:spacing w:line="360" w:lineRule="auto"/>
              <w:jc w:val="center"/>
              <w:rPr>
                <w:color w:val="auto"/>
                <w:highlight w:val="none"/>
              </w:rPr>
            </w:pPr>
          </w:p>
        </w:tc>
        <w:tc>
          <w:tcPr>
            <w:tcW w:w="1093" w:type="dxa"/>
            <w:vMerge w:val="continue"/>
            <w:shd w:val="clear" w:color="auto" w:fill="auto"/>
            <w:vAlign w:val="center"/>
          </w:tcPr>
          <w:p>
            <w:pPr>
              <w:spacing w:line="360" w:lineRule="auto"/>
              <w:jc w:val="center"/>
              <w:rPr>
                <w:color w:val="auto"/>
                <w:highlight w:val="none"/>
              </w:rPr>
            </w:pPr>
          </w:p>
        </w:tc>
        <w:tc>
          <w:tcPr>
            <w:tcW w:w="848" w:type="dxa"/>
            <w:vMerge w:val="continue"/>
            <w:shd w:val="clear" w:color="auto" w:fill="auto"/>
            <w:vAlign w:val="center"/>
          </w:tcPr>
          <w:p>
            <w:pPr>
              <w:spacing w:line="360" w:lineRule="auto"/>
              <w:jc w:val="center"/>
              <w:rPr>
                <w:color w:val="auto"/>
                <w:highlight w:val="none"/>
              </w:rPr>
            </w:pPr>
          </w:p>
        </w:tc>
        <w:tc>
          <w:tcPr>
            <w:tcW w:w="1737" w:type="dxa"/>
            <w:shd w:val="clear" w:color="auto" w:fill="auto"/>
            <w:vAlign w:val="center"/>
          </w:tcPr>
          <w:p>
            <w:pPr>
              <w:spacing w:line="360" w:lineRule="auto"/>
              <w:jc w:val="center"/>
              <w:rPr>
                <w:color w:val="auto"/>
                <w:szCs w:val="21"/>
                <w:highlight w:val="none"/>
              </w:rPr>
            </w:pPr>
            <w:r>
              <w:rPr>
                <w:color w:val="auto"/>
                <w:szCs w:val="21"/>
                <w:highlight w:val="none"/>
              </w:rPr>
              <w:t>臭气浓度</w:t>
            </w:r>
          </w:p>
        </w:tc>
        <w:tc>
          <w:tcPr>
            <w:tcW w:w="2331" w:type="dxa"/>
            <w:vMerge w:val="continue"/>
            <w:shd w:val="clear" w:color="auto" w:fill="auto"/>
            <w:vAlign w:val="center"/>
          </w:tcPr>
          <w:p>
            <w:pPr>
              <w:spacing w:line="360" w:lineRule="auto"/>
              <w:jc w:val="center"/>
              <w:rPr>
                <w:color w:val="auto"/>
                <w:szCs w:val="21"/>
                <w:highlight w:val="none"/>
              </w:rPr>
            </w:pPr>
          </w:p>
        </w:tc>
        <w:tc>
          <w:tcPr>
            <w:tcW w:w="900"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无组织</w:t>
            </w:r>
          </w:p>
        </w:tc>
        <w:tc>
          <w:tcPr>
            <w:tcW w:w="2984" w:type="dxa"/>
            <w:shd w:val="clear" w:color="auto" w:fill="auto"/>
            <w:vAlign w:val="center"/>
          </w:tcPr>
          <w:p>
            <w:pPr>
              <w:spacing w:line="360" w:lineRule="auto"/>
              <w:jc w:val="center"/>
              <w:rPr>
                <w:rFonts w:hint="eastAsia"/>
                <w:color w:val="auto"/>
                <w:szCs w:val="21"/>
                <w:highlight w:val="none"/>
              </w:rPr>
            </w:pPr>
            <w:r>
              <w:rPr>
                <w:rFonts w:hint="eastAsia"/>
                <w:color w:val="auto"/>
                <w:szCs w:val="21"/>
                <w:highlight w:val="none"/>
              </w:rPr>
              <w:t>《恶臭污染物排放标准》（GB14554-93）</w:t>
            </w:r>
          </w:p>
        </w:tc>
        <w:tc>
          <w:tcPr>
            <w:tcW w:w="2000" w:type="dxa"/>
            <w:shd w:val="clear" w:color="auto" w:fill="auto"/>
            <w:vAlign w:val="center"/>
          </w:tcPr>
          <w:p>
            <w:pPr>
              <w:spacing w:line="360" w:lineRule="auto"/>
              <w:jc w:val="center"/>
              <w:rPr>
                <w:color w:val="auto"/>
                <w:szCs w:val="21"/>
                <w:highlight w:val="none"/>
              </w:rPr>
            </w:pPr>
            <w:r>
              <w:rPr>
                <w:bCs/>
                <w:color w:val="auto"/>
                <w:szCs w:val="21"/>
                <w:highlight w:val="none"/>
              </w:rPr>
              <w:t>＜20（无量纲）</w:t>
            </w:r>
          </w:p>
        </w:tc>
        <w:tc>
          <w:tcPr>
            <w:tcW w:w="971"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0" w:type="dxa"/>
            <w:gridSpan w:val="4"/>
            <w:vMerge w:val="restart"/>
            <w:shd w:val="clear" w:color="auto" w:fill="auto"/>
            <w:vAlign w:val="center"/>
          </w:tcPr>
          <w:p>
            <w:pPr>
              <w:spacing w:line="360" w:lineRule="auto"/>
              <w:jc w:val="center"/>
              <w:rPr>
                <w:bCs/>
                <w:color w:val="auto"/>
                <w:szCs w:val="21"/>
                <w:highlight w:val="none"/>
              </w:rPr>
            </w:pPr>
            <w:r>
              <w:rPr>
                <w:b/>
                <w:color w:val="auto"/>
                <w:szCs w:val="21"/>
                <w:highlight w:val="none"/>
              </w:rPr>
              <w:t>无组织排放总计</w:t>
            </w:r>
          </w:p>
        </w:tc>
        <w:tc>
          <w:tcPr>
            <w:tcW w:w="6215" w:type="dxa"/>
            <w:gridSpan w:val="3"/>
            <w:shd w:val="clear" w:color="auto" w:fill="auto"/>
            <w:vAlign w:val="center"/>
          </w:tcPr>
          <w:p>
            <w:pPr>
              <w:spacing w:line="360" w:lineRule="auto"/>
              <w:jc w:val="center"/>
              <w:rPr>
                <w:bCs/>
                <w:color w:val="auto"/>
                <w:szCs w:val="21"/>
                <w:highlight w:val="none"/>
              </w:rPr>
            </w:pPr>
            <w:r>
              <w:rPr>
                <w:rFonts w:hint="eastAsia"/>
                <w:bCs/>
                <w:color w:val="auto"/>
                <w:szCs w:val="21"/>
                <w:highlight w:val="none"/>
                <w:lang w:val="en-US" w:eastAsia="zh-CN"/>
              </w:rPr>
              <w:t>挥发性有机物</w:t>
            </w:r>
            <w:r>
              <w:rPr>
                <w:bCs/>
                <w:color w:val="auto"/>
                <w:szCs w:val="21"/>
                <w:highlight w:val="none"/>
              </w:rPr>
              <w:t>（非甲烷总烃）</w:t>
            </w:r>
          </w:p>
        </w:tc>
        <w:tc>
          <w:tcPr>
            <w:tcW w:w="2000" w:type="dxa"/>
            <w:shd w:val="clear" w:color="auto" w:fill="auto"/>
            <w:vAlign w:val="center"/>
          </w:tcPr>
          <w:p>
            <w:pPr>
              <w:spacing w:line="360" w:lineRule="auto"/>
              <w:jc w:val="center"/>
              <w:rPr>
                <w:color w:val="auto"/>
                <w:szCs w:val="21"/>
                <w:highlight w:val="none"/>
              </w:rPr>
            </w:pPr>
            <w:r>
              <w:rPr>
                <w:rFonts w:hint="eastAsia"/>
                <w:color w:val="auto"/>
                <w:szCs w:val="21"/>
                <w:highlight w:val="none"/>
              </w:rPr>
              <w:t>4.0</w:t>
            </w:r>
          </w:p>
        </w:tc>
        <w:tc>
          <w:tcPr>
            <w:tcW w:w="971"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1.1813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0" w:type="dxa"/>
            <w:gridSpan w:val="4"/>
            <w:vMerge w:val="continue"/>
            <w:shd w:val="clear" w:color="auto" w:fill="auto"/>
            <w:vAlign w:val="center"/>
          </w:tcPr>
          <w:p>
            <w:pPr>
              <w:spacing w:line="360" w:lineRule="auto"/>
              <w:jc w:val="center"/>
              <w:rPr>
                <w:bCs/>
                <w:color w:val="auto"/>
                <w:szCs w:val="21"/>
                <w:highlight w:val="none"/>
              </w:rPr>
            </w:pPr>
          </w:p>
        </w:tc>
        <w:tc>
          <w:tcPr>
            <w:tcW w:w="6215" w:type="dxa"/>
            <w:gridSpan w:val="3"/>
            <w:shd w:val="clear" w:color="auto" w:fill="auto"/>
            <w:vAlign w:val="center"/>
          </w:tcPr>
          <w:p>
            <w:pPr>
              <w:spacing w:line="360" w:lineRule="auto"/>
              <w:jc w:val="center"/>
              <w:rPr>
                <w:bCs/>
                <w:color w:val="auto"/>
                <w:szCs w:val="21"/>
                <w:highlight w:val="none"/>
              </w:rPr>
            </w:pPr>
            <w:r>
              <w:rPr>
                <w:bCs/>
                <w:color w:val="auto"/>
                <w:szCs w:val="21"/>
                <w:highlight w:val="none"/>
              </w:rPr>
              <w:t>颗粒物</w:t>
            </w:r>
          </w:p>
        </w:tc>
        <w:tc>
          <w:tcPr>
            <w:tcW w:w="2000" w:type="dxa"/>
            <w:shd w:val="clear" w:color="auto" w:fill="auto"/>
            <w:vAlign w:val="center"/>
          </w:tcPr>
          <w:p>
            <w:pPr>
              <w:spacing w:line="360" w:lineRule="auto"/>
              <w:jc w:val="center"/>
              <w:rPr>
                <w:color w:val="auto"/>
                <w:szCs w:val="21"/>
                <w:highlight w:val="none"/>
              </w:rPr>
            </w:pPr>
            <w:r>
              <w:rPr>
                <w:rFonts w:hint="eastAsia"/>
                <w:color w:val="auto"/>
                <w:szCs w:val="21"/>
                <w:highlight w:val="none"/>
              </w:rPr>
              <w:t>1.0</w:t>
            </w:r>
          </w:p>
        </w:tc>
        <w:tc>
          <w:tcPr>
            <w:tcW w:w="971"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0.06318</w:t>
            </w:r>
          </w:p>
        </w:tc>
      </w:tr>
    </w:tbl>
    <w:p>
      <w:pPr>
        <w:spacing w:line="360" w:lineRule="auto"/>
        <w:rPr>
          <w:color w:val="auto"/>
          <w:kern w:val="0"/>
          <w:sz w:val="24"/>
          <w:highlight w:val="none"/>
          <w:lang w:bidi="en-US"/>
        </w:rPr>
        <w:sectPr>
          <w:pgSz w:w="16838" w:h="11906" w:orient="landscape"/>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keepNext/>
        <w:keepLines/>
        <w:spacing w:line="360" w:lineRule="auto"/>
        <w:outlineLvl w:val="2"/>
        <w:rPr>
          <w:b/>
          <w:bCs/>
          <w:color w:val="auto"/>
          <w:sz w:val="24"/>
          <w:highlight w:val="none"/>
        </w:rPr>
      </w:pPr>
      <w:bookmarkStart w:id="438" w:name="_Toc341369444"/>
      <w:bookmarkStart w:id="439" w:name="_Toc367282063"/>
      <w:bookmarkStart w:id="440" w:name="_Toc75908672"/>
      <w:bookmarkStart w:id="441" w:name="_Toc21987"/>
      <w:bookmarkStart w:id="442" w:name="_Toc367281480"/>
      <w:bookmarkStart w:id="443" w:name="_Toc275730366"/>
      <w:bookmarkStart w:id="444" w:name="_Toc275002002"/>
      <w:r>
        <w:rPr>
          <w:b/>
          <w:bCs/>
          <w:color w:val="auto"/>
          <w:sz w:val="24"/>
          <w:highlight w:val="none"/>
        </w:rPr>
        <w:t>3.5.2废水</w:t>
      </w:r>
      <w:bookmarkEnd w:id="438"/>
      <w:bookmarkEnd w:id="439"/>
      <w:bookmarkEnd w:id="440"/>
      <w:bookmarkEnd w:id="441"/>
      <w:bookmarkEnd w:id="442"/>
      <w:bookmarkEnd w:id="443"/>
      <w:bookmarkEnd w:id="444"/>
    </w:p>
    <w:p>
      <w:pPr>
        <w:spacing w:line="360" w:lineRule="auto"/>
        <w:ind w:firstLine="480" w:firstLineChars="200"/>
        <w:rPr>
          <w:color w:val="auto"/>
          <w:sz w:val="24"/>
          <w:highlight w:val="none"/>
        </w:rPr>
      </w:pPr>
      <w:bookmarkStart w:id="445" w:name="_Toc275730367"/>
      <w:bookmarkStart w:id="446" w:name="_Toc275002003"/>
      <w:bookmarkStart w:id="447" w:name="_Toc367282064"/>
      <w:bookmarkStart w:id="448" w:name="_Toc367281481"/>
      <w:bookmarkStart w:id="449" w:name="_Toc341369445"/>
      <w:r>
        <w:rPr>
          <w:color w:val="auto"/>
          <w:sz w:val="24"/>
          <w:highlight w:val="none"/>
        </w:rPr>
        <w:t>本项目产生的废水主要为生产废水和生活污水。</w:t>
      </w:r>
    </w:p>
    <w:p>
      <w:pPr>
        <w:spacing w:line="360" w:lineRule="auto"/>
        <w:ind w:firstLine="480" w:firstLineChars="200"/>
        <w:rPr>
          <w:color w:val="auto"/>
          <w:sz w:val="24"/>
          <w:highlight w:val="none"/>
        </w:rPr>
      </w:pPr>
      <w:r>
        <w:rPr>
          <w:color w:val="auto"/>
          <w:sz w:val="24"/>
          <w:highlight w:val="none"/>
        </w:rPr>
        <w:t>（1）生产废水</w:t>
      </w:r>
    </w:p>
    <w:p>
      <w:pPr>
        <w:spacing w:line="360" w:lineRule="auto"/>
        <w:ind w:firstLine="480" w:firstLineChars="200"/>
        <w:rPr>
          <w:color w:val="auto"/>
          <w:sz w:val="24"/>
          <w:highlight w:val="none"/>
        </w:rPr>
      </w:pPr>
      <w:r>
        <w:rPr>
          <w:color w:val="auto"/>
          <w:sz w:val="24"/>
          <w:highlight w:val="none"/>
        </w:rPr>
        <w:t>生产废水</w:t>
      </w:r>
      <w:r>
        <w:rPr>
          <w:rFonts w:hint="eastAsia"/>
          <w:color w:val="auto"/>
          <w:sz w:val="24"/>
          <w:highlight w:val="none"/>
          <w:lang w:val="en-US" w:eastAsia="zh-CN"/>
        </w:rPr>
        <w:t>主要为冷却水和车间地面清洗废水</w:t>
      </w:r>
      <w:r>
        <w:rPr>
          <w:color w:val="auto"/>
          <w:sz w:val="24"/>
          <w:highlight w:val="none"/>
        </w:rPr>
        <w:t>。</w:t>
      </w:r>
    </w:p>
    <w:p>
      <w:pPr>
        <w:spacing w:line="360" w:lineRule="auto"/>
        <w:ind w:firstLine="480" w:firstLineChars="200"/>
        <w:rPr>
          <w:color w:val="auto"/>
          <w:sz w:val="24"/>
          <w:highlight w:val="none"/>
        </w:rPr>
      </w:pPr>
      <w:r>
        <w:rPr>
          <w:color w:val="auto"/>
          <w:sz w:val="24"/>
          <w:highlight w:val="none"/>
        </w:rPr>
        <w:t>①</w:t>
      </w:r>
      <w:r>
        <w:rPr>
          <w:rFonts w:hint="eastAsia"/>
          <w:color w:val="auto"/>
          <w:sz w:val="24"/>
          <w:highlight w:val="none"/>
          <w:lang w:val="en-US" w:eastAsia="zh-CN"/>
        </w:rPr>
        <w:t>冷却</w:t>
      </w:r>
      <w:r>
        <w:rPr>
          <w:color w:val="auto"/>
          <w:sz w:val="24"/>
          <w:highlight w:val="none"/>
        </w:rPr>
        <w:t>水</w:t>
      </w:r>
      <w:r>
        <w:rPr>
          <w:rFonts w:hint="eastAsia"/>
          <w:color w:val="auto"/>
          <w:sz w:val="24"/>
          <w:highlight w:val="none"/>
        </w:rPr>
        <w:t>（W1）</w:t>
      </w:r>
    </w:p>
    <w:p>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本项目原料通过热熔注塑工序挤出成型后采用间接冷却方式进行冷却，</w:t>
      </w:r>
      <w:r>
        <w:rPr>
          <w:rFonts w:hint="default" w:ascii="Times New Roman" w:hAnsi="Times New Roman" w:cs="Times New Roman"/>
          <w:color w:val="auto"/>
          <w:sz w:val="24"/>
          <w:highlight w:val="none"/>
        </w:rPr>
        <w:t>根据</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 xml:space="preserve"> 水平衡，本项目冷却水使用量为</w:t>
      </w:r>
      <w:r>
        <w:rPr>
          <w:rFonts w:hint="eastAsia" w:cs="Times New Roman"/>
          <w:color w:val="auto"/>
          <w:sz w:val="24"/>
          <w:highlight w:val="none"/>
          <w:lang w:val="en-US" w:eastAsia="zh-CN"/>
        </w:rPr>
        <w:t>33.3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10000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rPr>
        <w:t>设置1 座</w:t>
      </w:r>
      <w:r>
        <w:rPr>
          <w:rFonts w:hint="eastAsia" w:cs="Times New Roman"/>
          <w:color w:val="auto"/>
          <w:sz w:val="24"/>
          <w:highlight w:val="none"/>
          <w:lang w:val="en-US" w:eastAsia="zh-CN"/>
        </w:rPr>
        <w:t>31</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冷却循环水池，</w:t>
      </w:r>
      <w:r>
        <w:rPr>
          <w:rFonts w:hint="eastAsia" w:cs="Times New Roman"/>
          <w:color w:val="auto"/>
          <w:sz w:val="24"/>
          <w:highlight w:val="none"/>
          <w:lang w:val="en-US" w:eastAsia="zh-CN"/>
        </w:rPr>
        <w:t>冷却水循环使用量为30.83m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/d，9250m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rPr>
        <w:t>冷却水经冷却后循环使用不外排，仅定期补充新鲜水。</w:t>
      </w:r>
    </w:p>
    <w:p>
      <w:pPr>
        <w:spacing w:line="360" w:lineRule="auto"/>
        <w:ind w:firstLine="480" w:firstLineChars="200"/>
        <w:rPr>
          <w:color w:val="auto"/>
          <w:sz w:val="24"/>
          <w:highlight w:val="none"/>
        </w:rPr>
      </w:pPr>
      <w:r>
        <w:rPr>
          <w:color w:val="auto"/>
          <w:sz w:val="24"/>
          <w:highlight w:val="none"/>
        </w:rPr>
        <w:t>②</w:t>
      </w:r>
      <w:r>
        <w:rPr>
          <w:rFonts w:hint="eastAsia"/>
          <w:color w:val="auto"/>
          <w:sz w:val="24"/>
          <w:highlight w:val="none"/>
          <w:lang w:val="en-US" w:eastAsia="zh-CN"/>
        </w:rPr>
        <w:t>车间地面清洗废水</w:t>
      </w:r>
      <w:r>
        <w:rPr>
          <w:rFonts w:hint="eastAsia"/>
          <w:color w:val="auto"/>
          <w:sz w:val="24"/>
          <w:highlight w:val="none"/>
        </w:rPr>
        <w:t>（W2）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rPr>
        <w:t>根据</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 xml:space="preserve"> 水平衡，</w:t>
      </w:r>
      <w:r>
        <w:rPr>
          <w:rFonts w:hint="default" w:ascii="Times New Roman" w:hAnsi="Times New Roman" w:cs="Times New Roman"/>
          <w:color w:val="auto"/>
          <w:sz w:val="24"/>
          <w:highlight w:val="none"/>
          <w:lang w:val="en-US" w:eastAsia="zh-CN"/>
        </w:rPr>
        <w:t>本项目车间地面清洗废水产生量为</w:t>
      </w:r>
      <w:r>
        <w:rPr>
          <w:rFonts w:hint="eastAsia" w:cs="Times New Roman"/>
          <w:color w:val="auto"/>
          <w:sz w:val="24"/>
          <w:highlight w:val="none"/>
          <w:lang w:val="en-US" w:eastAsia="zh-CN"/>
        </w:rPr>
        <w:t>0.18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54</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/a，车</w:t>
      </w:r>
      <w:r>
        <w:rPr>
          <w:rFonts w:hint="default" w:ascii="Times New Roman" w:hAnsi="Times New Roman" w:cs="Times New Roman"/>
          <w:color w:val="auto"/>
          <w:sz w:val="24"/>
          <w:highlight w:val="none"/>
        </w:rPr>
        <w:t>间地面清洗废水</w:t>
      </w:r>
      <w:r>
        <w:rPr>
          <w:rFonts w:hint="eastAsia" w:cs="Times New Roman"/>
          <w:color w:val="auto"/>
          <w:sz w:val="24"/>
          <w:highlight w:val="none"/>
          <w:lang w:val="en-US" w:eastAsia="zh-CN"/>
        </w:rPr>
        <w:t>与生活污水一起经化粪池收集处理后，由建设单位自行清运至寻甸县水质净化厂处理</w:t>
      </w:r>
      <w:r>
        <w:rPr>
          <w:rFonts w:hint="default" w:ascii="Times New Roman" w:hAnsi="Times New Roman" w:cs="Times New Roman"/>
          <w:color w:val="auto"/>
          <w:sz w:val="24"/>
          <w:highlight w:val="none"/>
        </w:rPr>
        <w:t>。</w:t>
      </w:r>
    </w:p>
    <w:p>
      <w:pPr>
        <w:spacing w:line="360" w:lineRule="auto"/>
        <w:ind w:firstLine="480" w:firstLineChars="200"/>
        <w:rPr>
          <w:color w:val="auto"/>
          <w:sz w:val="24"/>
          <w:highlight w:val="none"/>
        </w:rPr>
      </w:pPr>
      <w:r>
        <w:rPr>
          <w:color w:val="auto"/>
          <w:sz w:val="24"/>
          <w:highlight w:val="none"/>
        </w:rPr>
        <w:t>（2）生活污水</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40" w:firstLineChars="225"/>
        <w:textAlignment w:val="auto"/>
        <w:rPr>
          <w:color w:val="auto"/>
          <w:sz w:val="24"/>
          <w:highlight w:val="none"/>
        </w:rPr>
      </w:pPr>
      <w:r>
        <w:rPr>
          <w:rFonts w:hint="default" w:ascii="Times New Roman" w:hAnsi="Times New Roman" w:cs="Times New Roman"/>
          <w:color w:val="auto"/>
          <w:sz w:val="24"/>
          <w:highlight w:val="none"/>
        </w:rPr>
        <w:t>根据</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.3.1 水平衡，</w:t>
      </w:r>
      <w:r>
        <w:rPr>
          <w:rFonts w:hint="default" w:ascii="Times New Roman" w:hAnsi="Times New Roman" w:cs="Times New Roman"/>
          <w:color w:val="auto"/>
          <w:sz w:val="24"/>
          <w:highlight w:val="none"/>
          <w:lang w:val="en-US" w:eastAsia="zh-CN"/>
        </w:rPr>
        <w:t>生活污水仅为员工办公污水</w:t>
      </w:r>
      <w:r>
        <w:rPr>
          <w:rFonts w:hint="default" w:ascii="Times New Roman" w:hAnsi="Times New Roman" w:cs="Times New Roman"/>
          <w:color w:val="auto"/>
          <w:sz w:val="24"/>
          <w:highlight w:val="none"/>
        </w:rPr>
        <w:t>（员工办公洗手</w:t>
      </w:r>
      <w:r>
        <w:rPr>
          <w:rFonts w:hint="default" w:ascii="Times New Roman" w:hAnsi="Times New Roman" w:cs="Times New Roman"/>
          <w:color w:val="auto"/>
          <w:sz w:val="24"/>
          <w:highlight w:val="none"/>
          <w:lang w:val="en-US" w:eastAsia="zh-CN"/>
        </w:rPr>
        <w:t>污</w:t>
      </w:r>
      <w:r>
        <w:rPr>
          <w:rFonts w:hint="default" w:ascii="Times New Roman" w:hAnsi="Times New Roman" w:cs="Times New Roman"/>
          <w:color w:val="auto"/>
          <w:sz w:val="24"/>
          <w:highlight w:val="none"/>
        </w:rPr>
        <w:t>水）</w:t>
      </w:r>
      <w:r>
        <w:rPr>
          <w:rFonts w:hint="default" w:ascii="Times New Roman" w:hAnsi="Times New Roman" w:cs="Times New Roman"/>
          <w:color w:val="auto"/>
          <w:sz w:val="24"/>
          <w:highlight w:val="none"/>
          <w:lang w:val="en-US" w:eastAsia="zh-CN"/>
        </w:rPr>
        <w:t>为</w:t>
      </w:r>
      <w:r>
        <w:rPr>
          <w:rFonts w:hint="eastAsia" w:cs="Times New Roman"/>
          <w:color w:val="auto"/>
          <w:sz w:val="24"/>
          <w:highlight w:val="none"/>
          <w:lang w:val="en-US" w:eastAsia="zh-CN"/>
        </w:rPr>
        <w:t>0.1992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59.76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生</w:t>
      </w:r>
      <w:r>
        <w:rPr>
          <w:rFonts w:hint="default" w:ascii="Times New Roman" w:hAnsi="Times New Roman" w:cs="Times New Roman"/>
          <w:color w:val="auto"/>
          <w:sz w:val="24"/>
          <w:highlight w:val="none"/>
          <w:lang w:eastAsia="zh-CN"/>
        </w:rPr>
        <w:t>活污水仅为员工</w:t>
      </w:r>
      <w:r>
        <w:rPr>
          <w:rFonts w:hint="eastAsia" w:cs="Times New Roman"/>
          <w:color w:val="auto"/>
          <w:sz w:val="24"/>
          <w:highlight w:val="none"/>
          <w:lang w:eastAsia="zh-CN"/>
        </w:rPr>
        <w:t>办公</w:t>
      </w:r>
      <w:r>
        <w:rPr>
          <w:rFonts w:hint="default" w:ascii="Times New Roman" w:hAnsi="Times New Roman" w:cs="Times New Roman"/>
          <w:color w:val="auto"/>
          <w:sz w:val="24"/>
          <w:highlight w:val="none"/>
          <w:lang w:eastAsia="zh-CN"/>
        </w:rPr>
        <w:t>用水（洗手污水）</w:t>
      </w:r>
      <w:r>
        <w:rPr>
          <w:rFonts w:hint="eastAsia" w:cs="Times New Roman"/>
          <w:color w:val="auto"/>
          <w:sz w:val="24"/>
          <w:highlight w:val="none"/>
          <w:lang w:eastAsia="zh-CN"/>
        </w:rPr>
        <w:t>，</w:t>
      </w:r>
      <w:r>
        <w:rPr>
          <w:rFonts w:hint="eastAsia" w:cs="Times New Roman"/>
          <w:color w:val="auto"/>
          <w:sz w:val="24"/>
          <w:highlight w:val="none"/>
          <w:lang w:val="en-US" w:eastAsia="zh-CN"/>
        </w:rPr>
        <w:t>经厂内已建化粪池收集处理后，由建设单位清运至寻甸县水质净化厂处理。</w:t>
      </w:r>
    </w:p>
    <w:p>
      <w:pPr>
        <w:adjustRightInd w:val="0"/>
        <w:snapToGrid w:val="0"/>
        <w:spacing w:line="360" w:lineRule="auto"/>
        <w:ind w:firstLine="480" w:firstLineChars="200"/>
        <w:rPr>
          <w:color w:val="auto"/>
          <w:highlight w:val="none"/>
        </w:rPr>
      </w:pPr>
      <w:r>
        <w:rPr>
          <w:rFonts w:hint="eastAsia"/>
          <w:color w:val="auto"/>
          <w:sz w:val="24"/>
          <w:highlight w:val="none"/>
        </w:rPr>
        <w:t>生活污水主要污染物为C</w:t>
      </w:r>
      <w:r>
        <w:rPr>
          <w:color w:val="auto"/>
          <w:sz w:val="24"/>
          <w:highlight w:val="none"/>
        </w:rPr>
        <w:t>OD</w:t>
      </w:r>
      <w:r>
        <w:rPr>
          <w:rFonts w:hint="eastAsia"/>
          <w:color w:val="auto"/>
          <w:sz w:val="24"/>
          <w:highlight w:val="none"/>
        </w:rPr>
        <w:t>、BOD</w:t>
      </w:r>
      <w:r>
        <w:rPr>
          <w:rFonts w:hint="eastAsia"/>
          <w:color w:val="auto"/>
          <w:sz w:val="24"/>
          <w:highlight w:val="none"/>
          <w:vertAlign w:val="subscript"/>
        </w:rPr>
        <w:t>5</w:t>
      </w:r>
      <w:r>
        <w:rPr>
          <w:rFonts w:hint="eastAsia"/>
          <w:color w:val="auto"/>
          <w:sz w:val="24"/>
          <w:highlight w:val="none"/>
        </w:rPr>
        <w:t>、氨氮、S</w:t>
      </w:r>
      <w:r>
        <w:rPr>
          <w:color w:val="auto"/>
          <w:sz w:val="24"/>
          <w:highlight w:val="none"/>
        </w:rPr>
        <w:t>S</w:t>
      </w:r>
      <w:r>
        <w:rPr>
          <w:rFonts w:hint="eastAsia"/>
          <w:color w:val="auto"/>
          <w:sz w:val="24"/>
          <w:highlight w:val="none"/>
        </w:rPr>
        <w:t>等</w:t>
      </w:r>
      <w:r>
        <w:rPr>
          <w:rFonts w:hint="eastAsia" w:cs="Times New Roman"/>
          <w:color w:val="auto"/>
          <w:sz w:val="24"/>
          <w:highlight w:val="none"/>
          <w:lang w:val="en-US" w:eastAsia="zh-CN"/>
        </w:rPr>
        <w:t>，根据《我国城市生活污水水质统计数据》，城镇生活污水中污</w:t>
      </w:r>
      <w:r>
        <w:rPr>
          <w:rFonts w:hint="eastAsia"/>
          <w:color w:val="auto"/>
          <w:sz w:val="24"/>
          <w:highlight w:val="none"/>
        </w:rPr>
        <w:t>染物浓度一般为C</w:t>
      </w:r>
      <w:r>
        <w:rPr>
          <w:color w:val="auto"/>
          <w:sz w:val="24"/>
          <w:highlight w:val="none"/>
        </w:rPr>
        <w:t>OD</w:t>
      </w:r>
      <w:r>
        <w:rPr>
          <w:rFonts w:hint="eastAsia"/>
          <w:color w:val="auto"/>
          <w:sz w:val="24"/>
          <w:highlight w:val="none"/>
        </w:rPr>
        <w:t>：</w:t>
      </w:r>
      <w:r>
        <w:rPr>
          <w:rFonts w:hint="eastAsia"/>
          <w:color w:val="auto"/>
          <w:sz w:val="24"/>
          <w:highlight w:val="none"/>
          <w:lang w:val="en-US" w:eastAsia="zh-CN"/>
        </w:rPr>
        <w:t>400</w:t>
      </w:r>
      <w:r>
        <w:rPr>
          <w:rFonts w:hint="eastAsia"/>
          <w:color w:val="auto"/>
          <w:sz w:val="24"/>
          <w:highlight w:val="none"/>
        </w:rPr>
        <w:t>mg</w:t>
      </w:r>
      <w:r>
        <w:rPr>
          <w:color w:val="auto"/>
          <w:sz w:val="24"/>
          <w:highlight w:val="none"/>
        </w:rPr>
        <w:t>/L</w:t>
      </w:r>
      <w:r>
        <w:rPr>
          <w:rFonts w:hint="eastAsia"/>
          <w:color w:val="auto"/>
          <w:sz w:val="24"/>
          <w:highlight w:val="none"/>
        </w:rPr>
        <w:t>、BOD</w:t>
      </w:r>
      <w:r>
        <w:rPr>
          <w:rFonts w:hint="eastAsia"/>
          <w:color w:val="auto"/>
          <w:sz w:val="24"/>
          <w:highlight w:val="none"/>
          <w:vertAlign w:val="subscript"/>
        </w:rPr>
        <w:t>5</w:t>
      </w:r>
      <w:r>
        <w:rPr>
          <w:rFonts w:hint="eastAsia"/>
          <w:color w:val="auto"/>
          <w:sz w:val="24"/>
          <w:highlight w:val="none"/>
        </w:rPr>
        <w:t>：</w:t>
      </w:r>
      <w:r>
        <w:rPr>
          <w:rFonts w:hint="eastAsia"/>
          <w:color w:val="auto"/>
          <w:sz w:val="24"/>
          <w:highlight w:val="none"/>
          <w:lang w:val="en-US" w:eastAsia="zh-CN"/>
        </w:rPr>
        <w:t>20</w:t>
      </w:r>
      <w:r>
        <w:rPr>
          <w:rFonts w:hint="eastAsia"/>
          <w:color w:val="auto"/>
          <w:sz w:val="24"/>
          <w:highlight w:val="none"/>
        </w:rPr>
        <w:t>0mg/L；S</w:t>
      </w:r>
      <w:r>
        <w:rPr>
          <w:color w:val="auto"/>
          <w:sz w:val="24"/>
          <w:highlight w:val="none"/>
        </w:rPr>
        <w:t>S</w:t>
      </w:r>
      <w:r>
        <w:rPr>
          <w:rFonts w:hint="eastAsia"/>
          <w:color w:val="auto"/>
          <w:sz w:val="24"/>
          <w:highlight w:val="none"/>
        </w:rPr>
        <w:t>：</w:t>
      </w:r>
      <w:r>
        <w:rPr>
          <w:rFonts w:hint="eastAsia"/>
          <w:color w:val="auto"/>
          <w:sz w:val="24"/>
          <w:highlight w:val="none"/>
          <w:lang w:val="en-US" w:eastAsia="zh-CN"/>
        </w:rPr>
        <w:t>220</w:t>
      </w:r>
      <w:r>
        <w:rPr>
          <w:rFonts w:hint="eastAsia"/>
          <w:color w:val="auto"/>
          <w:sz w:val="24"/>
          <w:highlight w:val="none"/>
        </w:rPr>
        <w:t>mg</w:t>
      </w:r>
      <w:r>
        <w:rPr>
          <w:color w:val="auto"/>
          <w:sz w:val="24"/>
          <w:highlight w:val="none"/>
        </w:rPr>
        <w:t>/L</w:t>
      </w:r>
      <w:r>
        <w:rPr>
          <w:rFonts w:hint="eastAsia"/>
          <w:color w:val="auto"/>
          <w:sz w:val="24"/>
          <w:highlight w:val="none"/>
        </w:rPr>
        <w:t>、氨氮</w:t>
      </w:r>
      <w:r>
        <w:rPr>
          <w:rFonts w:hint="eastAsia"/>
          <w:color w:val="auto"/>
          <w:sz w:val="24"/>
          <w:highlight w:val="none"/>
          <w:lang w:eastAsia="zh-CN"/>
        </w:rPr>
        <w:t>：</w:t>
      </w:r>
      <w:r>
        <w:rPr>
          <w:rFonts w:hint="eastAsia"/>
          <w:color w:val="auto"/>
          <w:sz w:val="24"/>
          <w:highlight w:val="none"/>
          <w:lang w:val="en-US" w:eastAsia="zh-CN"/>
        </w:rPr>
        <w:t>25</w:t>
      </w:r>
      <w:r>
        <w:rPr>
          <w:rFonts w:hint="eastAsia"/>
          <w:color w:val="auto"/>
          <w:sz w:val="24"/>
          <w:highlight w:val="none"/>
        </w:rPr>
        <w:t>mg</w:t>
      </w:r>
      <w:r>
        <w:rPr>
          <w:color w:val="auto"/>
          <w:sz w:val="24"/>
          <w:highlight w:val="none"/>
        </w:rPr>
        <w:t>/L</w:t>
      </w:r>
      <w:r>
        <w:rPr>
          <w:rFonts w:hint="eastAsia"/>
          <w:color w:val="auto"/>
          <w:sz w:val="24"/>
          <w:highlight w:val="none"/>
          <w:lang w:eastAsia="zh-CN"/>
        </w:rPr>
        <w:t>、</w:t>
      </w:r>
      <w:r>
        <w:rPr>
          <w:rFonts w:hint="eastAsia"/>
          <w:color w:val="auto"/>
          <w:sz w:val="24"/>
          <w:highlight w:val="none"/>
          <w:lang w:val="en-US" w:eastAsia="zh-CN"/>
        </w:rPr>
        <w:t>总磷：4.28mg/L</w:t>
      </w:r>
      <w:r>
        <w:rPr>
          <w:rFonts w:hint="eastAsia"/>
          <w:color w:val="auto"/>
          <w:sz w:val="24"/>
          <w:highlight w:val="none"/>
        </w:rPr>
        <w:t>，则本项目生活污水主要污染物的产生量分别为C</w:t>
      </w:r>
      <w:r>
        <w:rPr>
          <w:color w:val="auto"/>
          <w:sz w:val="24"/>
          <w:highlight w:val="none"/>
        </w:rPr>
        <w:t>OD</w:t>
      </w:r>
      <w:r>
        <w:rPr>
          <w:rFonts w:hint="eastAsia"/>
          <w:color w:val="auto"/>
          <w:sz w:val="24"/>
          <w:highlight w:val="none"/>
        </w:rPr>
        <w:t>：</w:t>
      </w:r>
      <w:r>
        <w:rPr>
          <w:rFonts w:hint="eastAsia"/>
          <w:color w:val="auto"/>
          <w:sz w:val="24"/>
          <w:highlight w:val="none"/>
          <w:lang w:val="en-US" w:eastAsia="zh-CN"/>
        </w:rPr>
        <w:t>0.0239</w:t>
      </w:r>
      <w:r>
        <w:rPr>
          <w:rFonts w:hint="eastAsia"/>
          <w:color w:val="auto"/>
          <w:sz w:val="24"/>
          <w:highlight w:val="none"/>
        </w:rPr>
        <w:t>t</w:t>
      </w:r>
      <w:r>
        <w:rPr>
          <w:color w:val="auto"/>
          <w:sz w:val="24"/>
          <w:highlight w:val="none"/>
        </w:rPr>
        <w:t>/a</w:t>
      </w:r>
      <w:r>
        <w:rPr>
          <w:rFonts w:hint="eastAsia"/>
          <w:color w:val="auto"/>
          <w:sz w:val="24"/>
          <w:highlight w:val="none"/>
        </w:rPr>
        <w:t>、BOD</w:t>
      </w:r>
      <w:r>
        <w:rPr>
          <w:rFonts w:hint="eastAsia"/>
          <w:color w:val="auto"/>
          <w:sz w:val="24"/>
          <w:highlight w:val="none"/>
          <w:vertAlign w:val="subscript"/>
        </w:rPr>
        <w:t>5</w:t>
      </w:r>
      <w:r>
        <w:rPr>
          <w:rFonts w:hint="eastAsia"/>
          <w:color w:val="auto"/>
          <w:sz w:val="24"/>
          <w:highlight w:val="none"/>
        </w:rPr>
        <w:t>：</w:t>
      </w:r>
      <w:r>
        <w:rPr>
          <w:rFonts w:hint="eastAsia"/>
          <w:color w:val="auto"/>
          <w:sz w:val="24"/>
          <w:highlight w:val="none"/>
          <w:lang w:val="en-US" w:eastAsia="zh-CN"/>
        </w:rPr>
        <w:t>0.0119</w:t>
      </w:r>
      <w:r>
        <w:rPr>
          <w:rFonts w:hint="eastAsia"/>
          <w:color w:val="auto"/>
          <w:sz w:val="24"/>
          <w:highlight w:val="none"/>
        </w:rPr>
        <w:t>t/a、S</w:t>
      </w:r>
      <w:r>
        <w:rPr>
          <w:color w:val="auto"/>
          <w:sz w:val="24"/>
          <w:highlight w:val="none"/>
        </w:rPr>
        <w:t>S</w:t>
      </w:r>
      <w:r>
        <w:rPr>
          <w:rFonts w:hint="eastAsia"/>
          <w:color w:val="auto"/>
          <w:sz w:val="24"/>
          <w:highlight w:val="none"/>
        </w:rPr>
        <w:t>：</w:t>
      </w:r>
      <w:r>
        <w:rPr>
          <w:rFonts w:hint="eastAsia"/>
          <w:color w:val="auto"/>
          <w:sz w:val="24"/>
          <w:highlight w:val="none"/>
          <w:lang w:val="en-US" w:eastAsia="zh-CN"/>
        </w:rPr>
        <w:t>0.0131</w:t>
      </w:r>
      <w:r>
        <w:rPr>
          <w:rFonts w:hint="eastAsia"/>
          <w:color w:val="auto"/>
          <w:sz w:val="24"/>
          <w:highlight w:val="none"/>
        </w:rPr>
        <w:t>t</w:t>
      </w:r>
      <w:r>
        <w:rPr>
          <w:color w:val="auto"/>
          <w:sz w:val="24"/>
          <w:highlight w:val="none"/>
        </w:rPr>
        <w:t>/a</w:t>
      </w:r>
      <w:r>
        <w:rPr>
          <w:rFonts w:hint="eastAsia"/>
          <w:color w:val="auto"/>
          <w:sz w:val="24"/>
          <w:highlight w:val="none"/>
        </w:rPr>
        <w:t>、氨氮：</w:t>
      </w:r>
      <w:r>
        <w:rPr>
          <w:rFonts w:hint="eastAsia"/>
          <w:color w:val="auto"/>
          <w:sz w:val="24"/>
          <w:highlight w:val="none"/>
          <w:lang w:val="en-US" w:eastAsia="zh-CN"/>
        </w:rPr>
        <w:t>0.0015</w:t>
      </w:r>
      <w:r>
        <w:rPr>
          <w:rFonts w:hint="eastAsia"/>
          <w:color w:val="auto"/>
          <w:sz w:val="24"/>
          <w:highlight w:val="none"/>
        </w:rPr>
        <w:t>t</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总磷：0.00025t/a</w:t>
      </w:r>
      <w:r>
        <w:rPr>
          <w:rFonts w:hint="eastAsia"/>
          <w:color w:val="auto"/>
          <w:sz w:val="24"/>
          <w:highlight w:val="none"/>
        </w:rPr>
        <w:t>。</w:t>
      </w:r>
    </w:p>
    <w:p>
      <w:pPr>
        <w:adjustRightInd w:val="0"/>
        <w:snapToGrid w:val="0"/>
        <w:spacing w:line="360" w:lineRule="auto"/>
        <w:ind w:firstLine="482" w:firstLineChars="200"/>
        <w:jc w:val="center"/>
        <w:rPr>
          <w:rFonts w:hint="eastAsia"/>
          <w:b/>
          <w:bCs/>
          <w:color w:val="auto"/>
          <w:sz w:val="24"/>
          <w:szCs w:val="24"/>
          <w:highlight w:val="none"/>
          <w:lang w:val="en-US" w:eastAsia="zh-CN"/>
        </w:rPr>
        <w:sectPr>
          <w:pgSz w:w="11906" w:h="16838"/>
          <w:pgMar w:top="1418" w:right="1418" w:bottom="2155" w:left="1418" w:header="992" w:footer="992" w:gutter="0"/>
          <w:pgBorders>
            <w:top w:val="none" w:sz="0" w:space="0"/>
            <w:left w:val="none" w:sz="0" w:space="0"/>
            <w:bottom w:val="none" w:sz="0" w:space="0"/>
            <w:right w:val="none" w:sz="0" w:space="0"/>
          </w:pgBorders>
          <w:pgNumType w:fmt="decimal"/>
          <w:cols w:space="425" w:num="1"/>
          <w:docGrid w:linePitch="312" w:charSpace="0"/>
        </w:sectPr>
      </w:pPr>
    </w:p>
    <w:p>
      <w:pPr>
        <w:adjustRightInd w:val="0"/>
        <w:snapToGrid w:val="0"/>
        <w:spacing w:line="360" w:lineRule="auto"/>
        <w:ind w:firstLine="482" w:firstLineChars="200"/>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表3.5-4  废水类别、污染物及污染治理设施信息表</w:t>
      </w:r>
    </w:p>
    <w:tbl>
      <w:tblPr>
        <w:tblStyle w:val="56"/>
        <w:tblW w:w="13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050"/>
        <w:gridCol w:w="955"/>
        <w:gridCol w:w="859"/>
        <w:gridCol w:w="1568"/>
        <w:gridCol w:w="1077"/>
        <w:gridCol w:w="1105"/>
        <w:gridCol w:w="1063"/>
        <w:gridCol w:w="941"/>
        <w:gridCol w:w="1527"/>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60"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序号</w:t>
            </w:r>
          </w:p>
        </w:tc>
        <w:tc>
          <w:tcPr>
            <w:tcW w:w="1050"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废水类别</w:t>
            </w:r>
          </w:p>
        </w:tc>
        <w:tc>
          <w:tcPr>
            <w:tcW w:w="955"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污染物种类</w:t>
            </w:r>
          </w:p>
        </w:tc>
        <w:tc>
          <w:tcPr>
            <w:tcW w:w="859"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排放去向</w:t>
            </w:r>
          </w:p>
        </w:tc>
        <w:tc>
          <w:tcPr>
            <w:tcW w:w="1568"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排放规律</w:t>
            </w:r>
          </w:p>
        </w:tc>
        <w:tc>
          <w:tcPr>
            <w:tcW w:w="3245" w:type="dxa"/>
            <w:gridSpan w:val="3"/>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污染治理设施</w:t>
            </w:r>
          </w:p>
        </w:tc>
        <w:tc>
          <w:tcPr>
            <w:tcW w:w="941"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排放口编号</w:t>
            </w:r>
          </w:p>
        </w:tc>
        <w:tc>
          <w:tcPr>
            <w:tcW w:w="1527"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排放口设置是否符合要求</w:t>
            </w:r>
          </w:p>
        </w:tc>
        <w:tc>
          <w:tcPr>
            <w:tcW w:w="2876" w:type="dxa"/>
            <w:vMerge w:val="restart"/>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60" w:type="dxa"/>
            <w:vMerge w:val="continue"/>
          </w:tcPr>
          <w:p>
            <w:pPr>
              <w:adjustRightInd w:val="0"/>
              <w:snapToGrid w:val="0"/>
              <w:spacing w:line="240" w:lineRule="auto"/>
              <w:jc w:val="center"/>
              <w:rPr>
                <w:color w:val="auto"/>
                <w:highlight w:val="none"/>
              </w:rPr>
            </w:pPr>
          </w:p>
        </w:tc>
        <w:tc>
          <w:tcPr>
            <w:tcW w:w="1050" w:type="dxa"/>
            <w:vMerge w:val="continue"/>
          </w:tcPr>
          <w:p>
            <w:pPr>
              <w:adjustRightInd w:val="0"/>
              <w:snapToGrid w:val="0"/>
              <w:spacing w:line="240" w:lineRule="auto"/>
              <w:jc w:val="center"/>
              <w:rPr>
                <w:color w:val="auto"/>
                <w:highlight w:val="none"/>
              </w:rPr>
            </w:pPr>
          </w:p>
        </w:tc>
        <w:tc>
          <w:tcPr>
            <w:tcW w:w="955" w:type="dxa"/>
            <w:vMerge w:val="continue"/>
          </w:tcPr>
          <w:p>
            <w:pPr>
              <w:adjustRightInd w:val="0"/>
              <w:snapToGrid w:val="0"/>
              <w:spacing w:line="240" w:lineRule="auto"/>
              <w:jc w:val="center"/>
              <w:rPr>
                <w:color w:val="auto"/>
                <w:highlight w:val="none"/>
              </w:rPr>
            </w:pPr>
          </w:p>
        </w:tc>
        <w:tc>
          <w:tcPr>
            <w:tcW w:w="859" w:type="dxa"/>
            <w:vMerge w:val="continue"/>
          </w:tcPr>
          <w:p>
            <w:pPr>
              <w:adjustRightInd w:val="0"/>
              <w:snapToGrid w:val="0"/>
              <w:spacing w:line="240" w:lineRule="auto"/>
              <w:jc w:val="center"/>
              <w:rPr>
                <w:color w:val="auto"/>
                <w:highlight w:val="none"/>
              </w:rPr>
            </w:pPr>
          </w:p>
        </w:tc>
        <w:tc>
          <w:tcPr>
            <w:tcW w:w="1568" w:type="dxa"/>
            <w:vMerge w:val="continue"/>
          </w:tcPr>
          <w:p>
            <w:pPr>
              <w:adjustRightInd w:val="0"/>
              <w:snapToGrid w:val="0"/>
              <w:spacing w:line="240" w:lineRule="auto"/>
              <w:jc w:val="center"/>
              <w:rPr>
                <w:color w:val="auto"/>
                <w:highlight w:val="none"/>
              </w:rPr>
            </w:pPr>
          </w:p>
        </w:tc>
        <w:tc>
          <w:tcPr>
            <w:tcW w:w="1077"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污染治理设施编号</w:t>
            </w:r>
          </w:p>
        </w:tc>
        <w:tc>
          <w:tcPr>
            <w:tcW w:w="1105"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污染治理设施名称</w:t>
            </w:r>
          </w:p>
        </w:tc>
        <w:tc>
          <w:tcPr>
            <w:tcW w:w="1063"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污染治理设施工艺</w:t>
            </w:r>
          </w:p>
        </w:tc>
        <w:tc>
          <w:tcPr>
            <w:tcW w:w="941" w:type="dxa"/>
            <w:vMerge w:val="continue"/>
          </w:tcPr>
          <w:p>
            <w:pPr>
              <w:adjustRightInd w:val="0"/>
              <w:snapToGrid w:val="0"/>
              <w:spacing w:line="240" w:lineRule="auto"/>
              <w:jc w:val="center"/>
              <w:rPr>
                <w:rFonts w:hint="default"/>
                <w:color w:val="auto"/>
                <w:highlight w:val="none"/>
                <w:vertAlign w:val="baseline"/>
                <w:lang w:val="en-US" w:eastAsia="zh-CN"/>
              </w:rPr>
            </w:pPr>
          </w:p>
        </w:tc>
        <w:tc>
          <w:tcPr>
            <w:tcW w:w="1527" w:type="dxa"/>
            <w:vMerge w:val="continue"/>
          </w:tcPr>
          <w:p>
            <w:pPr>
              <w:adjustRightInd w:val="0"/>
              <w:snapToGrid w:val="0"/>
              <w:spacing w:line="240" w:lineRule="auto"/>
              <w:jc w:val="center"/>
              <w:rPr>
                <w:rFonts w:hint="default"/>
                <w:color w:val="auto"/>
                <w:highlight w:val="none"/>
                <w:vertAlign w:val="baseline"/>
                <w:lang w:val="en-US" w:eastAsia="zh-CN"/>
              </w:rPr>
            </w:pPr>
          </w:p>
        </w:tc>
        <w:tc>
          <w:tcPr>
            <w:tcW w:w="2876" w:type="dxa"/>
            <w:vMerge w:val="continue"/>
          </w:tcPr>
          <w:p>
            <w:pPr>
              <w:adjustRightInd w:val="0"/>
              <w:snapToGrid w:val="0"/>
              <w:spacing w:line="240" w:lineRule="auto"/>
              <w:jc w:val="center"/>
              <w:rPr>
                <w:rFonts w:hint="default"/>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050"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生活污水、地面清洁废水</w:t>
            </w:r>
          </w:p>
        </w:tc>
        <w:tc>
          <w:tcPr>
            <w:tcW w:w="955"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COD、BOD</w:t>
            </w:r>
            <w:r>
              <w:rPr>
                <w:rFonts w:hint="eastAsia"/>
                <w:color w:val="auto"/>
                <w:highlight w:val="none"/>
                <w:vertAlign w:val="subscript"/>
                <w:lang w:val="en-US" w:eastAsia="zh-CN"/>
              </w:rPr>
              <w:t>5</w:t>
            </w:r>
            <w:r>
              <w:rPr>
                <w:rFonts w:hint="eastAsia"/>
                <w:color w:val="auto"/>
                <w:highlight w:val="none"/>
                <w:vertAlign w:val="baseline"/>
                <w:lang w:val="en-US" w:eastAsia="zh-CN"/>
              </w:rPr>
              <w:t>、氨氮、SS</w:t>
            </w:r>
          </w:p>
        </w:tc>
        <w:tc>
          <w:tcPr>
            <w:tcW w:w="859"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进入寻甸县水质净化厂</w:t>
            </w:r>
          </w:p>
        </w:tc>
        <w:tc>
          <w:tcPr>
            <w:tcW w:w="1568"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间断排放，排放期间流量不稳定，但有周期性规律</w:t>
            </w:r>
          </w:p>
        </w:tc>
        <w:tc>
          <w:tcPr>
            <w:tcW w:w="1077"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01</w:t>
            </w:r>
          </w:p>
        </w:tc>
        <w:tc>
          <w:tcPr>
            <w:tcW w:w="1105"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生活污水处理系统</w:t>
            </w:r>
          </w:p>
        </w:tc>
        <w:tc>
          <w:tcPr>
            <w:tcW w:w="1063"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化粪池</w:t>
            </w:r>
          </w:p>
        </w:tc>
        <w:tc>
          <w:tcPr>
            <w:tcW w:w="941" w:type="dxa"/>
          </w:tcPr>
          <w:p>
            <w:pPr>
              <w:adjustRightInd w:val="0"/>
              <w:snapToGrid w:val="0"/>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DW001</w:t>
            </w:r>
          </w:p>
        </w:tc>
        <w:tc>
          <w:tcPr>
            <w:tcW w:w="1527" w:type="dxa"/>
          </w:tcPr>
          <w:p>
            <w:pPr>
              <w:adjustRightInd w:val="0"/>
              <w:snapToGrid w:val="0"/>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☑是</w:t>
            </w:r>
          </w:p>
          <w:p>
            <w:pPr>
              <w:adjustRightInd w:val="0"/>
              <w:snapToGrid w:val="0"/>
              <w:spacing w:line="240" w:lineRule="auto"/>
              <w:jc w:val="center"/>
              <w:rPr>
                <w:rFonts w:hint="default"/>
                <w:color w:val="auto"/>
                <w:highlight w:val="none"/>
                <w:vertAlign w:val="baseline"/>
                <w:lang w:val="en-US" w:eastAsia="zh-CN"/>
              </w:rPr>
            </w:pPr>
            <w:r>
              <w:rPr>
                <w:rFonts w:hint="default"/>
                <w:color w:val="auto"/>
                <w:highlight w:val="none"/>
                <w:vertAlign w:val="baseline"/>
                <w:lang w:val="en-US" w:eastAsia="zh-CN"/>
              </w:rPr>
              <w:t>□</w:t>
            </w:r>
            <w:r>
              <w:rPr>
                <w:rFonts w:hint="eastAsia"/>
                <w:color w:val="auto"/>
                <w:highlight w:val="none"/>
                <w:vertAlign w:val="baseline"/>
                <w:lang w:val="en-US" w:eastAsia="zh-CN"/>
              </w:rPr>
              <w:t>否</w:t>
            </w:r>
          </w:p>
        </w:tc>
        <w:tc>
          <w:tcPr>
            <w:tcW w:w="2876" w:type="dxa"/>
          </w:tcPr>
          <w:p>
            <w:pPr>
              <w:adjustRightInd w:val="0"/>
              <w:snapToGrid w:val="0"/>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☑企业总排</w:t>
            </w:r>
          </w:p>
          <w:p>
            <w:pPr>
              <w:adjustRightInd w:val="0"/>
              <w:snapToGrid w:val="0"/>
              <w:spacing w:line="240" w:lineRule="auto"/>
              <w:jc w:val="center"/>
              <w:rPr>
                <w:rFonts w:hint="eastAsia"/>
                <w:color w:val="auto"/>
                <w:highlight w:val="none"/>
                <w:vertAlign w:val="baseline"/>
                <w:lang w:val="en-US" w:eastAsia="zh-CN"/>
              </w:rPr>
            </w:pPr>
            <w:r>
              <w:rPr>
                <w:rFonts w:hint="default"/>
                <w:color w:val="auto"/>
                <w:highlight w:val="none"/>
                <w:vertAlign w:val="baseline"/>
                <w:lang w:val="en-US" w:eastAsia="zh-CN"/>
              </w:rPr>
              <w:t>□</w:t>
            </w:r>
            <w:r>
              <w:rPr>
                <w:rFonts w:hint="eastAsia"/>
                <w:color w:val="auto"/>
                <w:highlight w:val="none"/>
                <w:vertAlign w:val="baseline"/>
                <w:lang w:val="en-US" w:eastAsia="zh-CN"/>
              </w:rPr>
              <w:t>雨水排放</w:t>
            </w:r>
          </w:p>
          <w:p>
            <w:pPr>
              <w:adjustRightInd w:val="0"/>
              <w:snapToGrid w:val="0"/>
              <w:spacing w:line="240" w:lineRule="auto"/>
              <w:jc w:val="center"/>
              <w:rPr>
                <w:rFonts w:hint="eastAsia"/>
                <w:color w:val="auto"/>
                <w:highlight w:val="none"/>
                <w:vertAlign w:val="baseline"/>
                <w:lang w:val="en-US" w:eastAsia="zh-CN"/>
              </w:rPr>
            </w:pPr>
            <w:r>
              <w:rPr>
                <w:rFonts w:hint="default"/>
                <w:color w:val="auto"/>
                <w:highlight w:val="none"/>
                <w:vertAlign w:val="baseline"/>
                <w:lang w:val="en-US" w:eastAsia="zh-CN"/>
              </w:rPr>
              <w:t>□</w:t>
            </w:r>
            <w:r>
              <w:rPr>
                <w:rFonts w:hint="eastAsia"/>
                <w:color w:val="auto"/>
                <w:highlight w:val="none"/>
                <w:vertAlign w:val="baseline"/>
                <w:lang w:val="en-US" w:eastAsia="zh-CN"/>
              </w:rPr>
              <w:t>清净下水排放</w:t>
            </w:r>
          </w:p>
          <w:p>
            <w:pPr>
              <w:adjustRightInd w:val="0"/>
              <w:snapToGrid w:val="0"/>
              <w:spacing w:line="240" w:lineRule="auto"/>
              <w:jc w:val="center"/>
              <w:rPr>
                <w:rFonts w:hint="eastAsia"/>
                <w:color w:val="auto"/>
                <w:highlight w:val="none"/>
                <w:vertAlign w:val="baseline"/>
                <w:lang w:val="en-US" w:eastAsia="zh-CN"/>
              </w:rPr>
            </w:pPr>
            <w:r>
              <w:rPr>
                <w:rFonts w:hint="default"/>
                <w:color w:val="auto"/>
                <w:highlight w:val="none"/>
                <w:vertAlign w:val="baseline"/>
                <w:lang w:val="en-US" w:eastAsia="zh-CN"/>
              </w:rPr>
              <w:t>□</w:t>
            </w:r>
            <w:r>
              <w:rPr>
                <w:rFonts w:hint="eastAsia"/>
                <w:color w:val="auto"/>
                <w:highlight w:val="none"/>
                <w:vertAlign w:val="baseline"/>
                <w:lang w:val="en-US" w:eastAsia="zh-CN"/>
              </w:rPr>
              <w:t>温排水排放</w:t>
            </w:r>
          </w:p>
          <w:p>
            <w:pPr>
              <w:adjustRightInd w:val="0"/>
              <w:snapToGrid w:val="0"/>
              <w:spacing w:line="240" w:lineRule="auto"/>
              <w:jc w:val="center"/>
              <w:rPr>
                <w:rFonts w:hint="default"/>
                <w:color w:val="auto"/>
                <w:highlight w:val="none"/>
                <w:vertAlign w:val="baseline"/>
                <w:lang w:val="en-US" w:eastAsia="zh-CN"/>
              </w:rPr>
            </w:pPr>
            <w:r>
              <w:rPr>
                <w:rFonts w:hint="default"/>
                <w:color w:val="auto"/>
                <w:highlight w:val="none"/>
                <w:vertAlign w:val="baseline"/>
                <w:lang w:val="en-US" w:eastAsia="zh-CN"/>
              </w:rPr>
              <w:t>□</w:t>
            </w:r>
            <w:r>
              <w:rPr>
                <w:rFonts w:hint="eastAsia"/>
                <w:color w:val="auto"/>
                <w:highlight w:val="none"/>
                <w:vertAlign w:val="baseline"/>
                <w:lang w:val="en-US" w:eastAsia="zh-CN"/>
              </w:rPr>
              <w:t>车间或车间处理设施排放口</w:t>
            </w:r>
          </w:p>
        </w:tc>
      </w:tr>
    </w:tbl>
    <w:p>
      <w:pPr>
        <w:adjustRightInd w:val="0"/>
        <w:snapToGrid w:val="0"/>
        <w:spacing w:line="360" w:lineRule="auto"/>
        <w:ind w:firstLine="420" w:firstLineChars="200"/>
        <w:rPr>
          <w:rFonts w:hint="default"/>
          <w:color w:val="auto"/>
          <w:highlight w:val="none"/>
          <w:lang w:val="en-US" w:eastAsia="zh-CN"/>
        </w:rPr>
      </w:pPr>
    </w:p>
    <w:p>
      <w:pPr>
        <w:adjustRightInd w:val="0"/>
        <w:snapToGrid w:val="0"/>
        <w:spacing w:line="360" w:lineRule="auto"/>
        <w:ind w:firstLine="482" w:firstLineChars="200"/>
        <w:jc w:val="center"/>
        <w:rPr>
          <w:rFonts w:hint="eastAsia" w:cs="Times New Roman"/>
          <w:b/>
          <w:bCs/>
          <w:color w:val="auto"/>
          <w:sz w:val="24"/>
          <w:highlight w:val="none"/>
          <w:lang w:val="en-US" w:eastAsia="zh-CN"/>
        </w:rPr>
      </w:pPr>
      <w:bookmarkStart w:id="450" w:name="_Toc75908673"/>
      <w:r>
        <w:rPr>
          <w:rFonts w:hint="eastAsia" w:ascii="Times New Roman" w:hAnsi="Times New Roman" w:eastAsia="宋体" w:cs="Times New Roman"/>
          <w:b/>
          <w:bCs/>
          <w:color w:val="auto"/>
          <w:sz w:val="24"/>
          <w:szCs w:val="24"/>
          <w:highlight w:val="none"/>
          <w:lang w:val="en-US" w:eastAsia="zh-CN"/>
        </w:rPr>
        <w:t>表3.5-</w:t>
      </w: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 xml:space="preserve">  废水排放口基本情况表</w:t>
      </w:r>
    </w:p>
    <w:tbl>
      <w:tblPr>
        <w:tblStyle w:val="56"/>
        <w:tblW w:w="13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90"/>
        <w:gridCol w:w="1431"/>
        <w:gridCol w:w="1326"/>
        <w:gridCol w:w="1099"/>
        <w:gridCol w:w="1115"/>
        <w:gridCol w:w="1062"/>
        <w:gridCol w:w="1153"/>
        <w:gridCol w:w="1075"/>
        <w:gridCol w:w="1342"/>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2"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序号</w:t>
            </w:r>
          </w:p>
        </w:tc>
        <w:tc>
          <w:tcPr>
            <w:tcW w:w="990"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排放口编号</w:t>
            </w:r>
          </w:p>
        </w:tc>
        <w:tc>
          <w:tcPr>
            <w:tcW w:w="2757" w:type="dxa"/>
            <w:gridSpan w:val="2"/>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排放口地理坐标</w:t>
            </w:r>
          </w:p>
        </w:tc>
        <w:tc>
          <w:tcPr>
            <w:tcW w:w="1099"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废水排放量/（万t/a）</w:t>
            </w:r>
          </w:p>
        </w:tc>
        <w:tc>
          <w:tcPr>
            <w:tcW w:w="1115"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排放去向</w:t>
            </w:r>
          </w:p>
        </w:tc>
        <w:tc>
          <w:tcPr>
            <w:tcW w:w="1062"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排放规律</w:t>
            </w:r>
          </w:p>
        </w:tc>
        <w:tc>
          <w:tcPr>
            <w:tcW w:w="1153"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间歇排放时段</w:t>
            </w:r>
          </w:p>
        </w:tc>
        <w:tc>
          <w:tcPr>
            <w:tcW w:w="4823" w:type="dxa"/>
            <w:gridSpan w:val="3"/>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受纳</w:t>
            </w:r>
            <w:r>
              <w:rPr>
                <w:rFonts w:hint="eastAsia" w:cs="Times New Roman"/>
                <w:color w:val="auto"/>
                <w:highlight w:val="none"/>
                <w:vertAlign w:val="baseline"/>
                <w:lang w:val="en-US" w:eastAsia="zh-CN"/>
              </w:rPr>
              <w:t>水质净化厂</w:t>
            </w:r>
            <w:r>
              <w:rPr>
                <w:rFonts w:hint="eastAsia" w:ascii="Times New Roman" w:hAnsi="Times New Roman" w:eastAsia="宋体" w:cs="Times New Roman"/>
                <w:color w:val="auto"/>
                <w:highlight w:val="none"/>
                <w:vertAlign w:val="baseline"/>
                <w:lang w:val="en-US" w:eastAsia="zh-CN"/>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82" w:type="dxa"/>
            <w:vMerge w:val="continue"/>
          </w:tcPr>
          <w:p>
            <w:pPr>
              <w:adjustRightInd w:val="0"/>
              <w:snapToGrid w:val="0"/>
              <w:spacing w:line="240" w:lineRule="auto"/>
              <w:jc w:val="center"/>
              <w:rPr>
                <w:rFonts w:hint="eastAsia" w:ascii="Times New Roman" w:hAnsi="Times New Roman" w:eastAsia="宋体" w:cs="Times New Roman"/>
                <w:color w:val="auto"/>
                <w:highlight w:val="none"/>
                <w:vertAlign w:val="baseline"/>
                <w:lang w:val="en-US" w:eastAsia="zh-CN"/>
              </w:rPr>
            </w:pPr>
          </w:p>
        </w:tc>
        <w:tc>
          <w:tcPr>
            <w:tcW w:w="990" w:type="dxa"/>
            <w:vMerge w:val="continue"/>
          </w:tcPr>
          <w:p>
            <w:pPr>
              <w:adjustRightInd w:val="0"/>
              <w:snapToGrid w:val="0"/>
              <w:spacing w:line="240" w:lineRule="auto"/>
              <w:jc w:val="center"/>
              <w:rPr>
                <w:rFonts w:hint="eastAsia" w:ascii="Times New Roman" w:hAnsi="Times New Roman" w:eastAsia="宋体" w:cs="Times New Roman"/>
                <w:color w:val="auto"/>
                <w:highlight w:val="none"/>
                <w:vertAlign w:val="baseline"/>
                <w:lang w:val="en-US" w:eastAsia="zh-CN"/>
              </w:rPr>
            </w:pPr>
          </w:p>
        </w:tc>
        <w:tc>
          <w:tcPr>
            <w:tcW w:w="1431"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经度</w:t>
            </w:r>
          </w:p>
        </w:tc>
        <w:tc>
          <w:tcPr>
            <w:tcW w:w="1326"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纬度</w:t>
            </w:r>
          </w:p>
        </w:tc>
        <w:tc>
          <w:tcPr>
            <w:tcW w:w="1099" w:type="dxa"/>
            <w:vMerge w:val="continue"/>
          </w:tcPr>
          <w:p>
            <w:pPr>
              <w:adjustRightInd w:val="0"/>
              <w:snapToGrid w:val="0"/>
              <w:spacing w:line="240" w:lineRule="auto"/>
              <w:jc w:val="center"/>
              <w:rPr>
                <w:rFonts w:hint="eastAsia" w:ascii="Times New Roman" w:hAnsi="Times New Roman" w:eastAsia="宋体" w:cs="Times New Roman"/>
                <w:color w:val="auto"/>
                <w:highlight w:val="none"/>
                <w:vertAlign w:val="baseline"/>
                <w:lang w:val="en-US" w:eastAsia="zh-CN"/>
              </w:rPr>
            </w:pPr>
          </w:p>
        </w:tc>
        <w:tc>
          <w:tcPr>
            <w:tcW w:w="1115" w:type="dxa"/>
            <w:vMerge w:val="continue"/>
          </w:tcPr>
          <w:p>
            <w:pPr>
              <w:adjustRightInd w:val="0"/>
              <w:snapToGrid w:val="0"/>
              <w:spacing w:line="240" w:lineRule="auto"/>
              <w:jc w:val="center"/>
              <w:rPr>
                <w:rFonts w:hint="eastAsia" w:ascii="Times New Roman" w:hAnsi="Times New Roman" w:eastAsia="宋体" w:cs="Times New Roman"/>
                <w:color w:val="auto"/>
                <w:highlight w:val="none"/>
                <w:vertAlign w:val="baseline"/>
                <w:lang w:val="en-US" w:eastAsia="zh-CN"/>
              </w:rPr>
            </w:pPr>
          </w:p>
        </w:tc>
        <w:tc>
          <w:tcPr>
            <w:tcW w:w="1062" w:type="dxa"/>
            <w:vMerge w:val="continue"/>
          </w:tcPr>
          <w:p>
            <w:pPr>
              <w:adjustRightInd w:val="0"/>
              <w:snapToGrid w:val="0"/>
              <w:spacing w:line="240" w:lineRule="auto"/>
              <w:jc w:val="center"/>
              <w:rPr>
                <w:rFonts w:hint="eastAsia" w:ascii="Times New Roman" w:hAnsi="Times New Roman" w:eastAsia="宋体" w:cs="Times New Roman"/>
                <w:color w:val="auto"/>
                <w:highlight w:val="none"/>
                <w:vertAlign w:val="baseline"/>
                <w:lang w:val="en-US" w:eastAsia="zh-CN"/>
              </w:rPr>
            </w:pPr>
          </w:p>
        </w:tc>
        <w:tc>
          <w:tcPr>
            <w:tcW w:w="1153" w:type="dxa"/>
            <w:vMerge w:val="continue"/>
          </w:tcPr>
          <w:p>
            <w:pPr>
              <w:adjustRightInd w:val="0"/>
              <w:snapToGrid w:val="0"/>
              <w:spacing w:line="240" w:lineRule="auto"/>
              <w:jc w:val="center"/>
              <w:rPr>
                <w:rFonts w:hint="eastAsia" w:ascii="Times New Roman" w:hAnsi="Times New Roman" w:eastAsia="宋体" w:cs="Times New Roman"/>
                <w:color w:val="auto"/>
                <w:highlight w:val="none"/>
                <w:vertAlign w:val="baseline"/>
                <w:lang w:val="en-US" w:eastAsia="zh-CN"/>
              </w:rPr>
            </w:pPr>
          </w:p>
        </w:tc>
        <w:tc>
          <w:tcPr>
            <w:tcW w:w="1075"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名称</w:t>
            </w:r>
          </w:p>
        </w:tc>
        <w:tc>
          <w:tcPr>
            <w:tcW w:w="1342"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污染物种类</w:t>
            </w:r>
          </w:p>
        </w:tc>
        <w:tc>
          <w:tcPr>
            <w:tcW w:w="2406"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82"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1</w:t>
            </w:r>
          </w:p>
        </w:tc>
        <w:tc>
          <w:tcPr>
            <w:tcW w:w="990"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DW001</w:t>
            </w:r>
          </w:p>
        </w:tc>
        <w:tc>
          <w:tcPr>
            <w:tcW w:w="1431"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103°13′46.23″</w:t>
            </w:r>
          </w:p>
        </w:tc>
        <w:tc>
          <w:tcPr>
            <w:tcW w:w="1326"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25°32′29.50″</w:t>
            </w:r>
          </w:p>
        </w:tc>
        <w:tc>
          <w:tcPr>
            <w:tcW w:w="1099"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0.011376</w:t>
            </w:r>
          </w:p>
        </w:tc>
        <w:tc>
          <w:tcPr>
            <w:tcW w:w="1115"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进入寻甸县</w:t>
            </w:r>
            <w:r>
              <w:rPr>
                <w:rFonts w:hint="eastAsia" w:cs="Times New Roman"/>
                <w:color w:val="auto"/>
                <w:highlight w:val="none"/>
                <w:vertAlign w:val="baseline"/>
                <w:lang w:val="en-US" w:eastAsia="zh-CN"/>
              </w:rPr>
              <w:t>水质净化厂</w:t>
            </w:r>
          </w:p>
        </w:tc>
        <w:tc>
          <w:tcPr>
            <w:tcW w:w="1062"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间断排放</w:t>
            </w:r>
          </w:p>
        </w:tc>
        <w:tc>
          <w:tcPr>
            <w:tcW w:w="1153"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每月一次</w:t>
            </w:r>
          </w:p>
        </w:tc>
        <w:tc>
          <w:tcPr>
            <w:tcW w:w="1075"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寻甸县</w:t>
            </w:r>
            <w:r>
              <w:rPr>
                <w:rFonts w:hint="eastAsia" w:cs="Times New Roman"/>
                <w:color w:val="auto"/>
                <w:highlight w:val="none"/>
                <w:vertAlign w:val="baseline"/>
                <w:lang w:val="en-US" w:eastAsia="zh-CN"/>
              </w:rPr>
              <w:t>水质净化厂</w:t>
            </w:r>
          </w:p>
        </w:tc>
        <w:tc>
          <w:tcPr>
            <w:tcW w:w="1342"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COD</w:t>
            </w:r>
          </w:p>
        </w:tc>
        <w:tc>
          <w:tcPr>
            <w:tcW w:w="2406"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990"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431"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26"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99"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1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6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5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7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42"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BOD</w:t>
            </w:r>
            <w:r>
              <w:rPr>
                <w:rFonts w:hint="eastAsia" w:ascii="Times New Roman" w:hAnsi="Times New Roman" w:eastAsia="宋体" w:cs="Times New Roman"/>
                <w:color w:val="auto"/>
                <w:highlight w:val="none"/>
                <w:vertAlign w:val="subscript"/>
                <w:lang w:val="en-US" w:eastAsia="zh-CN"/>
              </w:rPr>
              <w:t>5</w:t>
            </w:r>
          </w:p>
        </w:tc>
        <w:tc>
          <w:tcPr>
            <w:tcW w:w="2406"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990"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431"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26"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99"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1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6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5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7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42"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氨氮</w:t>
            </w:r>
          </w:p>
        </w:tc>
        <w:tc>
          <w:tcPr>
            <w:tcW w:w="2406"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990"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431"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26"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99"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1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6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5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7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42"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SS</w:t>
            </w:r>
          </w:p>
        </w:tc>
        <w:tc>
          <w:tcPr>
            <w:tcW w:w="2406"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990"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431"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26"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99"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1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62"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15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075"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1342"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总磷</w:t>
            </w:r>
          </w:p>
        </w:tc>
        <w:tc>
          <w:tcPr>
            <w:tcW w:w="2406"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6.5</w:t>
            </w:r>
          </w:p>
        </w:tc>
      </w:tr>
    </w:tbl>
    <w:p>
      <w:pPr>
        <w:adjustRightInd w:val="0"/>
        <w:snapToGrid w:val="0"/>
        <w:spacing w:line="360" w:lineRule="auto"/>
        <w:ind w:firstLine="482" w:firstLineChars="20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表3.5-</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 xml:space="preserve">  废水污染物排放执行标准表</w:t>
      </w:r>
    </w:p>
    <w:tbl>
      <w:tblPr>
        <w:tblStyle w:val="56"/>
        <w:tblW w:w="13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564"/>
        <w:gridCol w:w="3192"/>
        <w:gridCol w:w="3807"/>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03"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序号</w:t>
            </w:r>
          </w:p>
        </w:tc>
        <w:tc>
          <w:tcPr>
            <w:tcW w:w="2564"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排放口编号</w:t>
            </w:r>
          </w:p>
        </w:tc>
        <w:tc>
          <w:tcPr>
            <w:tcW w:w="3192"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污染物种类</w:t>
            </w:r>
          </w:p>
        </w:tc>
        <w:tc>
          <w:tcPr>
            <w:tcW w:w="6817" w:type="dxa"/>
            <w:gridSpan w:val="2"/>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03" w:type="dxa"/>
            <w:vMerge w:val="continue"/>
          </w:tcPr>
          <w:p>
            <w:pPr>
              <w:adjustRightInd w:val="0"/>
              <w:snapToGrid w:val="0"/>
              <w:spacing w:line="240" w:lineRule="auto"/>
              <w:jc w:val="center"/>
              <w:rPr>
                <w:color w:val="auto"/>
                <w:highlight w:val="none"/>
              </w:rPr>
            </w:pPr>
          </w:p>
        </w:tc>
        <w:tc>
          <w:tcPr>
            <w:tcW w:w="2564" w:type="dxa"/>
            <w:vMerge w:val="continue"/>
          </w:tcPr>
          <w:p>
            <w:pPr>
              <w:adjustRightInd w:val="0"/>
              <w:snapToGrid w:val="0"/>
              <w:spacing w:line="240" w:lineRule="auto"/>
              <w:jc w:val="center"/>
              <w:rPr>
                <w:color w:val="auto"/>
                <w:highlight w:val="none"/>
              </w:rPr>
            </w:pPr>
          </w:p>
        </w:tc>
        <w:tc>
          <w:tcPr>
            <w:tcW w:w="3192" w:type="dxa"/>
            <w:vMerge w:val="continue"/>
          </w:tcPr>
          <w:p>
            <w:pPr>
              <w:adjustRightInd w:val="0"/>
              <w:snapToGrid w:val="0"/>
              <w:spacing w:line="240" w:lineRule="auto"/>
              <w:jc w:val="center"/>
              <w:rPr>
                <w:color w:val="auto"/>
                <w:highlight w:val="none"/>
              </w:rPr>
            </w:pPr>
          </w:p>
        </w:tc>
        <w:tc>
          <w:tcPr>
            <w:tcW w:w="3807"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名称</w:t>
            </w:r>
          </w:p>
        </w:tc>
        <w:tc>
          <w:tcPr>
            <w:tcW w:w="3010" w:type="dxa"/>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1</w:t>
            </w:r>
          </w:p>
        </w:tc>
        <w:tc>
          <w:tcPr>
            <w:tcW w:w="2564"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DW001</w:t>
            </w:r>
          </w:p>
        </w:tc>
        <w:tc>
          <w:tcPr>
            <w:tcW w:w="3192"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COD</w:t>
            </w:r>
          </w:p>
        </w:tc>
        <w:tc>
          <w:tcPr>
            <w:tcW w:w="3807" w:type="dxa"/>
            <w:vMerge w:val="restart"/>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《污水排入城镇下水道水质标准》（GB/T31962-2015）表1中B等级标准</w:t>
            </w:r>
            <w:r>
              <w:rPr>
                <w:rFonts w:hint="eastAsia" w:cs="Times New Roman"/>
                <w:color w:val="auto"/>
                <w:highlight w:val="none"/>
                <w:vertAlign w:val="baseline"/>
                <w:lang w:val="en-US" w:eastAsia="zh-CN"/>
              </w:rPr>
              <w:t>及生活废水委托处理合同商定的排放协议标准</w:t>
            </w:r>
          </w:p>
        </w:tc>
        <w:tc>
          <w:tcPr>
            <w:tcW w:w="3010"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2564"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192"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BOD</w:t>
            </w:r>
            <w:r>
              <w:rPr>
                <w:rFonts w:hint="eastAsia" w:ascii="Times New Roman" w:hAnsi="Times New Roman" w:eastAsia="宋体" w:cs="Times New Roman"/>
                <w:color w:val="auto"/>
                <w:highlight w:val="none"/>
                <w:vertAlign w:val="subscript"/>
                <w:lang w:val="en-US" w:eastAsia="zh-CN"/>
              </w:rPr>
              <w:t>5</w:t>
            </w:r>
          </w:p>
        </w:tc>
        <w:tc>
          <w:tcPr>
            <w:tcW w:w="3807"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010"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2564"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192"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氨氮</w:t>
            </w:r>
          </w:p>
        </w:tc>
        <w:tc>
          <w:tcPr>
            <w:tcW w:w="3807"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010"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2564"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192"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SS</w:t>
            </w:r>
          </w:p>
        </w:tc>
        <w:tc>
          <w:tcPr>
            <w:tcW w:w="3807"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010"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2564"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192" w:type="dxa"/>
            <w:vAlign w:val="top"/>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总磷</w:t>
            </w:r>
          </w:p>
        </w:tc>
        <w:tc>
          <w:tcPr>
            <w:tcW w:w="3807" w:type="dxa"/>
            <w:vMerge w:val="continue"/>
          </w:tcPr>
          <w:p>
            <w:pPr>
              <w:adjustRightInd w:val="0"/>
              <w:snapToGrid w:val="0"/>
              <w:spacing w:line="240" w:lineRule="auto"/>
              <w:jc w:val="center"/>
              <w:rPr>
                <w:rFonts w:hint="default" w:ascii="Times New Roman" w:hAnsi="Times New Roman" w:eastAsia="宋体" w:cs="Times New Roman"/>
                <w:color w:val="auto"/>
                <w:highlight w:val="none"/>
                <w:vertAlign w:val="baseline"/>
                <w:lang w:val="en-US" w:eastAsia="zh-CN"/>
              </w:rPr>
            </w:pPr>
          </w:p>
        </w:tc>
        <w:tc>
          <w:tcPr>
            <w:tcW w:w="3010" w:type="dxa"/>
            <w:vAlign w:val="top"/>
          </w:tcPr>
          <w:p>
            <w:pPr>
              <w:adjustRightInd w:val="0"/>
              <w:snapToGrid w:val="0"/>
              <w:spacing w:line="240" w:lineRule="auto"/>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6.5</w:t>
            </w:r>
          </w:p>
        </w:tc>
      </w:tr>
    </w:tbl>
    <w:p>
      <w:pPr>
        <w:adjustRightInd w:val="0"/>
        <w:snapToGrid w:val="0"/>
        <w:spacing w:line="360" w:lineRule="auto"/>
        <w:jc w:val="center"/>
        <w:rPr>
          <w:rFonts w:hint="eastAsia"/>
          <w:b/>
          <w:bCs/>
          <w:color w:val="auto"/>
          <w:sz w:val="24"/>
          <w:szCs w:val="24"/>
          <w:highlight w:val="none"/>
        </w:rPr>
      </w:pPr>
    </w:p>
    <w:p>
      <w:pPr>
        <w:adjustRightInd w:val="0"/>
        <w:snapToGrid w:val="0"/>
        <w:spacing w:line="360" w:lineRule="auto"/>
        <w:jc w:val="center"/>
        <w:rPr>
          <w:b/>
          <w:bCs/>
          <w:color w:val="auto"/>
          <w:sz w:val="24"/>
          <w:szCs w:val="24"/>
          <w:highlight w:val="none"/>
        </w:rPr>
      </w:pPr>
      <w:r>
        <w:rPr>
          <w:rFonts w:hint="eastAsia"/>
          <w:b/>
          <w:bCs/>
          <w:color w:val="auto"/>
          <w:sz w:val="24"/>
          <w:szCs w:val="24"/>
          <w:highlight w:val="none"/>
        </w:rPr>
        <w:t>表</w:t>
      </w:r>
      <w:r>
        <w:rPr>
          <w:rFonts w:hint="eastAsia"/>
          <w:b/>
          <w:bCs/>
          <w:color w:val="auto"/>
          <w:sz w:val="24"/>
          <w:szCs w:val="24"/>
          <w:highlight w:val="none"/>
          <w:lang w:val="en-US" w:eastAsia="zh-CN"/>
        </w:rPr>
        <w:t xml:space="preserve">3.5-7 </w:t>
      </w:r>
      <w:r>
        <w:rPr>
          <w:rFonts w:hint="eastAsia"/>
          <w:b/>
          <w:bCs/>
          <w:color w:val="auto"/>
          <w:sz w:val="24"/>
          <w:szCs w:val="24"/>
          <w:highlight w:val="none"/>
        </w:rPr>
        <w:t xml:space="preserve"> </w:t>
      </w:r>
      <w:r>
        <w:rPr>
          <w:rFonts w:hint="eastAsia"/>
          <w:b/>
          <w:bCs/>
          <w:color w:val="auto"/>
          <w:sz w:val="24"/>
          <w:szCs w:val="24"/>
          <w:highlight w:val="none"/>
          <w:lang w:val="en-US" w:eastAsia="zh-CN"/>
        </w:rPr>
        <w:t>废水</w:t>
      </w:r>
      <w:r>
        <w:rPr>
          <w:rFonts w:hint="eastAsia"/>
          <w:b/>
          <w:bCs/>
          <w:color w:val="auto"/>
          <w:sz w:val="24"/>
          <w:szCs w:val="24"/>
          <w:highlight w:val="none"/>
        </w:rPr>
        <w:t>污染物排放</w:t>
      </w:r>
      <w:r>
        <w:rPr>
          <w:rFonts w:hint="eastAsia"/>
          <w:b/>
          <w:bCs/>
          <w:color w:val="auto"/>
          <w:sz w:val="24"/>
          <w:szCs w:val="24"/>
          <w:highlight w:val="none"/>
          <w:lang w:val="en-US" w:eastAsia="zh-CN"/>
        </w:rPr>
        <w:t>信息</w:t>
      </w:r>
      <w:r>
        <w:rPr>
          <w:rFonts w:hint="eastAsia"/>
          <w:b/>
          <w:bCs/>
          <w:color w:val="auto"/>
          <w:sz w:val="24"/>
          <w:szCs w:val="24"/>
          <w:highlight w:val="none"/>
        </w:rPr>
        <w:t>表</w:t>
      </w:r>
    </w:p>
    <w:tbl>
      <w:tblPr>
        <w:tblStyle w:val="56"/>
        <w:tblW w:w="13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639"/>
        <w:gridCol w:w="1647"/>
        <w:gridCol w:w="1467"/>
        <w:gridCol w:w="1238"/>
        <w:gridCol w:w="1555"/>
        <w:gridCol w:w="1527"/>
        <w:gridCol w:w="1383"/>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排放口编号</w:t>
            </w:r>
          </w:p>
        </w:tc>
        <w:tc>
          <w:tcPr>
            <w:tcW w:w="3286" w:type="dxa"/>
            <w:gridSpan w:val="2"/>
            <w:vMerge w:val="restart"/>
            <w:vAlign w:val="top"/>
          </w:tcPr>
          <w:p>
            <w:pPr>
              <w:jc w:val="center"/>
              <w:rPr>
                <w:rFonts w:hint="eastAsia"/>
                <w:color w:val="auto"/>
                <w:kern w:val="0"/>
                <w:szCs w:val="21"/>
                <w:highlight w:val="none"/>
              </w:rPr>
            </w:pPr>
            <w:r>
              <w:rPr>
                <w:rFonts w:hint="eastAsia"/>
                <w:color w:val="auto"/>
                <w:kern w:val="0"/>
                <w:szCs w:val="21"/>
                <w:highlight w:val="none"/>
              </w:rPr>
              <w:t>名称</w:t>
            </w:r>
          </w:p>
        </w:tc>
        <w:tc>
          <w:tcPr>
            <w:tcW w:w="1467" w:type="dxa"/>
            <w:vMerge w:val="restart"/>
          </w:tcPr>
          <w:p>
            <w:pPr>
              <w:jc w:val="center"/>
              <w:rPr>
                <w:color w:val="auto"/>
                <w:kern w:val="0"/>
                <w:szCs w:val="21"/>
                <w:highlight w:val="none"/>
              </w:rPr>
            </w:pPr>
            <w:r>
              <w:rPr>
                <w:rFonts w:hint="eastAsia"/>
                <w:color w:val="auto"/>
                <w:kern w:val="0"/>
                <w:szCs w:val="21"/>
                <w:highlight w:val="none"/>
              </w:rPr>
              <w:t>单位</w:t>
            </w:r>
          </w:p>
        </w:tc>
        <w:tc>
          <w:tcPr>
            <w:tcW w:w="7087" w:type="dxa"/>
            <w:gridSpan w:val="5"/>
          </w:tcPr>
          <w:p>
            <w:pPr>
              <w:jc w:val="center"/>
              <w:rPr>
                <w:rFonts w:hint="eastAsia"/>
                <w:color w:val="auto"/>
                <w:kern w:val="0"/>
                <w:szCs w:val="21"/>
                <w:highlight w:val="none"/>
              </w:rPr>
            </w:pPr>
            <w:r>
              <w:rPr>
                <w:rFonts w:hint="eastAsia"/>
                <w:color w:val="auto"/>
                <w:kern w:val="0"/>
                <w:szCs w:val="21"/>
                <w:highlight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Pr>
          <w:p>
            <w:pPr>
              <w:jc w:val="center"/>
              <w:rPr>
                <w:color w:val="auto"/>
                <w:kern w:val="0"/>
                <w:szCs w:val="21"/>
                <w:highlight w:val="none"/>
              </w:rPr>
            </w:pPr>
          </w:p>
        </w:tc>
        <w:tc>
          <w:tcPr>
            <w:tcW w:w="3286" w:type="dxa"/>
            <w:gridSpan w:val="2"/>
            <w:vMerge w:val="continue"/>
            <w:vAlign w:val="top"/>
          </w:tcPr>
          <w:p>
            <w:pPr>
              <w:jc w:val="center"/>
              <w:rPr>
                <w:color w:val="auto"/>
                <w:kern w:val="0"/>
                <w:szCs w:val="21"/>
                <w:highlight w:val="none"/>
              </w:rPr>
            </w:pPr>
          </w:p>
        </w:tc>
        <w:tc>
          <w:tcPr>
            <w:tcW w:w="1467" w:type="dxa"/>
            <w:vMerge w:val="continue"/>
          </w:tcPr>
          <w:p>
            <w:pPr>
              <w:jc w:val="center"/>
              <w:rPr>
                <w:color w:val="auto"/>
                <w:kern w:val="0"/>
                <w:szCs w:val="21"/>
                <w:highlight w:val="none"/>
              </w:rPr>
            </w:pPr>
          </w:p>
        </w:tc>
        <w:tc>
          <w:tcPr>
            <w:tcW w:w="1238" w:type="dxa"/>
          </w:tcPr>
          <w:p>
            <w:pPr>
              <w:jc w:val="center"/>
              <w:rPr>
                <w:color w:val="auto"/>
                <w:kern w:val="0"/>
                <w:szCs w:val="21"/>
                <w:highlight w:val="none"/>
              </w:rPr>
            </w:pPr>
            <w:r>
              <w:rPr>
                <w:rFonts w:hint="eastAsia"/>
                <w:color w:val="auto"/>
                <w:kern w:val="0"/>
                <w:szCs w:val="21"/>
                <w:highlight w:val="none"/>
              </w:rPr>
              <w:t>COD</w:t>
            </w:r>
          </w:p>
        </w:tc>
        <w:tc>
          <w:tcPr>
            <w:tcW w:w="1555" w:type="dxa"/>
          </w:tcPr>
          <w:p>
            <w:pPr>
              <w:jc w:val="center"/>
              <w:rPr>
                <w:color w:val="auto"/>
                <w:kern w:val="0"/>
                <w:szCs w:val="21"/>
                <w:highlight w:val="none"/>
              </w:rPr>
            </w:pPr>
            <w:r>
              <w:rPr>
                <w:rFonts w:hint="eastAsia"/>
                <w:color w:val="auto"/>
                <w:kern w:val="0"/>
                <w:szCs w:val="21"/>
                <w:highlight w:val="none"/>
              </w:rPr>
              <w:t>BOD</w:t>
            </w:r>
            <w:r>
              <w:rPr>
                <w:rFonts w:hint="eastAsia"/>
                <w:color w:val="auto"/>
                <w:kern w:val="0"/>
                <w:szCs w:val="21"/>
                <w:highlight w:val="none"/>
                <w:vertAlign w:val="subscript"/>
              </w:rPr>
              <w:t>5</w:t>
            </w:r>
          </w:p>
        </w:tc>
        <w:tc>
          <w:tcPr>
            <w:tcW w:w="1527" w:type="dxa"/>
          </w:tcPr>
          <w:p>
            <w:pPr>
              <w:jc w:val="center"/>
              <w:rPr>
                <w:color w:val="auto"/>
                <w:kern w:val="0"/>
                <w:szCs w:val="21"/>
                <w:highlight w:val="none"/>
              </w:rPr>
            </w:pPr>
            <w:r>
              <w:rPr>
                <w:rFonts w:hint="eastAsia"/>
                <w:color w:val="auto"/>
                <w:kern w:val="0"/>
                <w:szCs w:val="21"/>
                <w:highlight w:val="none"/>
              </w:rPr>
              <w:t>氨氮</w:t>
            </w:r>
          </w:p>
        </w:tc>
        <w:tc>
          <w:tcPr>
            <w:tcW w:w="1383" w:type="dxa"/>
          </w:tcPr>
          <w:p>
            <w:pPr>
              <w:jc w:val="center"/>
              <w:rPr>
                <w:color w:val="auto"/>
                <w:kern w:val="0"/>
                <w:szCs w:val="21"/>
                <w:highlight w:val="none"/>
              </w:rPr>
            </w:pPr>
            <w:r>
              <w:rPr>
                <w:rFonts w:hint="eastAsia"/>
                <w:color w:val="auto"/>
                <w:kern w:val="0"/>
                <w:szCs w:val="21"/>
                <w:highlight w:val="none"/>
              </w:rPr>
              <w:t>SS</w:t>
            </w:r>
          </w:p>
        </w:tc>
        <w:tc>
          <w:tcPr>
            <w:tcW w:w="1384" w:type="dxa"/>
          </w:tcPr>
          <w:p>
            <w:pPr>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636" w:type="dxa"/>
            <w:vMerge w:val="restart"/>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DW001</w:t>
            </w:r>
          </w:p>
        </w:tc>
        <w:tc>
          <w:tcPr>
            <w:tcW w:w="1639" w:type="dxa"/>
            <w:vMerge w:val="restart"/>
            <w:vAlign w:val="top"/>
          </w:tcPr>
          <w:p>
            <w:pPr>
              <w:jc w:val="center"/>
              <w:rPr>
                <w:color w:val="auto"/>
                <w:kern w:val="0"/>
                <w:szCs w:val="21"/>
                <w:highlight w:val="none"/>
              </w:rPr>
            </w:pPr>
            <w:r>
              <w:rPr>
                <w:rFonts w:hint="eastAsia"/>
                <w:color w:val="auto"/>
                <w:kern w:val="0"/>
                <w:szCs w:val="21"/>
                <w:highlight w:val="none"/>
                <w:lang w:val="en-US" w:eastAsia="zh-CN"/>
              </w:rPr>
              <w:t>地面清洁废水</w:t>
            </w:r>
            <w:r>
              <w:rPr>
                <w:rFonts w:hint="eastAsia"/>
                <w:color w:val="auto"/>
                <w:kern w:val="0"/>
                <w:szCs w:val="21"/>
                <w:highlight w:val="none"/>
              </w:rPr>
              <w:t>（</w:t>
            </w:r>
            <w:r>
              <w:rPr>
                <w:rFonts w:hint="eastAsia"/>
                <w:color w:val="auto"/>
                <w:kern w:val="0"/>
                <w:szCs w:val="21"/>
                <w:highlight w:val="none"/>
                <w:lang w:val="en-US" w:eastAsia="zh-CN"/>
              </w:rPr>
              <w:t>54</w:t>
            </w:r>
            <w:r>
              <w:rPr>
                <w:rFonts w:hint="eastAsia"/>
                <w:color w:val="auto"/>
                <w:kern w:val="0"/>
                <w:szCs w:val="21"/>
                <w:highlight w:val="none"/>
              </w:rPr>
              <w:t>t/a）</w:t>
            </w: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浓度</w:t>
            </w:r>
          </w:p>
        </w:tc>
        <w:tc>
          <w:tcPr>
            <w:tcW w:w="1467" w:type="dxa"/>
          </w:tcPr>
          <w:p>
            <w:pPr>
              <w:jc w:val="center"/>
              <w:rPr>
                <w:color w:val="auto"/>
                <w:kern w:val="0"/>
                <w:szCs w:val="21"/>
                <w:highlight w:val="none"/>
              </w:rPr>
            </w:pPr>
            <w:r>
              <w:rPr>
                <w:rFonts w:hint="eastAsia"/>
                <w:color w:val="auto"/>
                <w:kern w:val="0"/>
                <w:szCs w:val="21"/>
                <w:highlight w:val="none"/>
              </w:rPr>
              <w:t>mg/L</w:t>
            </w:r>
          </w:p>
        </w:tc>
        <w:tc>
          <w:tcPr>
            <w:tcW w:w="1238" w:type="dxa"/>
          </w:tcPr>
          <w:p>
            <w:pPr>
              <w:jc w:val="center"/>
              <w:rPr>
                <w:color w:val="auto"/>
                <w:kern w:val="0"/>
                <w:szCs w:val="21"/>
                <w:highlight w:val="none"/>
              </w:rPr>
            </w:pPr>
            <w:r>
              <w:rPr>
                <w:rFonts w:hint="eastAsia"/>
                <w:color w:val="auto"/>
                <w:kern w:val="0"/>
                <w:szCs w:val="21"/>
                <w:highlight w:val="none"/>
              </w:rPr>
              <w:t>400</w:t>
            </w:r>
          </w:p>
        </w:tc>
        <w:tc>
          <w:tcPr>
            <w:tcW w:w="1555" w:type="dxa"/>
          </w:tcPr>
          <w:p>
            <w:pPr>
              <w:jc w:val="center"/>
              <w:rPr>
                <w:color w:val="auto"/>
                <w:kern w:val="0"/>
                <w:szCs w:val="21"/>
                <w:highlight w:val="none"/>
              </w:rPr>
            </w:pPr>
            <w:r>
              <w:rPr>
                <w:rFonts w:hint="eastAsia"/>
                <w:color w:val="auto"/>
                <w:kern w:val="0"/>
                <w:szCs w:val="21"/>
                <w:highlight w:val="none"/>
              </w:rPr>
              <w:t>200</w:t>
            </w:r>
          </w:p>
        </w:tc>
        <w:tc>
          <w:tcPr>
            <w:tcW w:w="1527" w:type="dxa"/>
          </w:tcPr>
          <w:p>
            <w:pPr>
              <w:jc w:val="center"/>
              <w:rPr>
                <w:color w:val="auto"/>
                <w:kern w:val="0"/>
                <w:szCs w:val="21"/>
                <w:highlight w:val="none"/>
              </w:rPr>
            </w:pPr>
            <w:r>
              <w:rPr>
                <w:rFonts w:hint="eastAsia"/>
                <w:color w:val="auto"/>
                <w:kern w:val="0"/>
                <w:szCs w:val="21"/>
                <w:highlight w:val="none"/>
              </w:rPr>
              <w:t>25</w:t>
            </w:r>
          </w:p>
        </w:tc>
        <w:tc>
          <w:tcPr>
            <w:tcW w:w="1383" w:type="dxa"/>
          </w:tcPr>
          <w:p>
            <w:pPr>
              <w:jc w:val="center"/>
              <w:rPr>
                <w:color w:val="auto"/>
                <w:kern w:val="0"/>
                <w:szCs w:val="21"/>
                <w:highlight w:val="none"/>
              </w:rPr>
            </w:pPr>
            <w:r>
              <w:rPr>
                <w:rFonts w:hint="eastAsia"/>
                <w:color w:val="auto"/>
                <w:kern w:val="0"/>
                <w:szCs w:val="21"/>
                <w:highlight w:val="none"/>
              </w:rPr>
              <w:t>220</w:t>
            </w:r>
          </w:p>
        </w:tc>
        <w:tc>
          <w:tcPr>
            <w:tcW w:w="1384"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636" w:type="dxa"/>
            <w:vMerge w:val="continue"/>
          </w:tcPr>
          <w:p>
            <w:pPr>
              <w:jc w:val="center"/>
              <w:rPr>
                <w:color w:val="auto"/>
                <w:kern w:val="0"/>
                <w:szCs w:val="21"/>
                <w:highlight w:val="none"/>
              </w:rPr>
            </w:pPr>
          </w:p>
        </w:tc>
        <w:tc>
          <w:tcPr>
            <w:tcW w:w="1639" w:type="dxa"/>
            <w:vMerge w:val="continue"/>
            <w:vAlign w:val="top"/>
          </w:tcPr>
          <w:p>
            <w:pPr>
              <w:jc w:val="center"/>
              <w:rPr>
                <w:color w:val="auto"/>
                <w:kern w:val="0"/>
                <w:szCs w:val="21"/>
                <w:highlight w:val="none"/>
              </w:rPr>
            </w:pP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产生量</w:t>
            </w:r>
          </w:p>
        </w:tc>
        <w:tc>
          <w:tcPr>
            <w:tcW w:w="1467" w:type="dxa"/>
          </w:tcPr>
          <w:p>
            <w:pPr>
              <w:jc w:val="center"/>
              <w:rPr>
                <w:color w:val="auto"/>
                <w:kern w:val="0"/>
                <w:szCs w:val="21"/>
                <w:highlight w:val="none"/>
              </w:rPr>
            </w:pPr>
            <w:r>
              <w:rPr>
                <w:rFonts w:hint="eastAsia"/>
                <w:color w:val="auto"/>
                <w:kern w:val="0"/>
                <w:szCs w:val="21"/>
                <w:highlight w:val="none"/>
              </w:rPr>
              <w:t>t/a</w:t>
            </w:r>
          </w:p>
        </w:tc>
        <w:tc>
          <w:tcPr>
            <w:tcW w:w="1238"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0.0216</w:t>
            </w:r>
          </w:p>
        </w:tc>
        <w:tc>
          <w:tcPr>
            <w:tcW w:w="1555"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0.0108</w:t>
            </w:r>
          </w:p>
        </w:tc>
        <w:tc>
          <w:tcPr>
            <w:tcW w:w="1527"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0.00135</w:t>
            </w:r>
          </w:p>
        </w:tc>
        <w:tc>
          <w:tcPr>
            <w:tcW w:w="1383"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0.01188</w:t>
            </w:r>
          </w:p>
        </w:tc>
        <w:tc>
          <w:tcPr>
            <w:tcW w:w="1384" w:type="dxa"/>
          </w:tcPr>
          <w:p>
            <w:pPr>
              <w:jc w:val="center"/>
              <w:rPr>
                <w:rFonts w:hint="default"/>
                <w:color w:val="auto"/>
                <w:kern w:val="0"/>
                <w:szCs w:val="21"/>
                <w:highlight w:val="none"/>
                <w:lang w:val="en-US" w:eastAsia="zh-CN"/>
              </w:rPr>
            </w:pPr>
            <w:r>
              <w:rPr>
                <w:rFonts w:hint="eastAsia"/>
                <w:color w:val="auto"/>
                <w:kern w:val="0"/>
                <w:szCs w:val="21"/>
                <w:highlight w:val="none"/>
                <w:lang w:val="en-US" w:eastAsia="zh-CN"/>
              </w:rPr>
              <w:t>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36" w:type="dxa"/>
            <w:vMerge w:val="continue"/>
          </w:tcPr>
          <w:p>
            <w:pPr>
              <w:jc w:val="center"/>
              <w:rPr>
                <w:color w:val="auto"/>
                <w:kern w:val="0"/>
                <w:szCs w:val="21"/>
                <w:highlight w:val="none"/>
              </w:rPr>
            </w:pPr>
          </w:p>
        </w:tc>
        <w:tc>
          <w:tcPr>
            <w:tcW w:w="1639" w:type="dxa"/>
            <w:vMerge w:val="restart"/>
            <w:vAlign w:val="top"/>
          </w:tcPr>
          <w:p>
            <w:pPr>
              <w:jc w:val="center"/>
              <w:rPr>
                <w:color w:val="auto"/>
                <w:kern w:val="0"/>
                <w:szCs w:val="21"/>
                <w:highlight w:val="none"/>
              </w:rPr>
            </w:pPr>
            <w:r>
              <w:rPr>
                <w:rFonts w:hint="eastAsia"/>
                <w:color w:val="auto"/>
                <w:kern w:val="0"/>
                <w:szCs w:val="21"/>
                <w:highlight w:val="none"/>
              </w:rPr>
              <w:t>生活污水（</w:t>
            </w:r>
            <w:r>
              <w:rPr>
                <w:rFonts w:hint="eastAsia"/>
                <w:color w:val="auto"/>
                <w:kern w:val="0"/>
                <w:szCs w:val="21"/>
                <w:highlight w:val="none"/>
                <w:lang w:val="en-US" w:eastAsia="zh-CN"/>
              </w:rPr>
              <w:t>59.76</w:t>
            </w:r>
            <w:r>
              <w:rPr>
                <w:rFonts w:hint="eastAsia"/>
                <w:color w:val="auto"/>
                <w:kern w:val="0"/>
                <w:szCs w:val="21"/>
                <w:highlight w:val="none"/>
              </w:rPr>
              <w:t>t/a）</w:t>
            </w: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浓度</w:t>
            </w:r>
          </w:p>
        </w:tc>
        <w:tc>
          <w:tcPr>
            <w:tcW w:w="1467" w:type="dxa"/>
          </w:tcPr>
          <w:p>
            <w:pPr>
              <w:jc w:val="center"/>
              <w:rPr>
                <w:color w:val="auto"/>
                <w:highlight w:val="none"/>
              </w:rPr>
            </w:pPr>
            <w:r>
              <w:rPr>
                <w:rFonts w:hint="eastAsia"/>
                <w:color w:val="auto"/>
                <w:kern w:val="0"/>
                <w:szCs w:val="21"/>
                <w:highlight w:val="none"/>
              </w:rPr>
              <w:t>mg/L</w:t>
            </w:r>
          </w:p>
        </w:tc>
        <w:tc>
          <w:tcPr>
            <w:tcW w:w="1238" w:type="dxa"/>
          </w:tcPr>
          <w:p>
            <w:pPr>
              <w:jc w:val="center"/>
              <w:rPr>
                <w:color w:val="auto"/>
                <w:kern w:val="0"/>
                <w:szCs w:val="21"/>
                <w:highlight w:val="none"/>
              </w:rPr>
            </w:pPr>
            <w:r>
              <w:rPr>
                <w:rFonts w:hint="eastAsia"/>
                <w:color w:val="auto"/>
                <w:kern w:val="0"/>
                <w:szCs w:val="21"/>
                <w:highlight w:val="none"/>
              </w:rPr>
              <w:t>400</w:t>
            </w:r>
          </w:p>
        </w:tc>
        <w:tc>
          <w:tcPr>
            <w:tcW w:w="1555" w:type="dxa"/>
          </w:tcPr>
          <w:p>
            <w:pPr>
              <w:jc w:val="center"/>
              <w:rPr>
                <w:color w:val="auto"/>
                <w:kern w:val="0"/>
                <w:szCs w:val="21"/>
                <w:highlight w:val="none"/>
              </w:rPr>
            </w:pPr>
            <w:r>
              <w:rPr>
                <w:rFonts w:hint="eastAsia"/>
                <w:color w:val="auto"/>
                <w:kern w:val="0"/>
                <w:szCs w:val="21"/>
                <w:highlight w:val="none"/>
              </w:rPr>
              <w:t>200</w:t>
            </w:r>
          </w:p>
        </w:tc>
        <w:tc>
          <w:tcPr>
            <w:tcW w:w="1527" w:type="dxa"/>
          </w:tcPr>
          <w:p>
            <w:pPr>
              <w:jc w:val="center"/>
              <w:rPr>
                <w:color w:val="auto"/>
                <w:kern w:val="0"/>
                <w:szCs w:val="21"/>
                <w:highlight w:val="none"/>
              </w:rPr>
            </w:pPr>
            <w:r>
              <w:rPr>
                <w:rFonts w:hint="eastAsia"/>
                <w:color w:val="auto"/>
                <w:kern w:val="0"/>
                <w:szCs w:val="21"/>
                <w:highlight w:val="none"/>
              </w:rPr>
              <w:t>25</w:t>
            </w:r>
          </w:p>
        </w:tc>
        <w:tc>
          <w:tcPr>
            <w:tcW w:w="1383" w:type="dxa"/>
          </w:tcPr>
          <w:p>
            <w:pPr>
              <w:jc w:val="center"/>
              <w:rPr>
                <w:rFonts w:hint="default"/>
                <w:color w:val="auto"/>
                <w:kern w:val="0"/>
                <w:szCs w:val="21"/>
                <w:highlight w:val="none"/>
                <w:lang w:val="en-US"/>
              </w:rPr>
            </w:pPr>
            <w:r>
              <w:rPr>
                <w:rFonts w:hint="default"/>
                <w:color w:val="auto"/>
                <w:kern w:val="0"/>
                <w:szCs w:val="21"/>
                <w:highlight w:val="none"/>
                <w:lang w:val="en-US"/>
              </w:rPr>
              <w:t>220</w:t>
            </w:r>
          </w:p>
        </w:tc>
        <w:tc>
          <w:tcPr>
            <w:tcW w:w="1384"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36" w:type="dxa"/>
            <w:vMerge w:val="continue"/>
          </w:tcPr>
          <w:p>
            <w:pPr>
              <w:jc w:val="center"/>
              <w:rPr>
                <w:color w:val="auto"/>
                <w:kern w:val="0"/>
                <w:szCs w:val="21"/>
                <w:highlight w:val="none"/>
              </w:rPr>
            </w:pPr>
          </w:p>
        </w:tc>
        <w:tc>
          <w:tcPr>
            <w:tcW w:w="1639" w:type="dxa"/>
            <w:vMerge w:val="continue"/>
            <w:vAlign w:val="top"/>
          </w:tcPr>
          <w:p>
            <w:pPr>
              <w:jc w:val="center"/>
              <w:rPr>
                <w:color w:val="auto"/>
                <w:kern w:val="0"/>
                <w:szCs w:val="21"/>
                <w:highlight w:val="none"/>
              </w:rPr>
            </w:pP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产生量</w:t>
            </w:r>
          </w:p>
        </w:tc>
        <w:tc>
          <w:tcPr>
            <w:tcW w:w="1467" w:type="dxa"/>
          </w:tcPr>
          <w:p>
            <w:pPr>
              <w:jc w:val="center"/>
              <w:rPr>
                <w:color w:val="auto"/>
                <w:highlight w:val="none"/>
              </w:rPr>
            </w:pPr>
            <w:r>
              <w:rPr>
                <w:rFonts w:hint="eastAsia"/>
                <w:color w:val="auto"/>
                <w:kern w:val="0"/>
                <w:szCs w:val="21"/>
                <w:highlight w:val="none"/>
              </w:rPr>
              <w:t>t/a</w:t>
            </w:r>
          </w:p>
        </w:tc>
        <w:tc>
          <w:tcPr>
            <w:tcW w:w="1238"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0.0239</w:t>
            </w:r>
          </w:p>
        </w:tc>
        <w:tc>
          <w:tcPr>
            <w:tcW w:w="1555"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0.01195</w:t>
            </w:r>
          </w:p>
        </w:tc>
        <w:tc>
          <w:tcPr>
            <w:tcW w:w="1527"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0.00145</w:t>
            </w:r>
          </w:p>
        </w:tc>
        <w:tc>
          <w:tcPr>
            <w:tcW w:w="1383"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0.01315</w:t>
            </w:r>
          </w:p>
        </w:tc>
        <w:tc>
          <w:tcPr>
            <w:tcW w:w="1384" w:type="dxa"/>
          </w:tcPr>
          <w:p>
            <w:pPr>
              <w:jc w:val="center"/>
              <w:rPr>
                <w:rFonts w:hint="default"/>
                <w:color w:val="auto"/>
                <w:kern w:val="0"/>
                <w:szCs w:val="21"/>
                <w:highlight w:val="none"/>
                <w:lang w:val="en-US" w:eastAsia="zh-CN"/>
              </w:rPr>
            </w:pPr>
            <w:r>
              <w:rPr>
                <w:rFonts w:hint="eastAsia"/>
                <w:color w:val="auto"/>
                <w:kern w:val="0"/>
                <w:szCs w:val="21"/>
                <w:highlight w:val="none"/>
                <w:lang w:val="en-US" w:eastAsia="zh-CN"/>
              </w:rPr>
              <w:t>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Pr>
          <w:p>
            <w:pPr>
              <w:jc w:val="center"/>
              <w:rPr>
                <w:color w:val="auto"/>
                <w:kern w:val="0"/>
                <w:szCs w:val="21"/>
                <w:highlight w:val="none"/>
              </w:rPr>
            </w:pPr>
          </w:p>
        </w:tc>
        <w:tc>
          <w:tcPr>
            <w:tcW w:w="1639" w:type="dxa"/>
            <w:vMerge w:val="restart"/>
            <w:vAlign w:val="top"/>
          </w:tcPr>
          <w:p>
            <w:pPr>
              <w:jc w:val="center"/>
              <w:rPr>
                <w:color w:val="auto"/>
                <w:kern w:val="0"/>
                <w:szCs w:val="21"/>
                <w:highlight w:val="none"/>
              </w:rPr>
            </w:pPr>
            <w:r>
              <w:rPr>
                <w:rFonts w:hint="eastAsia"/>
                <w:color w:val="auto"/>
                <w:kern w:val="0"/>
                <w:szCs w:val="21"/>
                <w:highlight w:val="none"/>
              </w:rPr>
              <w:t>化粪池处理后（</w:t>
            </w:r>
            <w:r>
              <w:rPr>
                <w:rFonts w:hint="eastAsia"/>
                <w:color w:val="auto"/>
                <w:kern w:val="0"/>
                <w:szCs w:val="21"/>
                <w:highlight w:val="none"/>
                <w:lang w:val="en-US" w:eastAsia="zh-CN"/>
              </w:rPr>
              <w:t>113.76</w:t>
            </w:r>
            <w:r>
              <w:rPr>
                <w:rFonts w:hint="eastAsia"/>
                <w:color w:val="auto"/>
                <w:kern w:val="0"/>
                <w:szCs w:val="21"/>
                <w:highlight w:val="none"/>
              </w:rPr>
              <w:t>m</w:t>
            </w:r>
            <w:r>
              <w:rPr>
                <w:rFonts w:hint="eastAsia"/>
                <w:color w:val="auto"/>
                <w:kern w:val="0"/>
                <w:szCs w:val="21"/>
                <w:highlight w:val="none"/>
                <w:vertAlign w:val="superscript"/>
              </w:rPr>
              <w:t>3</w:t>
            </w:r>
            <w:r>
              <w:rPr>
                <w:rFonts w:hint="eastAsia"/>
                <w:color w:val="auto"/>
                <w:kern w:val="0"/>
                <w:szCs w:val="21"/>
                <w:highlight w:val="none"/>
              </w:rPr>
              <w:t>/</w:t>
            </w:r>
            <w:r>
              <w:rPr>
                <w:rFonts w:hint="eastAsia"/>
                <w:color w:val="auto"/>
                <w:kern w:val="0"/>
                <w:szCs w:val="21"/>
                <w:highlight w:val="none"/>
                <w:lang w:val="en-US" w:eastAsia="zh-CN"/>
              </w:rPr>
              <w:t>a</w:t>
            </w:r>
            <w:r>
              <w:rPr>
                <w:rFonts w:hint="eastAsia"/>
                <w:color w:val="auto"/>
                <w:kern w:val="0"/>
                <w:szCs w:val="21"/>
                <w:highlight w:val="none"/>
              </w:rPr>
              <w:t>）</w:t>
            </w: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浓度</w:t>
            </w:r>
          </w:p>
        </w:tc>
        <w:tc>
          <w:tcPr>
            <w:tcW w:w="1467" w:type="dxa"/>
          </w:tcPr>
          <w:p>
            <w:pPr>
              <w:jc w:val="center"/>
              <w:rPr>
                <w:color w:val="auto"/>
                <w:kern w:val="0"/>
                <w:szCs w:val="21"/>
                <w:highlight w:val="none"/>
              </w:rPr>
            </w:pPr>
            <w:r>
              <w:rPr>
                <w:rFonts w:hint="eastAsia"/>
                <w:color w:val="auto"/>
                <w:kern w:val="0"/>
                <w:szCs w:val="21"/>
                <w:highlight w:val="none"/>
              </w:rPr>
              <w:t>mg/L</w:t>
            </w:r>
          </w:p>
        </w:tc>
        <w:tc>
          <w:tcPr>
            <w:tcW w:w="1238" w:type="dxa"/>
          </w:tcPr>
          <w:p>
            <w:pPr>
              <w:jc w:val="center"/>
              <w:rPr>
                <w:color w:val="auto"/>
                <w:kern w:val="0"/>
                <w:szCs w:val="21"/>
                <w:highlight w:val="none"/>
              </w:rPr>
            </w:pPr>
            <w:r>
              <w:rPr>
                <w:rFonts w:hint="eastAsia"/>
                <w:color w:val="auto"/>
                <w:kern w:val="0"/>
                <w:szCs w:val="21"/>
                <w:highlight w:val="none"/>
              </w:rPr>
              <w:t>300</w:t>
            </w:r>
          </w:p>
        </w:tc>
        <w:tc>
          <w:tcPr>
            <w:tcW w:w="1555" w:type="dxa"/>
          </w:tcPr>
          <w:p>
            <w:pPr>
              <w:jc w:val="center"/>
              <w:rPr>
                <w:color w:val="auto"/>
                <w:kern w:val="0"/>
                <w:szCs w:val="21"/>
                <w:highlight w:val="none"/>
              </w:rPr>
            </w:pPr>
            <w:r>
              <w:rPr>
                <w:rFonts w:hint="eastAsia"/>
                <w:color w:val="auto"/>
                <w:kern w:val="0"/>
                <w:szCs w:val="21"/>
                <w:highlight w:val="none"/>
              </w:rPr>
              <w:t>180</w:t>
            </w:r>
          </w:p>
        </w:tc>
        <w:tc>
          <w:tcPr>
            <w:tcW w:w="1527" w:type="dxa"/>
          </w:tcPr>
          <w:p>
            <w:pPr>
              <w:jc w:val="center"/>
              <w:rPr>
                <w:color w:val="auto"/>
                <w:kern w:val="0"/>
                <w:szCs w:val="21"/>
                <w:highlight w:val="none"/>
              </w:rPr>
            </w:pPr>
            <w:r>
              <w:rPr>
                <w:rFonts w:hint="eastAsia"/>
                <w:color w:val="auto"/>
                <w:kern w:val="0"/>
                <w:szCs w:val="21"/>
                <w:highlight w:val="none"/>
              </w:rPr>
              <w:t>25</w:t>
            </w:r>
          </w:p>
        </w:tc>
        <w:tc>
          <w:tcPr>
            <w:tcW w:w="1383" w:type="dxa"/>
          </w:tcPr>
          <w:p>
            <w:pPr>
              <w:jc w:val="center"/>
              <w:rPr>
                <w:color w:val="auto"/>
                <w:kern w:val="0"/>
                <w:szCs w:val="21"/>
                <w:highlight w:val="none"/>
              </w:rPr>
            </w:pPr>
            <w:r>
              <w:rPr>
                <w:rFonts w:hint="eastAsia"/>
                <w:color w:val="auto"/>
                <w:kern w:val="0"/>
                <w:szCs w:val="21"/>
                <w:highlight w:val="none"/>
              </w:rPr>
              <w:t>100</w:t>
            </w:r>
          </w:p>
        </w:tc>
        <w:tc>
          <w:tcPr>
            <w:tcW w:w="1384"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Pr>
          <w:p>
            <w:pPr>
              <w:jc w:val="center"/>
              <w:rPr>
                <w:color w:val="auto"/>
                <w:kern w:val="0"/>
                <w:szCs w:val="21"/>
                <w:highlight w:val="none"/>
              </w:rPr>
            </w:pPr>
          </w:p>
        </w:tc>
        <w:tc>
          <w:tcPr>
            <w:tcW w:w="1639" w:type="dxa"/>
            <w:vMerge w:val="continue"/>
            <w:vAlign w:val="top"/>
          </w:tcPr>
          <w:p>
            <w:pPr>
              <w:jc w:val="center"/>
              <w:rPr>
                <w:color w:val="auto"/>
                <w:kern w:val="0"/>
                <w:szCs w:val="21"/>
                <w:highlight w:val="none"/>
              </w:rPr>
            </w:pP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处理效率</w:t>
            </w:r>
          </w:p>
        </w:tc>
        <w:tc>
          <w:tcPr>
            <w:tcW w:w="1467" w:type="dxa"/>
          </w:tcPr>
          <w:p>
            <w:pPr>
              <w:jc w:val="center"/>
              <w:rPr>
                <w:color w:val="auto"/>
                <w:kern w:val="0"/>
                <w:szCs w:val="21"/>
                <w:highlight w:val="none"/>
              </w:rPr>
            </w:pPr>
            <w:r>
              <w:rPr>
                <w:rFonts w:hint="eastAsia"/>
                <w:color w:val="auto"/>
                <w:kern w:val="0"/>
                <w:szCs w:val="21"/>
                <w:highlight w:val="none"/>
              </w:rPr>
              <w:t>%</w:t>
            </w:r>
          </w:p>
        </w:tc>
        <w:tc>
          <w:tcPr>
            <w:tcW w:w="1238" w:type="dxa"/>
          </w:tcPr>
          <w:p>
            <w:pPr>
              <w:jc w:val="center"/>
              <w:rPr>
                <w:color w:val="auto"/>
                <w:kern w:val="0"/>
                <w:szCs w:val="21"/>
                <w:highlight w:val="none"/>
              </w:rPr>
            </w:pPr>
            <w:r>
              <w:rPr>
                <w:rFonts w:hint="eastAsia"/>
                <w:color w:val="auto"/>
                <w:kern w:val="0"/>
                <w:szCs w:val="21"/>
                <w:highlight w:val="none"/>
              </w:rPr>
              <w:t>25</w:t>
            </w:r>
          </w:p>
        </w:tc>
        <w:tc>
          <w:tcPr>
            <w:tcW w:w="1555" w:type="dxa"/>
          </w:tcPr>
          <w:p>
            <w:pPr>
              <w:jc w:val="center"/>
              <w:rPr>
                <w:color w:val="auto"/>
                <w:kern w:val="0"/>
                <w:szCs w:val="21"/>
                <w:highlight w:val="none"/>
              </w:rPr>
            </w:pPr>
            <w:r>
              <w:rPr>
                <w:rFonts w:hint="eastAsia"/>
                <w:color w:val="auto"/>
                <w:kern w:val="0"/>
                <w:szCs w:val="21"/>
                <w:highlight w:val="none"/>
              </w:rPr>
              <w:t>10</w:t>
            </w:r>
          </w:p>
        </w:tc>
        <w:tc>
          <w:tcPr>
            <w:tcW w:w="1527" w:type="dxa"/>
          </w:tcPr>
          <w:p>
            <w:pPr>
              <w:jc w:val="center"/>
              <w:rPr>
                <w:color w:val="auto"/>
                <w:kern w:val="0"/>
                <w:szCs w:val="21"/>
                <w:highlight w:val="none"/>
              </w:rPr>
            </w:pPr>
            <w:r>
              <w:rPr>
                <w:rFonts w:hint="eastAsia"/>
                <w:color w:val="auto"/>
                <w:kern w:val="0"/>
                <w:szCs w:val="21"/>
                <w:highlight w:val="none"/>
              </w:rPr>
              <w:t>0</w:t>
            </w:r>
          </w:p>
        </w:tc>
        <w:tc>
          <w:tcPr>
            <w:tcW w:w="1383" w:type="dxa"/>
          </w:tcPr>
          <w:p>
            <w:pPr>
              <w:jc w:val="center"/>
              <w:rPr>
                <w:color w:val="auto"/>
                <w:kern w:val="0"/>
                <w:szCs w:val="21"/>
                <w:highlight w:val="none"/>
              </w:rPr>
            </w:pPr>
            <w:r>
              <w:rPr>
                <w:rFonts w:hint="eastAsia"/>
                <w:color w:val="auto"/>
                <w:kern w:val="0"/>
                <w:szCs w:val="21"/>
                <w:highlight w:val="none"/>
              </w:rPr>
              <w:t>55</w:t>
            </w:r>
          </w:p>
        </w:tc>
        <w:tc>
          <w:tcPr>
            <w:tcW w:w="1384" w:type="dxa"/>
          </w:tcPr>
          <w:p>
            <w:pPr>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Pr>
          <w:p>
            <w:pPr>
              <w:jc w:val="center"/>
              <w:rPr>
                <w:color w:val="auto"/>
                <w:kern w:val="0"/>
                <w:szCs w:val="21"/>
                <w:highlight w:val="none"/>
              </w:rPr>
            </w:pPr>
          </w:p>
        </w:tc>
        <w:tc>
          <w:tcPr>
            <w:tcW w:w="1639" w:type="dxa"/>
            <w:vMerge w:val="continue"/>
            <w:vAlign w:val="top"/>
          </w:tcPr>
          <w:p>
            <w:pPr>
              <w:jc w:val="center"/>
              <w:rPr>
                <w:color w:val="auto"/>
                <w:kern w:val="0"/>
                <w:szCs w:val="21"/>
                <w:highlight w:val="none"/>
              </w:rPr>
            </w:pP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污染物</w:t>
            </w:r>
          </w:p>
        </w:tc>
        <w:tc>
          <w:tcPr>
            <w:tcW w:w="1467" w:type="dxa"/>
          </w:tcPr>
          <w:p>
            <w:pPr>
              <w:jc w:val="center"/>
              <w:rPr>
                <w:color w:val="auto"/>
                <w:kern w:val="0"/>
                <w:szCs w:val="21"/>
                <w:highlight w:val="none"/>
              </w:rPr>
            </w:pPr>
            <w:r>
              <w:rPr>
                <w:rFonts w:hint="eastAsia"/>
                <w:color w:val="auto"/>
                <w:kern w:val="0"/>
                <w:szCs w:val="21"/>
                <w:highlight w:val="none"/>
              </w:rPr>
              <w:t>t/a</w:t>
            </w:r>
          </w:p>
        </w:tc>
        <w:tc>
          <w:tcPr>
            <w:tcW w:w="1238"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0.0455</w:t>
            </w:r>
          </w:p>
        </w:tc>
        <w:tc>
          <w:tcPr>
            <w:tcW w:w="1555"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0.02275</w:t>
            </w:r>
          </w:p>
        </w:tc>
        <w:tc>
          <w:tcPr>
            <w:tcW w:w="1527"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0.0028</w:t>
            </w:r>
          </w:p>
        </w:tc>
        <w:tc>
          <w:tcPr>
            <w:tcW w:w="1383"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0.02503</w:t>
            </w:r>
          </w:p>
        </w:tc>
        <w:tc>
          <w:tcPr>
            <w:tcW w:w="1384" w:type="dxa"/>
          </w:tcPr>
          <w:p>
            <w:pPr>
              <w:jc w:val="center"/>
              <w:rPr>
                <w:rFonts w:hint="default"/>
                <w:color w:val="auto"/>
                <w:kern w:val="0"/>
                <w:szCs w:val="21"/>
                <w:highlight w:val="none"/>
                <w:lang w:val="en-US" w:eastAsia="zh-CN"/>
              </w:rPr>
            </w:pPr>
            <w:r>
              <w:rPr>
                <w:rFonts w:hint="eastAsia"/>
                <w:color w:val="auto"/>
                <w:kern w:val="0"/>
                <w:szCs w:val="21"/>
                <w:highlight w:val="none"/>
                <w:lang w:val="en-US" w:eastAsia="zh-CN"/>
              </w:rPr>
              <w:t>0.00049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Pr>
          <w:p>
            <w:pPr>
              <w:jc w:val="center"/>
              <w:rPr>
                <w:color w:val="auto"/>
                <w:kern w:val="0"/>
                <w:szCs w:val="21"/>
                <w:highlight w:val="none"/>
              </w:rPr>
            </w:pPr>
          </w:p>
        </w:tc>
        <w:tc>
          <w:tcPr>
            <w:tcW w:w="1639" w:type="dxa"/>
            <w:vMerge w:val="continue"/>
            <w:vAlign w:val="top"/>
          </w:tcPr>
          <w:p>
            <w:pPr>
              <w:jc w:val="center"/>
              <w:rPr>
                <w:color w:val="auto"/>
                <w:kern w:val="0"/>
                <w:szCs w:val="21"/>
                <w:highlight w:val="none"/>
              </w:rPr>
            </w:pP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污染物削减量</w:t>
            </w:r>
          </w:p>
        </w:tc>
        <w:tc>
          <w:tcPr>
            <w:tcW w:w="1467" w:type="dxa"/>
          </w:tcPr>
          <w:p>
            <w:pPr>
              <w:jc w:val="center"/>
              <w:rPr>
                <w:color w:val="auto"/>
                <w:kern w:val="0"/>
                <w:szCs w:val="21"/>
                <w:highlight w:val="none"/>
              </w:rPr>
            </w:pPr>
            <w:r>
              <w:rPr>
                <w:rFonts w:hint="eastAsia"/>
                <w:color w:val="auto"/>
                <w:kern w:val="0"/>
                <w:szCs w:val="21"/>
                <w:highlight w:val="none"/>
              </w:rPr>
              <w:t>t/a</w:t>
            </w:r>
          </w:p>
        </w:tc>
        <w:tc>
          <w:tcPr>
            <w:tcW w:w="1238"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0.0115</w:t>
            </w:r>
          </w:p>
        </w:tc>
        <w:tc>
          <w:tcPr>
            <w:tcW w:w="1555"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0.00225</w:t>
            </w:r>
          </w:p>
        </w:tc>
        <w:tc>
          <w:tcPr>
            <w:tcW w:w="1527"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w:t>
            </w:r>
          </w:p>
        </w:tc>
        <w:tc>
          <w:tcPr>
            <w:tcW w:w="1383"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0.01363</w:t>
            </w:r>
          </w:p>
        </w:tc>
        <w:tc>
          <w:tcPr>
            <w:tcW w:w="1384" w:type="dxa"/>
          </w:tcPr>
          <w:p>
            <w:pPr>
              <w:jc w:val="center"/>
              <w:rPr>
                <w:rFonts w:hint="default"/>
                <w:color w:val="auto"/>
                <w:kern w:val="0"/>
                <w:szCs w:val="21"/>
                <w:highlight w:val="none"/>
                <w:lang w:val="en-US" w:eastAsia="zh-CN"/>
              </w:rPr>
            </w:pPr>
            <w:r>
              <w:rPr>
                <w:rFonts w:hint="eastAsia"/>
                <w:color w:val="auto"/>
                <w:kern w:val="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636" w:type="dxa"/>
            <w:vMerge w:val="continue"/>
          </w:tcPr>
          <w:p>
            <w:pPr>
              <w:jc w:val="center"/>
              <w:rPr>
                <w:color w:val="auto"/>
                <w:kern w:val="0"/>
                <w:szCs w:val="21"/>
                <w:highlight w:val="none"/>
              </w:rPr>
            </w:pPr>
          </w:p>
        </w:tc>
        <w:tc>
          <w:tcPr>
            <w:tcW w:w="1639" w:type="dxa"/>
            <w:vMerge w:val="restart"/>
            <w:vAlign w:val="top"/>
          </w:tcPr>
          <w:p>
            <w:pPr>
              <w:jc w:val="center"/>
              <w:rPr>
                <w:color w:val="auto"/>
                <w:kern w:val="0"/>
                <w:szCs w:val="21"/>
                <w:highlight w:val="none"/>
              </w:rPr>
            </w:pPr>
            <w:r>
              <w:rPr>
                <w:rFonts w:hint="eastAsia"/>
                <w:color w:val="auto"/>
                <w:kern w:val="0"/>
                <w:szCs w:val="21"/>
                <w:highlight w:val="none"/>
              </w:rPr>
              <w:t>外排废水量（</w:t>
            </w:r>
            <w:r>
              <w:rPr>
                <w:rFonts w:hint="eastAsia"/>
                <w:color w:val="auto"/>
                <w:kern w:val="0"/>
                <w:szCs w:val="21"/>
                <w:highlight w:val="none"/>
                <w:lang w:val="en-US" w:eastAsia="zh-CN"/>
              </w:rPr>
              <w:t>113.76</w:t>
            </w:r>
            <w:r>
              <w:rPr>
                <w:rFonts w:hint="eastAsia"/>
                <w:color w:val="auto"/>
                <w:kern w:val="0"/>
                <w:szCs w:val="21"/>
                <w:highlight w:val="none"/>
              </w:rPr>
              <w:t>m</w:t>
            </w:r>
            <w:r>
              <w:rPr>
                <w:rFonts w:hint="eastAsia"/>
                <w:color w:val="auto"/>
                <w:kern w:val="0"/>
                <w:szCs w:val="21"/>
                <w:highlight w:val="none"/>
                <w:vertAlign w:val="superscript"/>
              </w:rPr>
              <w:t>3</w:t>
            </w:r>
            <w:r>
              <w:rPr>
                <w:rFonts w:hint="eastAsia"/>
                <w:color w:val="auto"/>
                <w:kern w:val="0"/>
                <w:szCs w:val="21"/>
                <w:highlight w:val="none"/>
              </w:rPr>
              <w:t>/</w:t>
            </w:r>
            <w:r>
              <w:rPr>
                <w:rFonts w:hint="eastAsia"/>
                <w:color w:val="auto"/>
                <w:kern w:val="0"/>
                <w:szCs w:val="21"/>
                <w:highlight w:val="none"/>
                <w:lang w:val="en-US" w:eastAsia="zh-CN"/>
              </w:rPr>
              <w:t>a</w:t>
            </w:r>
            <w:r>
              <w:rPr>
                <w:rFonts w:hint="eastAsia"/>
                <w:color w:val="auto"/>
                <w:kern w:val="0"/>
                <w:szCs w:val="21"/>
                <w:highlight w:val="none"/>
              </w:rPr>
              <w:t>）</w:t>
            </w: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浓度</w:t>
            </w:r>
          </w:p>
        </w:tc>
        <w:tc>
          <w:tcPr>
            <w:tcW w:w="1467" w:type="dxa"/>
          </w:tcPr>
          <w:p>
            <w:pPr>
              <w:jc w:val="center"/>
              <w:rPr>
                <w:color w:val="auto"/>
                <w:kern w:val="0"/>
                <w:szCs w:val="21"/>
                <w:highlight w:val="none"/>
              </w:rPr>
            </w:pPr>
            <w:r>
              <w:rPr>
                <w:rFonts w:hint="eastAsia"/>
                <w:color w:val="auto"/>
                <w:kern w:val="0"/>
                <w:szCs w:val="21"/>
                <w:highlight w:val="none"/>
              </w:rPr>
              <w:t>mg/L</w:t>
            </w:r>
          </w:p>
        </w:tc>
        <w:tc>
          <w:tcPr>
            <w:tcW w:w="1238" w:type="dxa"/>
          </w:tcPr>
          <w:p>
            <w:pPr>
              <w:jc w:val="center"/>
              <w:rPr>
                <w:color w:val="auto"/>
                <w:kern w:val="0"/>
                <w:szCs w:val="21"/>
                <w:highlight w:val="none"/>
              </w:rPr>
            </w:pPr>
            <w:r>
              <w:rPr>
                <w:rFonts w:hint="eastAsia"/>
                <w:color w:val="auto"/>
                <w:kern w:val="0"/>
                <w:szCs w:val="21"/>
                <w:highlight w:val="none"/>
              </w:rPr>
              <w:t>300</w:t>
            </w:r>
          </w:p>
        </w:tc>
        <w:tc>
          <w:tcPr>
            <w:tcW w:w="1555" w:type="dxa"/>
          </w:tcPr>
          <w:p>
            <w:pPr>
              <w:jc w:val="center"/>
              <w:rPr>
                <w:color w:val="auto"/>
                <w:kern w:val="0"/>
                <w:szCs w:val="21"/>
                <w:highlight w:val="none"/>
              </w:rPr>
            </w:pPr>
            <w:r>
              <w:rPr>
                <w:rFonts w:hint="eastAsia"/>
                <w:color w:val="auto"/>
                <w:kern w:val="0"/>
                <w:szCs w:val="21"/>
                <w:highlight w:val="none"/>
              </w:rPr>
              <w:t>180</w:t>
            </w:r>
          </w:p>
        </w:tc>
        <w:tc>
          <w:tcPr>
            <w:tcW w:w="1527" w:type="dxa"/>
          </w:tcPr>
          <w:p>
            <w:pPr>
              <w:jc w:val="center"/>
              <w:rPr>
                <w:color w:val="auto"/>
                <w:kern w:val="0"/>
                <w:szCs w:val="21"/>
                <w:highlight w:val="none"/>
              </w:rPr>
            </w:pPr>
            <w:r>
              <w:rPr>
                <w:rFonts w:hint="eastAsia"/>
                <w:color w:val="auto"/>
                <w:kern w:val="0"/>
                <w:szCs w:val="21"/>
                <w:highlight w:val="none"/>
              </w:rPr>
              <w:t>25</w:t>
            </w:r>
          </w:p>
        </w:tc>
        <w:tc>
          <w:tcPr>
            <w:tcW w:w="1383" w:type="dxa"/>
          </w:tcPr>
          <w:p>
            <w:pPr>
              <w:jc w:val="center"/>
              <w:rPr>
                <w:color w:val="auto"/>
                <w:kern w:val="0"/>
                <w:szCs w:val="21"/>
                <w:highlight w:val="none"/>
              </w:rPr>
            </w:pPr>
            <w:r>
              <w:rPr>
                <w:rFonts w:hint="eastAsia"/>
                <w:color w:val="auto"/>
                <w:kern w:val="0"/>
                <w:szCs w:val="21"/>
                <w:highlight w:val="none"/>
              </w:rPr>
              <w:t>100</w:t>
            </w:r>
          </w:p>
        </w:tc>
        <w:tc>
          <w:tcPr>
            <w:tcW w:w="1384"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Pr>
          <w:p>
            <w:pPr>
              <w:jc w:val="center"/>
              <w:rPr>
                <w:color w:val="auto"/>
                <w:kern w:val="0"/>
                <w:szCs w:val="21"/>
                <w:highlight w:val="none"/>
              </w:rPr>
            </w:pPr>
          </w:p>
        </w:tc>
        <w:tc>
          <w:tcPr>
            <w:tcW w:w="1639" w:type="dxa"/>
            <w:vMerge w:val="continue"/>
            <w:vAlign w:val="top"/>
          </w:tcPr>
          <w:p>
            <w:pPr>
              <w:jc w:val="center"/>
              <w:rPr>
                <w:color w:val="auto"/>
                <w:kern w:val="0"/>
                <w:szCs w:val="21"/>
                <w:highlight w:val="none"/>
              </w:rPr>
            </w:pPr>
          </w:p>
        </w:tc>
        <w:tc>
          <w:tcPr>
            <w:tcW w:w="1647" w:type="dxa"/>
            <w:vAlign w:val="top"/>
          </w:tcPr>
          <w:p>
            <w:pPr>
              <w:jc w:val="center"/>
              <w:rPr>
                <w:rFonts w:hint="eastAsia"/>
                <w:color w:val="auto"/>
                <w:kern w:val="0"/>
                <w:szCs w:val="21"/>
                <w:highlight w:val="none"/>
              </w:rPr>
            </w:pPr>
            <w:r>
              <w:rPr>
                <w:rFonts w:hint="eastAsia"/>
                <w:color w:val="auto"/>
                <w:kern w:val="0"/>
                <w:szCs w:val="21"/>
                <w:highlight w:val="none"/>
              </w:rPr>
              <w:t>污染物排放量</w:t>
            </w:r>
          </w:p>
        </w:tc>
        <w:tc>
          <w:tcPr>
            <w:tcW w:w="1467" w:type="dxa"/>
          </w:tcPr>
          <w:p>
            <w:pPr>
              <w:jc w:val="center"/>
              <w:rPr>
                <w:color w:val="auto"/>
                <w:kern w:val="0"/>
                <w:szCs w:val="21"/>
                <w:highlight w:val="none"/>
              </w:rPr>
            </w:pPr>
            <w:r>
              <w:rPr>
                <w:rFonts w:hint="eastAsia"/>
                <w:color w:val="auto"/>
                <w:kern w:val="0"/>
                <w:szCs w:val="21"/>
                <w:highlight w:val="none"/>
              </w:rPr>
              <w:t>t/a</w:t>
            </w:r>
          </w:p>
        </w:tc>
        <w:tc>
          <w:tcPr>
            <w:tcW w:w="1238" w:type="dxa"/>
            <w:vAlign w:val="top"/>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0.034</w:t>
            </w:r>
          </w:p>
        </w:tc>
        <w:tc>
          <w:tcPr>
            <w:tcW w:w="1555" w:type="dxa"/>
            <w:vAlign w:val="top"/>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0.0205</w:t>
            </w:r>
          </w:p>
        </w:tc>
        <w:tc>
          <w:tcPr>
            <w:tcW w:w="1527" w:type="dxa"/>
            <w:vAlign w:val="top"/>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0.0028</w:t>
            </w:r>
          </w:p>
        </w:tc>
        <w:tc>
          <w:tcPr>
            <w:tcW w:w="1383" w:type="dxa"/>
            <w:vAlign w:val="top"/>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0.0114</w:t>
            </w:r>
          </w:p>
        </w:tc>
        <w:tc>
          <w:tcPr>
            <w:tcW w:w="1384" w:type="dxa"/>
            <w:vAlign w:val="top"/>
          </w:tcPr>
          <w:p>
            <w:pPr>
              <w:jc w:val="center"/>
              <w:rPr>
                <w:rFonts w:hint="default"/>
                <w:color w:val="auto"/>
                <w:kern w:val="0"/>
                <w:szCs w:val="21"/>
                <w:highlight w:val="none"/>
                <w:lang w:val="en-US" w:eastAsia="zh-CN"/>
              </w:rPr>
            </w:pPr>
            <w:r>
              <w:rPr>
                <w:rFonts w:hint="eastAsia"/>
                <w:color w:val="auto"/>
                <w:kern w:val="0"/>
                <w:szCs w:val="21"/>
                <w:highlight w:val="none"/>
                <w:lang w:val="en-US" w:eastAsia="zh-CN"/>
              </w:rPr>
              <w:t>0.00049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2" w:type="dxa"/>
            <w:gridSpan w:val="3"/>
          </w:tcPr>
          <w:p>
            <w:pPr>
              <w:jc w:val="center"/>
              <w:rPr>
                <w:color w:val="auto"/>
                <w:kern w:val="0"/>
                <w:szCs w:val="21"/>
                <w:highlight w:val="none"/>
              </w:rPr>
            </w:pPr>
            <w:r>
              <w:rPr>
                <w:rFonts w:hint="eastAsia"/>
                <w:color w:val="auto"/>
                <w:kern w:val="0"/>
                <w:szCs w:val="21"/>
                <w:highlight w:val="none"/>
              </w:rPr>
              <w:t>本项目执行标准</w:t>
            </w:r>
          </w:p>
        </w:tc>
        <w:tc>
          <w:tcPr>
            <w:tcW w:w="1467" w:type="dxa"/>
          </w:tcPr>
          <w:p>
            <w:pPr>
              <w:jc w:val="center"/>
              <w:rPr>
                <w:color w:val="auto"/>
                <w:kern w:val="0"/>
                <w:szCs w:val="21"/>
                <w:highlight w:val="none"/>
              </w:rPr>
            </w:pPr>
            <w:r>
              <w:rPr>
                <w:rFonts w:hint="eastAsia"/>
                <w:color w:val="auto"/>
                <w:kern w:val="0"/>
                <w:szCs w:val="21"/>
                <w:highlight w:val="none"/>
              </w:rPr>
              <w:t>mg/L</w:t>
            </w:r>
          </w:p>
        </w:tc>
        <w:tc>
          <w:tcPr>
            <w:tcW w:w="1238"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423</w:t>
            </w:r>
          </w:p>
        </w:tc>
        <w:tc>
          <w:tcPr>
            <w:tcW w:w="1555"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217</w:t>
            </w:r>
          </w:p>
        </w:tc>
        <w:tc>
          <w:tcPr>
            <w:tcW w:w="1527"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35</w:t>
            </w:r>
          </w:p>
        </w:tc>
        <w:tc>
          <w:tcPr>
            <w:tcW w:w="1383" w:type="dxa"/>
          </w:tcPr>
          <w:p>
            <w:pPr>
              <w:jc w:val="center"/>
              <w:rPr>
                <w:color w:val="auto"/>
                <w:kern w:val="0"/>
                <w:szCs w:val="21"/>
                <w:highlight w:val="none"/>
              </w:rPr>
            </w:pPr>
            <w:r>
              <w:rPr>
                <w:rFonts w:hint="eastAsia"/>
                <w:color w:val="auto"/>
                <w:kern w:val="0"/>
                <w:szCs w:val="21"/>
                <w:highlight w:val="none"/>
              </w:rPr>
              <w:t>400</w:t>
            </w:r>
          </w:p>
        </w:tc>
        <w:tc>
          <w:tcPr>
            <w:tcW w:w="1384" w:type="dxa"/>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9" w:type="dxa"/>
            <w:gridSpan w:val="4"/>
          </w:tcPr>
          <w:p>
            <w:pPr>
              <w:jc w:val="center"/>
              <w:rPr>
                <w:color w:val="auto"/>
                <w:kern w:val="0"/>
                <w:szCs w:val="21"/>
                <w:highlight w:val="none"/>
              </w:rPr>
            </w:pPr>
            <w:r>
              <w:rPr>
                <w:rFonts w:hint="eastAsia"/>
                <w:color w:val="auto"/>
                <w:kern w:val="0"/>
                <w:szCs w:val="21"/>
                <w:highlight w:val="none"/>
              </w:rPr>
              <w:t>达标情况</w:t>
            </w:r>
          </w:p>
        </w:tc>
        <w:tc>
          <w:tcPr>
            <w:tcW w:w="1238" w:type="dxa"/>
          </w:tcPr>
          <w:p>
            <w:pPr>
              <w:jc w:val="center"/>
              <w:rPr>
                <w:color w:val="auto"/>
                <w:kern w:val="0"/>
                <w:szCs w:val="21"/>
                <w:highlight w:val="none"/>
              </w:rPr>
            </w:pPr>
            <w:r>
              <w:rPr>
                <w:rFonts w:hint="eastAsia"/>
                <w:color w:val="auto"/>
                <w:kern w:val="0"/>
                <w:szCs w:val="21"/>
                <w:highlight w:val="none"/>
              </w:rPr>
              <w:t>达标</w:t>
            </w:r>
          </w:p>
        </w:tc>
        <w:tc>
          <w:tcPr>
            <w:tcW w:w="1555" w:type="dxa"/>
          </w:tcPr>
          <w:p>
            <w:pPr>
              <w:jc w:val="center"/>
              <w:rPr>
                <w:color w:val="auto"/>
                <w:kern w:val="0"/>
                <w:szCs w:val="21"/>
                <w:highlight w:val="none"/>
              </w:rPr>
            </w:pPr>
            <w:r>
              <w:rPr>
                <w:rFonts w:hint="eastAsia"/>
                <w:color w:val="auto"/>
                <w:kern w:val="0"/>
                <w:szCs w:val="21"/>
                <w:highlight w:val="none"/>
              </w:rPr>
              <w:t>达标</w:t>
            </w:r>
          </w:p>
        </w:tc>
        <w:tc>
          <w:tcPr>
            <w:tcW w:w="1527" w:type="dxa"/>
          </w:tcPr>
          <w:p>
            <w:pPr>
              <w:jc w:val="center"/>
              <w:rPr>
                <w:color w:val="auto"/>
                <w:kern w:val="0"/>
                <w:szCs w:val="21"/>
                <w:highlight w:val="none"/>
              </w:rPr>
            </w:pPr>
            <w:r>
              <w:rPr>
                <w:rFonts w:hint="eastAsia"/>
                <w:color w:val="auto"/>
                <w:kern w:val="0"/>
                <w:szCs w:val="21"/>
                <w:highlight w:val="none"/>
              </w:rPr>
              <w:t>达标</w:t>
            </w:r>
          </w:p>
        </w:tc>
        <w:tc>
          <w:tcPr>
            <w:tcW w:w="1383" w:type="dxa"/>
          </w:tcPr>
          <w:p>
            <w:pPr>
              <w:jc w:val="center"/>
              <w:rPr>
                <w:color w:val="auto"/>
                <w:kern w:val="0"/>
                <w:szCs w:val="21"/>
                <w:highlight w:val="none"/>
              </w:rPr>
            </w:pPr>
            <w:r>
              <w:rPr>
                <w:rFonts w:hint="eastAsia"/>
                <w:color w:val="auto"/>
                <w:kern w:val="0"/>
                <w:szCs w:val="21"/>
                <w:highlight w:val="none"/>
              </w:rPr>
              <w:t>达标</w:t>
            </w:r>
          </w:p>
        </w:tc>
        <w:tc>
          <w:tcPr>
            <w:tcW w:w="1384" w:type="dxa"/>
          </w:tcPr>
          <w:p>
            <w:pPr>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达标</w:t>
            </w:r>
          </w:p>
        </w:tc>
      </w:tr>
    </w:tbl>
    <w:p>
      <w:pPr>
        <w:keepNext/>
        <w:keepLines/>
        <w:spacing w:line="360" w:lineRule="auto"/>
        <w:outlineLvl w:val="2"/>
        <w:rPr>
          <w:rFonts w:hint="default" w:cs="Times New Roman"/>
          <w:b/>
          <w:bCs/>
          <w:color w:val="auto"/>
          <w:sz w:val="24"/>
          <w:highlight w:val="none"/>
          <w:lang w:val="en-US" w:eastAsia="zh-CN"/>
        </w:rPr>
        <w:sectPr>
          <w:pgSz w:w="16838" w:h="11906" w:orient="landscape"/>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keepNext/>
        <w:keepLines/>
        <w:spacing w:line="360" w:lineRule="auto"/>
        <w:outlineLvl w:val="2"/>
        <w:rPr>
          <w:rFonts w:ascii="Times New Roman" w:hAnsi="Times New Roman" w:eastAsia="宋体" w:cs="Times New Roman"/>
          <w:b/>
          <w:bCs/>
          <w:color w:val="auto"/>
          <w:sz w:val="24"/>
          <w:highlight w:val="none"/>
        </w:rPr>
      </w:pPr>
      <w:bookmarkStart w:id="451" w:name="_Toc13553"/>
      <w:r>
        <w:rPr>
          <w:rFonts w:ascii="Times New Roman" w:hAnsi="Times New Roman" w:eastAsia="宋体" w:cs="Times New Roman"/>
          <w:b/>
          <w:bCs/>
          <w:color w:val="auto"/>
          <w:sz w:val="24"/>
          <w:highlight w:val="none"/>
        </w:rPr>
        <w:t>3.5.3噪声</w:t>
      </w:r>
      <w:bookmarkEnd w:id="445"/>
      <w:bookmarkEnd w:id="446"/>
      <w:bookmarkEnd w:id="447"/>
      <w:bookmarkEnd w:id="448"/>
      <w:bookmarkEnd w:id="449"/>
      <w:bookmarkEnd w:id="450"/>
      <w:bookmarkEnd w:id="4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项目噪声源主要为</w:t>
      </w:r>
      <w:r>
        <w:rPr>
          <w:rFonts w:hint="eastAsia"/>
          <w:color w:val="auto"/>
          <w:sz w:val="24"/>
          <w:highlight w:val="none"/>
          <w:lang w:val="en-US" w:eastAsia="zh-CN"/>
        </w:rPr>
        <w:t>上料机、注塑机、搅拌机、破碎机、风机、水泵</w:t>
      </w:r>
      <w:r>
        <w:rPr>
          <w:color w:val="auto"/>
          <w:sz w:val="24"/>
          <w:highlight w:val="none"/>
        </w:rPr>
        <w:t>等运行时产生的噪声，噪声源强为70～90dB(A)。本项目噪声污染源源强核算结果及相关参数详见表3.5-</w:t>
      </w:r>
      <w:r>
        <w:rPr>
          <w:rFonts w:hint="eastAsia"/>
          <w:color w:val="auto"/>
          <w:sz w:val="24"/>
          <w:highlight w:val="none"/>
          <w:lang w:val="en-US" w:eastAsia="zh-CN"/>
        </w:rPr>
        <w:t>8</w:t>
      </w:r>
      <w:r>
        <w:rPr>
          <w:color w:val="auto"/>
          <w:sz w:val="24"/>
          <w:highlight w:val="none"/>
        </w:rPr>
        <w:t>。</w:t>
      </w:r>
    </w:p>
    <w:p>
      <w:pPr>
        <w:spacing w:line="360" w:lineRule="auto"/>
        <w:ind w:firstLine="482" w:firstLineChars="200"/>
        <w:jc w:val="center"/>
        <w:rPr>
          <w:b/>
          <w:color w:val="auto"/>
          <w:sz w:val="24"/>
          <w:highlight w:val="none"/>
        </w:rPr>
      </w:pPr>
      <w:r>
        <w:rPr>
          <w:b/>
          <w:color w:val="auto"/>
          <w:sz w:val="24"/>
          <w:highlight w:val="none"/>
        </w:rPr>
        <w:t>表3.5-</w:t>
      </w:r>
      <w:r>
        <w:rPr>
          <w:rFonts w:hint="eastAsia"/>
          <w:b/>
          <w:color w:val="auto"/>
          <w:sz w:val="24"/>
          <w:highlight w:val="none"/>
          <w:lang w:val="en-US" w:eastAsia="zh-CN"/>
        </w:rPr>
        <w:t>8</w:t>
      </w:r>
      <w:r>
        <w:rPr>
          <w:b/>
          <w:color w:val="auto"/>
          <w:sz w:val="24"/>
          <w:highlight w:val="none"/>
        </w:rPr>
        <w:t xml:space="preserve">  噪声污染源源强核算结果及相关参数一览表</w:t>
      </w:r>
    </w:p>
    <w:tbl>
      <w:tblPr>
        <w:tblStyle w:val="55"/>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603"/>
        <w:gridCol w:w="1336"/>
        <w:gridCol w:w="1128"/>
        <w:gridCol w:w="1683"/>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92" w:type="dxa"/>
            <w:shd w:val="clear" w:color="auto" w:fill="auto"/>
            <w:vAlign w:val="center"/>
          </w:tcPr>
          <w:p>
            <w:pPr>
              <w:jc w:val="center"/>
              <w:rPr>
                <w:rFonts w:hint="eastAsia" w:eastAsia="宋体"/>
                <w:b/>
                <w:color w:val="auto"/>
                <w:szCs w:val="21"/>
                <w:highlight w:val="none"/>
                <w:lang w:eastAsia="zh-CN"/>
              </w:rPr>
            </w:pPr>
            <w:r>
              <w:rPr>
                <w:rFonts w:hint="eastAsia"/>
                <w:b/>
                <w:color w:val="auto"/>
                <w:szCs w:val="21"/>
                <w:highlight w:val="none"/>
                <w:lang w:val="en-US" w:eastAsia="zh-CN"/>
              </w:rPr>
              <w:t>序号</w:t>
            </w:r>
          </w:p>
        </w:tc>
        <w:tc>
          <w:tcPr>
            <w:tcW w:w="1603" w:type="dxa"/>
            <w:shd w:val="clear" w:color="auto" w:fill="auto"/>
            <w:vAlign w:val="center"/>
          </w:tcPr>
          <w:p>
            <w:pPr>
              <w:jc w:val="center"/>
              <w:rPr>
                <w:b/>
                <w:color w:val="auto"/>
                <w:szCs w:val="21"/>
                <w:highlight w:val="none"/>
              </w:rPr>
            </w:pPr>
            <w:r>
              <w:rPr>
                <w:b/>
                <w:color w:val="auto"/>
                <w:szCs w:val="21"/>
                <w:highlight w:val="none"/>
              </w:rPr>
              <w:t>噪声源</w:t>
            </w:r>
          </w:p>
        </w:tc>
        <w:tc>
          <w:tcPr>
            <w:tcW w:w="1336" w:type="dxa"/>
            <w:shd w:val="clear" w:color="auto" w:fill="auto"/>
            <w:vAlign w:val="center"/>
          </w:tcPr>
          <w:p>
            <w:pPr>
              <w:jc w:val="center"/>
              <w:rPr>
                <w:b/>
                <w:color w:val="auto"/>
                <w:szCs w:val="21"/>
                <w:highlight w:val="none"/>
              </w:rPr>
            </w:pPr>
            <w:r>
              <w:rPr>
                <w:b/>
                <w:color w:val="auto"/>
                <w:szCs w:val="21"/>
                <w:highlight w:val="none"/>
              </w:rPr>
              <w:t>声源类型</w:t>
            </w:r>
          </w:p>
        </w:tc>
        <w:tc>
          <w:tcPr>
            <w:tcW w:w="1128" w:type="dxa"/>
            <w:shd w:val="clear" w:color="auto" w:fill="auto"/>
            <w:vAlign w:val="center"/>
          </w:tcPr>
          <w:p>
            <w:pPr>
              <w:jc w:val="center"/>
              <w:rPr>
                <w:b/>
                <w:color w:val="auto"/>
                <w:szCs w:val="21"/>
                <w:highlight w:val="none"/>
              </w:rPr>
            </w:pPr>
            <w:r>
              <w:rPr>
                <w:b/>
                <w:color w:val="auto"/>
                <w:szCs w:val="21"/>
                <w:highlight w:val="none"/>
              </w:rPr>
              <w:t>数量</w:t>
            </w:r>
          </w:p>
          <w:p>
            <w:pPr>
              <w:jc w:val="center"/>
              <w:rPr>
                <w:b/>
                <w:color w:val="auto"/>
                <w:szCs w:val="21"/>
                <w:highlight w:val="none"/>
              </w:rPr>
            </w:pPr>
            <w:r>
              <w:rPr>
                <w:b/>
                <w:color w:val="auto"/>
                <w:szCs w:val="21"/>
                <w:highlight w:val="none"/>
              </w:rPr>
              <w:t>(台/套)</w:t>
            </w:r>
          </w:p>
        </w:tc>
        <w:tc>
          <w:tcPr>
            <w:tcW w:w="1683" w:type="dxa"/>
            <w:shd w:val="clear" w:color="auto" w:fill="auto"/>
            <w:vAlign w:val="center"/>
          </w:tcPr>
          <w:p>
            <w:pPr>
              <w:jc w:val="center"/>
              <w:rPr>
                <w:b/>
                <w:color w:val="auto"/>
                <w:szCs w:val="21"/>
                <w:highlight w:val="none"/>
              </w:rPr>
            </w:pPr>
            <w:r>
              <w:rPr>
                <w:rFonts w:hint="eastAsia"/>
                <w:b/>
                <w:color w:val="auto"/>
                <w:szCs w:val="21"/>
                <w:highlight w:val="none"/>
                <w:lang w:val="en-US" w:eastAsia="zh-CN"/>
              </w:rPr>
              <w:t>单台源强</w:t>
            </w:r>
            <w:r>
              <w:rPr>
                <w:b/>
                <w:color w:val="auto"/>
                <w:szCs w:val="21"/>
                <w:highlight w:val="none"/>
              </w:rPr>
              <w:t>(dB(A))</w:t>
            </w:r>
          </w:p>
        </w:tc>
        <w:tc>
          <w:tcPr>
            <w:tcW w:w="2840" w:type="dxa"/>
            <w:shd w:val="clear" w:color="auto" w:fill="auto"/>
            <w:vAlign w:val="center"/>
          </w:tcPr>
          <w:p>
            <w:pPr>
              <w:jc w:val="center"/>
              <w:rPr>
                <w:b/>
                <w:color w:val="auto"/>
                <w:szCs w:val="21"/>
                <w:highlight w:val="none"/>
              </w:rPr>
            </w:pPr>
            <w:r>
              <w:rPr>
                <w:b/>
                <w:color w:val="auto"/>
                <w:szCs w:val="21"/>
                <w:highlight w:val="none"/>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1</w:t>
            </w:r>
          </w:p>
        </w:tc>
        <w:tc>
          <w:tcPr>
            <w:tcW w:w="1603"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上料机</w:t>
            </w:r>
          </w:p>
        </w:tc>
        <w:tc>
          <w:tcPr>
            <w:tcW w:w="1336" w:type="dxa"/>
            <w:shd w:val="clear" w:color="auto" w:fill="auto"/>
            <w:vAlign w:val="center"/>
          </w:tcPr>
          <w:p>
            <w:pPr>
              <w:jc w:val="center"/>
              <w:rPr>
                <w:color w:val="auto"/>
                <w:szCs w:val="21"/>
                <w:highlight w:val="none"/>
              </w:rPr>
            </w:pPr>
            <w:r>
              <w:rPr>
                <w:color w:val="auto"/>
                <w:szCs w:val="21"/>
                <w:highlight w:val="none"/>
              </w:rPr>
              <w:t>频发</w:t>
            </w:r>
          </w:p>
        </w:tc>
        <w:tc>
          <w:tcPr>
            <w:tcW w:w="1128" w:type="dxa"/>
            <w:shd w:val="clear" w:color="auto" w:fill="auto"/>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1683" w:type="dxa"/>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70</w:t>
            </w:r>
          </w:p>
        </w:tc>
        <w:tc>
          <w:tcPr>
            <w:tcW w:w="2840" w:type="dxa"/>
            <w:vMerge w:val="restart"/>
            <w:shd w:val="clear" w:color="auto" w:fill="auto"/>
            <w:vAlign w:val="center"/>
          </w:tcPr>
          <w:p>
            <w:pPr>
              <w:jc w:val="center"/>
              <w:rPr>
                <w:color w:val="auto"/>
                <w:szCs w:val="21"/>
                <w:highlight w:val="none"/>
              </w:rPr>
            </w:pPr>
            <w:r>
              <w:rPr>
                <w:color w:val="auto"/>
                <w:szCs w:val="21"/>
                <w:highlight w:val="none"/>
              </w:rPr>
              <w:t>选用低噪声设备、优化布局、基础减振、封闭厂房隔声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2</w:t>
            </w:r>
          </w:p>
        </w:tc>
        <w:tc>
          <w:tcPr>
            <w:tcW w:w="1603"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注塑机</w:t>
            </w:r>
          </w:p>
        </w:tc>
        <w:tc>
          <w:tcPr>
            <w:tcW w:w="1336" w:type="dxa"/>
            <w:shd w:val="clear" w:color="auto" w:fill="auto"/>
            <w:vAlign w:val="center"/>
          </w:tcPr>
          <w:p>
            <w:pPr>
              <w:jc w:val="center"/>
              <w:rPr>
                <w:b/>
                <w:color w:val="auto"/>
                <w:szCs w:val="21"/>
                <w:highlight w:val="none"/>
              </w:rPr>
            </w:pPr>
            <w:r>
              <w:rPr>
                <w:color w:val="auto"/>
                <w:szCs w:val="21"/>
                <w:highlight w:val="none"/>
              </w:rPr>
              <w:t>频发</w:t>
            </w:r>
          </w:p>
        </w:tc>
        <w:tc>
          <w:tcPr>
            <w:tcW w:w="1128" w:type="dxa"/>
            <w:shd w:val="clear" w:color="auto" w:fill="auto"/>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6</w:t>
            </w:r>
          </w:p>
        </w:tc>
        <w:tc>
          <w:tcPr>
            <w:tcW w:w="1683" w:type="dxa"/>
            <w:shd w:val="clear" w:color="auto" w:fill="auto"/>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70</w:t>
            </w:r>
          </w:p>
        </w:tc>
        <w:tc>
          <w:tcPr>
            <w:tcW w:w="2840" w:type="dxa"/>
            <w:vMerge w:val="continue"/>
            <w:shd w:val="clear" w:color="auto" w:fill="auto"/>
            <w:vAlign w:val="center"/>
          </w:tcPr>
          <w:p>
            <w:pPr>
              <w:jc w:val="center"/>
              <w:rP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3</w:t>
            </w:r>
          </w:p>
        </w:tc>
        <w:tc>
          <w:tcPr>
            <w:tcW w:w="1603"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搅拌机</w:t>
            </w:r>
          </w:p>
        </w:tc>
        <w:tc>
          <w:tcPr>
            <w:tcW w:w="1336" w:type="dxa"/>
            <w:shd w:val="clear" w:color="auto" w:fill="auto"/>
            <w:vAlign w:val="center"/>
          </w:tcPr>
          <w:p>
            <w:pPr>
              <w:jc w:val="center"/>
              <w:rPr>
                <w:b/>
                <w:color w:val="auto"/>
                <w:szCs w:val="21"/>
                <w:highlight w:val="none"/>
              </w:rPr>
            </w:pPr>
            <w:r>
              <w:rPr>
                <w:color w:val="auto"/>
                <w:szCs w:val="21"/>
                <w:highlight w:val="none"/>
              </w:rPr>
              <w:t>频发</w:t>
            </w:r>
          </w:p>
        </w:tc>
        <w:tc>
          <w:tcPr>
            <w:tcW w:w="1128" w:type="dxa"/>
            <w:shd w:val="clear" w:color="auto" w:fill="auto"/>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2</w:t>
            </w:r>
          </w:p>
        </w:tc>
        <w:tc>
          <w:tcPr>
            <w:tcW w:w="1683" w:type="dxa"/>
            <w:shd w:val="clear" w:color="auto" w:fill="auto"/>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80</w:t>
            </w:r>
          </w:p>
        </w:tc>
        <w:tc>
          <w:tcPr>
            <w:tcW w:w="2840" w:type="dxa"/>
            <w:vMerge w:val="continue"/>
            <w:shd w:val="clear" w:color="auto" w:fill="auto"/>
            <w:vAlign w:val="center"/>
          </w:tcPr>
          <w:p>
            <w:pPr>
              <w:jc w:val="center"/>
              <w:rP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4</w:t>
            </w:r>
          </w:p>
        </w:tc>
        <w:tc>
          <w:tcPr>
            <w:tcW w:w="1603"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破碎机</w:t>
            </w:r>
          </w:p>
        </w:tc>
        <w:tc>
          <w:tcPr>
            <w:tcW w:w="1336" w:type="dxa"/>
            <w:shd w:val="clear" w:color="auto" w:fill="auto"/>
            <w:vAlign w:val="center"/>
          </w:tcPr>
          <w:p>
            <w:pPr>
              <w:jc w:val="center"/>
              <w:rPr>
                <w:b/>
                <w:color w:val="auto"/>
                <w:szCs w:val="21"/>
                <w:highlight w:val="none"/>
              </w:rPr>
            </w:pPr>
            <w:r>
              <w:rPr>
                <w:color w:val="auto"/>
                <w:szCs w:val="21"/>
                <w:highlight w:val="none"/>
              </w:rPr>
              <w:t>频发</w:t>
            </w:r>
          </w:p>
        </w:tc>
        <w:tc>
          <w:tcPr>
            <w:tcW w:w="1128" w:type="dxa"/>
            <w:shd w:val="clear" w:color="auto" w:fill="auto"/>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1</w:t>
            </w:r>
          </w:p>
        </w:tc>
        <w:tc>
          <w:tcPr>
            <w:tcW w:w="1683" w:type="dxa"/>
            <w:shd w:val="clear" w:color="auto" w:fill="auto"/>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85</w:t>
            </w:r>
          </w:p>
        </w:tc>
        <w:tc>
          <w:tcPr>
            <w:tcW w:w="2840" w:type="dxa"/>
            <w:vMerge w:val="continue"/>
            <w:shd w:val="clear" w:color="auto" w:fill="auto"/>
            <w:vAlign w:val="center"/>
          </w:tcPr>
          <w:p>
            <w:pPr>
              <w:jc w:val="center"/>
              <w:rP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5</w:t>
            </w:r>
          </w:p>
        </w:tc>
        <w:tc>
          <w:tcPr>
            <w:tcW w:w="1603"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风机</w:t>
            </w:r>
          </w:p>
        </w:tc>
        <w:tc>
          <w:tcPr>
            <w:tcW w:w="1336" w:type="dxa"/>
            <w:shd w:val="clear" w:color="auto" w:fill="auto"/>
            <w:vAlign w:val="center"/>
          </w:tcPr>
          <w:p>
            <w:pPr>
              <w:jc w:val="center"/>
              <w:rPr>
                <w:b/>
                <w:color w:val="auto"/>
                <w:szCs w:val="21"/>
                <w:highlight w:val="none"/>
              </w:rPr>
            </w:pPr>
            <w:r>
              <w:rPr>
                <w:color w:val="auto"/>
                <w:szCs w:val="21"/>
                <w:highlight w:val="none"/>
              </w:rPr>
              <w:t>频发</w:t>
            </w:r>
          </w:p>
        </w:tc>
        <w:tc>
          <w:tcPr>
            <w:tcW w:w="1128" w:type="dxa"/>
            <w:shd w:val="clear" w:color="auto" w:fill="auto"/>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1</w:t>
            </w:r>
          </w:p>
        </w:tc>
        <w:tc>
          <w:tcPr>
            <w:tcW w:w="1683" w:type="dxa"/>
            <w:shd w:val="clear" w:color="auto" w:fill="auto"/>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90</w:t>
            </w:r>
          </w:p>
        </w:tc>
        <w:tc>
          <w:tcPr>
            <w:tcW w:w="2840" w:type="dxa"/>
            <w:shd w:val="clear" w:color="auto" w:fill="auto"/>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消声器、基础减振、设备隔声罩、封闭厂房隔声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6</w:t>
            </w:r>
          </w:p>
        </w:tc>
        <w:tc>
          <w:tcPr>
            <w:tcW w:w="1603" w:type="dxa"/>
            <w:shd w:val="clear" w:color="auto" w:fill="auto"/>
            <w:vAlign w:val="center"/>
          </w:tcPr>
          <w:p>
            <w:pPr>
              <w:jc w:val="center"/>
              <w:rPr>
                <w:rFonts w:hint="eastAsia"/>
                <w:color w:val="auto"/>
                <w:szCs w:val="21"/>
                <w:highlight w:val="none"/>
                <w:lang w:val="en-US" w:eastAsia="zh-CN"/>
              </w:rPr>
            </w:pPr>
            <w:r>
              <w:rPr>
                <w:rFonts w:hint="eastAsia"/>
                <w:color w:val="auto"/>
                <w:szCs w:val="21"/>
                <w:highlight w:val="none"/>
                <w:lang w:val="en-US" w:eastAsia="zh-CN"/>
              </w:rPr>
              <w:t>水泵</w:t>
            </w:r>
          </w:p>
        </w:tc>
        <w:tc>
          <w:tcPr>
            <w:tcW w:w="1336" w:type="dxa"/>
            <w:shd w:val="clear" w:color="auto" w:fill="auto"/>
            <w:vAlign w:val="center"/>
          </w:tcPr>
          <w:p>
            <w:pPr>
              <w:jc w:val="center"/>
              <w:rPr>
                <w:b/>
                <w:color w:val="auto"/>
                <w:szCs w:val="21"/>
                <w:highlight w:val="none"/>
              </w:rPr>
            </w:pPr>
            <w:r>
              <w:rPr>
                <w:color w:val="auto"/>
                <w:szCs w:val="21"/>
                <w:highlight w:val="none"/>
              </w:rPr>
              <w:t>频发</w:t>
            </w:r>
          </w:p>
        </w:tc>
        <w:tc>
          <w:tcPr>
            <w:tcW w:w="1128" w:type="dxa"/>
            <w:shd w:val="clear" w:color="auto" w:fill="auto"/>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1</w:t>
            </w:r>
          </w:p>
        </w:tc>
        <w:tc>
          <w:tcPr>
            <w:tcW w:w="1683" w:type="dxa"/>
            <w:shd w:val="clear" w:color="auto" w:fill="auto"/>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90</w:t>
            </w:r>
          </w:p>
        </w:tc>
        <w:tc>
          <w:tcPr>
            <w:tcW w:w="2840" w:type="dxa"/>
            <w:shd w:val="clear" w:color="auto" w:fill="auto"/>
            <w:vAlign w:val="center"/>
          </w:tcPr>
          <w:p>
            <w:pPr>
              <w:jc w:val="center"/>
              <w:rPr>
                <w:color w:val="auto"/>
                <w:szCs w:val="21"/>
                <w:highlight w:val="none"/>
              </w:rPr>
            </w:pPr>
            <w:r>
              <w:rPr>
                <w:color w:val="auto"/>
                <w:szCs w:val="21"/>
                <w:highlight w:val="none"/>
              </w:rPr>
              <w:t>选用低噪声设备、水体隔声、软管连接</w:t>
            </w:r>
          </w:p>
        </w:tc>
      </w:tr>
    </w:tbl>
    <w:p>
      <w:pPr>
        <w:keepNext/>
        <w:keepLines/>
        <w:spacing w:line="360" w:lineRule="auto"/>
        <w:outlineLvl w:val="2"/>
        <w:rPr>
          <w:rFonts w:ascii="Times New Roman" w:hAnsi="Times New Roman" w:eastAsia="宋体" w:cs="Times New Roman"/>
          <w:b/>
          <w:bCs/>
          <w:color w:val="auto"/>
          <w:sz w:val="24"/>
          <w:highlight w:val="none"/>
        </w:rPr>
        <w:sectPr>
          <w:pgSz w:w="11906" w:h="16838"/>
          <w:pgMar w:top="1418" w:right="1418" w:bottom="2155" w:left="1418" w:header="992" w:footer="992" w:gutter="0"/>
          <w:pgBorders>
            <w:top w:val="none" w:sz="0" w:space="0"/>
            <w:left w:val="none" w:sz="0" w:space="0"/>
            <w:bottom w:val="none" w:sz="0" w:space="0"/>
            <w:right w:val="none" w:sz="0" w:space="0"/>
          </w:pgBorders>
          <w:pgNumType w:fmt="decimal"/>
          <w:cols w:space="425" w:num="1"/>
          <w:docGrid w:linePitch="312" w:charSpace="0"/>
        </w:sectPr>
      </w:pPr>
      <w:bookmarkStart w:id="452" w:name="_Toc75908674"/>
      <w:bookmarkStart w:id="453" w:name="_Toc367282065"/>
      <w:bookmarkStart w:id="454" w:name="_Toc275002004"/>
      <w:bookmarkStart w:id="455" w:name="_Toc367281482"/>
      <w:bookmarkStart w:id="456" w:name="_Toc341369446"/>
      <w:bookmarkStart w:id="457" w:name="_Toc275730368"/>
    </w:p>
    <w:p>
      <w:pPr>
        <w:keepNext/>
        <w:keepLines/>
        <w:spacing w:line="360" w:lineRule="auto"/>
        <w:outlineLvl w:val="2"/>
        <w:rPr>
          <w:rFonts w:ascii="Times New Roman" w:hAnsi="Times New Roman" w:eastAsia="宋体" w:cs="Times New Roman"/>
          <w:b/>
          <w:bCs/>
          <w:color w:val="auto"/>
          <w:sz w:val="24"/>
          <w:highlight w:val="none"/>
        </w:rPr>
      </w:pPr>
      <w:bookmarkStart w:id="458" w:name="_Toc30789"/>
      <w:r>
        <w:rPr>
          <w:rFonts w:ascii="Times New Roman" w:hAnsi="Times New Roman" w:eastAsia="宋体" w:cs="Times New Roman"/>
          <w:b/>
          <w:bCs/>
          <w:color w:val="auto"/>
          <w:sz w:val="24"/>
          <w:highlight w:val="none"/>
        </w:rPr>
        <w:t>3.5.4固体废弃物</w:t>
      </w:r>
      <w:bookmarkEnd w:id="452"/>
      <w:bookmarkEnd w:id="453"/>
      <w:bookmarkEnd w:id="454"/>
      <w:bookmarkEnd w:id="455"/>
      <w:bookmarkEnd w:id="456"/>
      <w:bookmarkEnd w:id="457"/>
      <w:bookmarkEnd w:id="458"/>
    </w:p>
    <w:p>
      <w:pPr>
        <w:spacing w:line="360" w:lineRule="auto"/>
        <w:rPr>
          <w:b/>
          <w:bCs/>
          <w:color w:val="auto"/>
          <w:sz w:val="24"/>
          <w:szCs w:val="20"/>
          <w:highlight w:val="none"/>
        </w:rPr>
      </w:pPr>
      <w:r>
        <w:rPr>
          <w:b/>
          <w:bCs/>
          <w:color w:val="auto"/>
          <w:sz w:val="24"/>
          <w:szCs w:val="20"/>
          <w:highlight w:val="none"/>
        </w:rPr>
        <w:t>3.5.4.1一般固废</w:t>
      </w:r>
    </w:p>
    <w:p>
      <w:pPr>
        <w:spacing w:line="360" w:lineRule="auto"/>
        <w:ind w:firstLine="480" w:firstLineChars="200"/>
        <w:rPr>
          <w:rFonts w:hint="default" w:eastAsia="宋体"/>
          <w:color w:val="auto"/>
          <w:sz w:val="24"/>
          <w:szCs w:val="20"/>
          <w:highlight w:val="none"/>
          <w:lang w:val="en-US" w:eastAsia="zh-CN"/>
        </w:rPr>
      </w:pPr>
      <w:r>
        <w:rPr>
          <w:color w:val="auto"/>
          <w:sz w:val="24"/>
          <w:szCs w:val="20"/>
          <w:highlight w:val="none"/>
        </w:rPr>
        <w:t>（1）</w:t>
      </w:r>
      <w:r>
        <w:rPr>
          <w:rFonts w:hint="eastAsia"/>
          <w:color w:val="auto"/>
          <w:sz w:val="24"/>
          <w:szCs w:val="20"/>
          <w:highlight w:val="none"/>
          <w:lang w:val="en-US" w:eastAsia="zh-CN"/>
        </w:rPr>
        <w:t>废包装材料</w:t>
      </w:r>
    </w:p>
    <w:p>
      <w:pPr>
        <w:widowControl/>
        <w:spacing w:line="360" w:lineRule="auto"/>
        <w:ind w:firstLine="480" w:firstLineChars="200"/>
        <w:jc w:val="left"/>
        <w:rPr>
          <w:rFonts w:hint="default" w:ascii="Times New Roman" w:hAnsi="Times New Roman" w:eastAsia="宋体" w:cs="宋体"/>
          <w:color w:val="auto"/>
          <w:kern w:val="0"/>
          <w:sz w:val="24"/>
          <w:highlight w:val="none"/>
          <w:lang w:val="en-US" w:eastAsia="zh-CN" w:bidi="ar"/>
        </w:rPr>
      </w:pPr>
      <w:r>
        <w:rPr>
          <w:rFonts w:hint="default" w:ascii="Times New Roman" w:hAnsi="Times New Roman" w:eastAsia="宋体" w:cs="宋体"/>
          <w:color w:val="auto"/>
          <w:kern w:val="0"/>
          <w:sz w:val="24"/>
          <w:highlight w:val="none"/>
          <w:lang w:val="en-US" w:eastAsia="zh-CN" w:bidi="ar"/>
        </w:rPr>
        <w:t>本项目产生的废包装袋主要为原材料包装袋，项目年需使用</w:t>
      </w:r>
      <w:r>
        <w:rPr>
          <w:rFonts w:hint="eastAsia" w:ascii="Times New Roman" w:hAnsi="Times New Roman" w:eastAsia="宋体" w:cs="宋体"/>
          <w:color w:val="auto"/>
          <w:kern w:val="0"/>
          <w:sz w:val="24"/>
          <w:highlight w:val="none"/>
          <w:lang w:val="en-US" w:eastAsia="zh-CN" w:bidi="ar"/>
        </w:rPr>
        <w:t>聚丙烯再生树脂颗粒等</w:t>
      </w:r>
      <w:r>
        <w:rPr>
          <w:rFonts w:hint="default" w:ascii="Times New Roman" w:hAnsi="Times New Roman" w:eastAsia="宋体" w:cs="宋体"/>
          <w:color w:val="auto"/>
          <w:kern w:val="0"/>
          <w:sz w:val="24"/>
          <w:highlight w:val="none"/>
          <w:lang w:val="en-US" w:eastAsia="zh-CN" w:bidi="ar"/>
        </w:rPr>
        <w:t>共约</w:t>
      </w:r>
      <w:r>
        <w:rPr>
          <w:rFonts w:hint="eastAsia" w:cs="宋体"/>
          <w:color w:val="auto"/>
          <w:kern w:val="0"/>
          <w:sz w:val="24"/>
          <w:highlight w:val="none"/>
          <w:lang w:val="en-US" w:eastAsia="zh-CN" w:bidi="ar"/>
        </w:rPr>
        <w:t>50160</w:t>
      </w:r>
      <w:r>
        <w:rPr>
          <w:rFonts w:hint="default" w:ascii="Times New Roman" w:hAnsi="Times New Roman" w:eastAsia="宋体" w:cs="宋体"/>
          <w:color w:val="auto"/>
          <w:kern w:val="0"/>
          <w:sz w:val="24"/>
          <w:highlight w:val="none"/>
          <w:lang w:val="en-US" w:eastAsia="zh-CN" w:bidi="ar"/>
        </w:rPr>
        <w:t>袋，每个包装袋的重量按</w:t>
      </w:r>
      <w:r>
        <w:rPr>
          <w:rFonts w:hint="eastAsia" w:ascii="Times New Roman" w:hAnsi="Times New Roman" w:eastAsia="宋体" w:cs="宋体"/>
          <w:color w:val="auto"/>
          <w:kern w:val="0"/>
          <w:sz w:val="24"/>
          <w:highlight w:val="none"/>
          <w:lang w:val="en-US" w:eastAsia="zh-CN" w:bidi="ar"/>
        </w:rPr>
        <w:t>0.1</w:t>
      </w:r>
      <w:r>
        <w:rPr>
          <w:rFonts w:hint="default" w:ascii="Times New Roman" w:hAnsi="Times New Roman" w:eastAsia="宋体" w:cs="宋体"/>
          <w:color w:val="auto"/>
          <w:kern w:val="0"/>
          <w:sz w:val="24"/>
          <w:highlight w:val="none"/>
          <w:lang w:val="en-US" w:eastAsia="zh-CN" w:bidi="ar"/>
        </w:rPr>
        <w:t>kg 计，则项目年产生废弃包装袋</w:t>
      </w:r>
      <w:r>
        <w:rPr>
          <w:rFonts w:hint="eastAsia" w:cs="宋体"/>
          <w:color w:val="auto"/>
          <w:kern w:val="0"/>
          <w:sz w:val="24"/>
          <w:highlight w:val="none"/>
          <w:lang w:val="en-US" w:eastAsia="zh-CN" w:bidi="ar"/>
        </w:rPr>
        <w:t>5.02</w:t>
      </w:r>
      <w:r>
        <w:rPr>
          <w:rFonts w:hint="default" w:ascii="Times New Roman" w:hAnsi="Times New Roman" w:eastAsia="宋体" w:cs="宋体"/>
          <w:color w:val="auto"/>
          <w:kern w:val="0"/>
          <w:sz w:val="24"/>
          <w:highlight w:val="none"/>
          <w:lang w:val="en-US" w:eastAsia="zh-CN" w:bidi="ar"/>
        </w:rPr>
        <w:t>t/a，暂存于一般固废暂存间，集中收集后外售给废品回收站。</w:t>
      </w:r>
    </w:p>
    <w:p>
      <w:pPr>
        <w:spacing w:line="360" w:lineRule="auto"/>
        <w:ind w:firstLine="480" w:firstLineChars="200"/>
        <w:rPr>
          <w:rFonts w:hint="default" w:eastAsia="宋体"/>
          <w:color w:val="auto"/>
          <w:sz w:val="24"/>
          <w:szCs w:val="20"/>
          <w:highlight w:val="none"/>
          <w:lang w:val="en-US" w:eastAsia="zh-CN"/>
        </w:rPr>
      </w:pPr>
      <w:r>
        <w:rPr>
          <w:color w:val="auto"/>
          <w:sz w:val="24"/>
          <w:szCs w:val="20"/>
          <w:highlight w:val="none"/>
        </w:rPr>
        <w:t>（2）</w:t>
      </w:r>
      <w:r>
        <w:rPr>
          <w:rFonts w:hint="eastAsia"/>
          <w:color w:val="auto"/>
          <w:sz w:val="24"/>
          <w:szCs w:val="20"/>
          <w:highlight w:val="none"/>
          <w:lang w:val="en-US" w:eastAsia="zh-CN"/>
        </w:rPr>
        <w:t>不合格产品及边角料</w:t>
      </w:r>
    </w:p>
    <w:p>
      <w:pPr>
        <w:widowControl/>
        <w:spacing w:line="360" w:lineRule="auto"/>
        <w:ind w:firstLine="480" w:firstLineChars="200"/>
        <w:jc w:val="left"/>
        <w:rPr>
          <w:rFonts w:hint="default" w:ascii="Times New Roman" w:hAnsi="Times New Roman" w:eastAsia="宋体" w:cs="宋体"/>
          <w:color w:val="auto"/>
          <w:kern w:val="0"/>
          <w:sz w:val="24"/>
          <w:highlight w:val="none"/>
          <w:lang w:val="en-US" w:eastAsia="zh-CN" w:bidi="ar"/>
        </w:rPr>
      </w:pPr>
      <w:r>
        <w:rPr>
          <w:rFonts w:hint="default" w:ascii="Times New Roman" w:hAnsi="Times New Roman" w:eastAsia="宋体" w:cs="宋体"/>
          <w:color w:val="auto"/>
          <w:kern w:val="0"/>
          <w:sz w:val="24"/>
          <w:highlight w:val="none"/>
          <w:lang w:val="en-US" w:eastAsia="zh-CN" w:bidi="ar"/>
        </w:rPr>
        <w:t>塑料</w:t>
      </w:r>
      <w:r>
        <w:rPr>
          <w:rFonts w:hint="eastAsia" w:ascii="Times New Roman" w:hAnsi="Times New Roman" w:eastAsia="宋体" w:cs="宋体"/>
          <w:color w:val="auto"/>
          <w:kern w:val="0"/>
          <w:sz w:val="24"/>
          <w:highlight w:val="none"/>
          <w:lang w:val="en-US" w:eastAsia="zh-CN" w:bidi="ar"/>
        </w:rPr>
        <w:t>框修边及</w:t>
      </w:r>
      <w:r>
        <w:rPr>
          <w:rFonts w:hint="default" w:ascii="Times New Roman" w:hAnsi="Times New Roman" w:eastAsia="宋体" w:cs="宋体"/>
          <w:color w:val="auto"/>
          <w:kern w:val="0"/>
          <w:sz w:val="24"/>
          <w:highlight w:val="none"/>
          <w:lang w:val="en-US" w:eastAsia="zh-CN" w:bidi="ar"/>
        </w:rPr>
        <w:t>检验过程会产生不合格产品及边角料，参照《排放源统计调查产排污核算方法和系数手册》292 塑料制品业系数手册中2926塑料包装箱及容器制造行业系数表，一般固废的产污系数为2.5kg/吨-产品，总产生量约为</w:t>
      </w:r>
      <w:r>
        <w:rPr>
          <w:rFonts w:hint="eastAsia" w:cs="宋体"/>
          <w:color w:val="auto"/>
          <w:kern w:val="0"/>
          <w:sz w:val="24"/>
          <w:highlight w:val="none"/>
          <w:lang w:val="en-US" w:eastAsia="zh-CN" w:bidi="ar"/>
        </w:rPr>
        <w:t>3.125</w:t>
      </w:r>
      <w:r>
        <w:rPr>
          <w:rFonts w:hint="default" w:ascii="Times New Roman" w:hAnsi="Times New Roman" w:eastAsia="宋体" w:cs="宋体"/>
          <w:color w:val="auto"/>
          <w:kern w:val="0"/>
          <w:sz w:val="24"/>
          <w:highlight w:val="none"/>
          <w:lang w:val="en-US" w:eastAsia="zh-CN" w:bidi="ar"/>
        </w:rPr>
        <w:t>t/a，项目将检验过程产生的不合格品及塑料边角料破碎重新作为原料回用于生产线。</w:t>
      </w:r>
    </w:p>
    <w:p>
      <w:pPr>
        <w:widowControl/>
        <w:spacing w:line="360" w:lineRule="auto"/>
        <w:ind w:firstLine="480" w:firstLineChars="200"/>
        <w:jc w:val="left"/>
        <w:rPr>
          <w:rFonts w:hint="eastAsia" w:ascii="Times New Roman" w:hAnsi="Times New Roman" w:eastAsia="宋体" w:cs="宋体"/>
          <w:color w:val="auto"/>
          <w:kern w:val="0"/>
          <w:sz w:val="24"/>
          <w:highlight w:val="none"/>
          <w:lang w:val="en-US" w:eastAsia="zh-CN" w:bidi="ar"/>
        </w:rPr>
      </w:pPr>
      <w:r>
        <w:rPr>
          <w:rFonts w:hint="eastAsia" w:cs="宋体"/>
          <w:color w:val="auto"/>
          <w:kern w:val="0"/>
          <w:sz w:val="24"/>
          <w:highlight w:val="none"/>
          <w:lang w:val="en-US" w:eastAsia="zh-CN" w:bidi="ar"/>
        </w:rPr>
        <w:t>（3）</w:t>
      </w:r>
      <w:r>
        <w:rPr>
          <w:rFonts w:hint="eastAsia" w:ascii="Times New Roman" w:hAnsi="Times New Roman" w:eastAsia="宋体" w:cs="宋体"/>
          <w:color w:val="auto"/>
          <w:kern w:val="0"/>
          <w:sz w:val="24"/>
          <w:highlight w:val="none"/>
          <w:lang w:val="en-US" w:eastAsia="zh-CN" w:bidi="ar"/>
        </w:rPr>
        <w:t>布袋除尘器收集粉尘</w:t>
      </w:r>
    </w:p>
    <w:p>
      <w:pPr>
        <w:widowControl/>
        <w:spacing w:line="360" w:lineRule="auto"/>
        <w:ind w:firstLine="480" w:firstLineChars="200"/>
        <w:jc w:val="left"/>
        <w:rPr>
          <w:rFonts w:hint="default" w:ascii="Times New Roman" w:hAnsi="Times New Roman" w:eastAsia="宋体" w:cs="宋体"/>
          <w:color w:val="auto"/>
          <w:kern w:val="0"/>
          <w:sz w:val="24"/>
          <w:highlight w:val="none"/>
          <w:lang w:val="en-US" w:eastAsia="zh-CN" w:bidi="ar"/>
        </w:rPr>
      </w:pPr>
      <w:r>
        <w:rPr>
          <w:rFonts w:hint="eastAsia" w:ascii="Times New Roman" w:hAnsi="Times New Roman" w:eastAsia="宋体" w:cs="宋体"/>
          <w:color w:val="auto"/>
          <w:kern w:val="0"/>
          <w:sz w:val="24"/>
          <w:highlight w:val="none"/>
          <w:lang w:val="en-US" w:eastAsia="zh-CN" w:bidi="ar"/>
        </w:rPr>
        <w:t>根据前述分析，项目破碎工段布袋除尘器收集的粉尘（颗粒物）量为0.00097</w:t>
      </w:r>
      <w:r>
        <w:rPr>
          <w:rFonts w:hint="default" w:ascii="Times New Roman" w:hAnsi="Times New Roman" w:eastAsia="宋体" w:cs="宋体"/>
          <w:color w:val="auto"/>
          <w:kern w:val="0"/>
          <w:sz w:val="24"/>
          <w:highlight w:val="none"/>
          <w:lang w:val="en-US" w:eastAsia="zh-CN" w:bidi="ar"/>
        </w:rPr>
        <w:t>t/a</w:t>
      </w:r>
      <w:r>
        <w:rPr>
          <w:rFonts w:hint="eastAsia" w:ascii="Times New Roman" w:hAnsi="Times New Roman" w:eastAsia="宋体" w:cs="宋体"/>
          <w:color w:val="auto"/>
          <w:kern w:val="0"/>
          <w:sz w:val="24"/>
          <w:highlight w:val="none"/>
          <w:lang w:val="en-US" w:eastAsia="zh-CN" w:bidi="ar"/>
        </w:rPr>
        <w:t>，布袋除尘器收集的粉尘主要为细微塑料颗粒，定期清灰后作为一般固废，暂存于一般固废暂存间定期委托环卫部门清运处置。</w:t>
      </w:r>
    </w:p>
    <w:p>
      <w:pPr>
        <w:spacing w:line="360" w:lineRule="auto"/>
        <w:rPr>
          <w:b/>
          <w:bCs/>
          <w:color w:val="auto"/>
          <w:sz w:val="24"/>
          <w:szCs w:val="20"/>
          <w:highlight w:val="none"/>
        </w:rPr>
      </w:pPr>
      <w:r>
        <w:rPr>
          <w:b/>
          <w:bCs/>
          <w:color w:val="auto"/>
          <w:sz w:val="24"/>
          <w:szCs w:val="20"/>
          <w:highlight w:val="none"/>
        </w:rPr>
        <w:t>3.5.4.2危险废物</w:t>
      </w:r>
    </w:p>
    <w:p>
      <w:pPr>
        <w:spacing w:line="360" w:lineRule="auto"/>
        <w:ind w:firstLine="480" w:firstLineChars="200"/>
        <w:rPr>
          <w:color w:val="auto"/>
          <w:sz w:val="24"/>
          <w:szCs w:val="20"/>
          <w:highlight w:val="none"/>
        </w:rPr>
      </w:pPr>
      <w:r>
        <w:rPr>
          <w:color w:val="auto"/>
          <w:sz w:val="24"/>
          <w:szCs w:val="20"/>
          <w:highlight w:val="none"/>
        </w:rPr>
        <w:t>（1）废活性炭</w:t>
      </w:r>
    </w:p>
    <w:p>
      <w:pPr>
        <w:spacing w:line="360" w:lineRule="auto"/>
        <w:ind w:firstLine="480" w:firstLineChars="200"/>
        <w:rPr>
          <w:color w:val="auto"/>
          <w:sz w:val="24"/>
          <w:highlight w:val="none"/>
        </w:rPr>
      </w:pPr>
      <w:r>
        <w:rPr>
          <w:rFonts w:hint="eastAsia"/>
          <w:color w:val="auto"/>
          <w:sz w:val="24"/>
          <w:highlight w:val="none"/>
          <w:lang w:val="en-US" w:eastAsia="zh-CN"/>
        </w:rPr>
        <w:t>项目使用活性炭处理设施对有组织非甲烷总烃进行吸附处理，活性炭使用一段时间后会失效，参考陆良杰、王京刚在《化工环保》2007年05期发表的《挥发性有机物的物化性质与活性炭饱和吸附量的相关性研究》，活性炭对有机废气的饱和吸附量为280mg/g，项目三级活性炭吸附装置去除有机物量为2.43t/a，则三级活性炭吸附装置需使用的活性炭约8.68t/a，废活性炭产生量等于活性炭使用量加上吸附有机物的量（即有组织非甲烷总烃去除量），则项目废活性炭产生量约为11.11t/a。</w:t>
      </w:r>
      <w:r>
        <w:rPr>
          <w:color w:val="auto"/>
          <w:sz w:val="24"/>
          <w:highlight w:val="none"/>
        </w:rPr>
        <w:t>查阅《国家危险废物名录（2021版）》，本项目产生的废</w:t>
      </w:r>
      <w:r>
        <w:rPr>
          <w:rFonts w:hint="eastAsia"/>
          <w:color w:val="auto"/>
          <w:sz w:val="24"/>
          <w:highlight w:val="none"/>
          <w:lang w:eastAsia="zh-CN"/>
        </w:rPr>
        <w:t>活性炭</w:t>
      </w:r>
      <w:r>
        <w:rPr>
          <w:color w:val="auto"/>
          <w:sz w:val="24"/>
          <w:highlight w:val="none"/>
        </w:rPr>
        <w:t>为“HW49其他废物”中“</w:t>
      </w:r>
      <w:r>
        <w:rPr>
          <w:rFonts w:hint="eastAsia"/>
          <w:color w:val="auto"/>
          <w:sz w:val="24"/>
          <w:highlight w:val="none"/>
          <w:lang w:val="en-US" w:eastAsia="zh-CN"/>
        </w:rPr>
        <w:t>非特定行业</w:t>
      </w:r>
      <w:r>
        <w:rPr>
          <w:color w:val="auto"/>
          <w:sz w:val="24"/>
          <w:highlight w:val="none"/>
        </w:rPr>
        <w:t>900-0</w:t>
      </w:r>
      <w:r>
        <w:rPr>
          <w:rFonts w:hint="eastAsia"/>
          <w:color w:val="auto"/>
          <w:sz w:val="24"/>
          <w:highlight w:val="none"/>
          <w:lang w:val="en-US" w:eastAsia="zh-CN"/>
        </w:rPr>
        <w:t>39</w:t>
      </w:r>
      <w:r>
        <w:rPr>
          <w:color w:val="auto"/>
          <w:sz w:val="24"/>
          <w:highlight w:val="none"/>
        </w:rPr>
        <w:t>-</w:t>
      </w:r>
      <w:r>
        <w:rPr>
          <w:rFonts w:hint="eastAsia"/>
          <w:color w:val="auto"/>
          <w:sz w:val="24"/>
          <w:highlight w:val="none"/>
          <w:lang w:val="en-US" w:eastAsia="zh-CN"/>
        </w:rPr>
        <w:t>49烟气、VOCs治理过程（不包括餐饮行业油烟治理过程）产生的废活性炭</w:t>
      </w:r>
      <w:r>
        <w:rPr>
          <w:color w:val="auto"/>
          <w:sz w:val="24"/>
          <w:highlight w:val="none"/>
        </w:rPr>
        <w:t>”</w:t>
      </w:r>
      <w:r>
        <w:rPr>
          <w:rFonts w:hint="eastAsia"/>
          <w:color w:val="auto"/>
          <w:sz w:val="24"/>
          <w:highlight w:val="none"/>
        </w:rPr>
        <w:t>；</w:t>
      </w:r>
      <w:r>
        <w:rPr>
          <w:color w:val="auto"/>
          <w:sz w:val="24"/>
          <w:highlight w:val="none"/>
        </w:rPr>
        <w:t>危险特性为T毒性</w:t>
      </w:r>
      <w:r>
        <w:rPr>
          <w:rFonts w:hint="eastAsia"/>
          <w:color w:val="auto"/>
          <w:sz w:val="24"/>
          <w:highlight w:val="none"/>
        </w:rPr>
        <w:t>。</w:t>
      </w:r>
      <w:r>
        <w:rPr>
          <w:color w:val="auto"/>
          <w:sz w:val="24"/>
          <w:highlight w:val="none"/>
        </w:rPr>
        <w:t>项目设置一间</w:t>
      </w:r>
      <w:r>
        <w:rPr>
          <w:rFonts w:hint="eastAsia"/>
          <w:color w:val="auto"/>
          <w:sz w:val="24"/>
          <w:highlight w:val="none"/>
          <w:lang w:val="en-US" w:eastAsia="zh-CN"/>
        </w:rPr>
        <w:t>5</w:t>
      </w:r>
      <w:r>
        <w:rPr>
          <w:color w:val="auto"/>
          <w:sz w:val="24"/>
          <w:highlight w:val="none"/>
        </w:rPr>
        <w:t>m</w:t>
      </w:r>
      <w:r>
        <w:rPr>
          <w:color w:val="auto"/>
          <w:sz w:val="24"/>
          <w:highlight w:val="none"/>
          <w:vertAlign w:val="superscript"/>
        </w:rPr>
        <w:t>2</w:t>
      </w:r>
      <w:r>
        <w:rPr>
          <w:color w:val="auto"/>
          <w:sz w:val="24"/>
          <w:highlight w:val="none"/>
        </w:rPr>
        <w:t>的危废暂存间，废活性炭经建设单位用专用容器收集后暂存于危废暂存间，委托有资质单位清运处置。</w:t>
      </w:r>
    </w:p>
    <w:p>
      <w:pPr>
        <w:pStyle w:val="478"/>
        <w:ind w:firstLine="480"/>
        <w:rPr>
          <w:rFonts w:ascii="Times New Roman" w:hAnsi="Times New Roman"/>
          <w:color w:val="auto"/>
          <w:highlight w:val="none"/>
        </w:rPr>
      </w:pPr>
      <w:r>
        <w:rPr>
          <w:rFonts w:ascii="Times New Roman" w:hAnsi="Times New Roman"/>
          <w:color w:val="auto"/>
          <w:highlight w:val="none"/>
        </w:rPr>
        <w:t>（2）废机油</w:t>
      </w:r>
    </w:p>
    <w:p>
      <w:pPr>
        <w:pStyle w:val="478"/>
        <w:ind w:firstLine="480"/>
        <w:rPr>
          <w:rFonts w:ascii="Times New Roman" w:hAnsi="Times New Roman"/>
          <w:color w:val="auto"/>
          <w:highlight w:val="none"/>
        </w:rPr>
      </w:pPr>
      <w:r>
        <w:rPr>
          <w:rFonts w:ascii="Times New Roman" w:hAnsi="Times New Roman"/>
          <w:color w:val="auto"/>
          <w:highlight w:val="none"/>
        </w:rPr>
        <w:t>项目使用的设备主要为</w:t>
      </w:r>
      <w:r>
        <w:rPr>
          <w:rFonts w:hint="eastAsia" w:ascii="Times New Roman" w:hAnsi="Times New Roman"/>
          <w:color w:val="auto"/>
          <w:highlight w:val="none"/>
          <w:lang w:val="en-US" w:eastAsia="zh-CN"/>
        </w:rPr>
        <w:t>注塑机、上料机、搅拌机、破碎机、风机</w:t>
      </w:r>
      <w:r>
        <w:rPr>
          <w:rFonts w:hint="eastAsia" w:ascii="Times New Roman" w:hAnsi="Times New Roman"/>
          <w:color w:val="auto"/>
          <w:highlight w:val="none"/>
        </w:rPr>
        <w:t>等</w:t>
      </w:r>
      <w:r>
        <w:rPr>
          <w:rFonts w:ascii="Times New Roman" w:hAnsi="Times New Roman"/>
          <w:color w:val="auto"/>
          <w:highlight w:val="none"/>
        </w:rPr>
        <w:t>，</w:t>
      </w:r>
      <w:r>
        <w:rPr>
          <w:rFonts w:hint="eastAsia" w:ascii="Times New Roman" w:hAnsi="Times New Roman"/>
          <w:color w:val="auto"/>
          <w:highlight w:val="none"/>
        </w:rPr>
        <w:t>在日常维护中会产生废机油，</w:t>
      </w:r>
      <w:r>
        <w:rPr>
          <w:rFonts w:ascii="Times New Roman" w:hAnsi="Times New Roman"/>
          <w:color w:val="auto"/>
          <w:highlight w:val="none"/>
        </w:rPr>
        <w:t>项目废机油产生量很小，年产生量约</w:t>
      </w:r>
      <w:r>
        <w:rPr>
          <w:rFonts w:ascii="Times New Roman" w:hAnsi="Times New Roman"/>
          <w:color w:val="auto"/>
          <w:szCs w:val="24"/>
          <w:highlight w:val="none"/>
        </w:rPr>
        <w:t>0.02t/a</w:t>
      </w:r>
      <w:r>
        <w:rPr>
          <w:rFonts w:hint="eastAsia" w:ascii="Times New Roman" w:hAnsi="Times New Roman"/>
          <w:color w:val="auto"/>
          <w:highlight w:val="none"/>
        </w:rPr>
        <w:t>。</w:t>
      </w:r>
    </w:p>
    <w:p>
      <w:pPr>
        <w:pStyle w:val="478"/>
        <w:ind w:firstLine="480"/>
        <w:rPr>
          <w:rFonts w:ascii="Times New Roman" w:hAnsi="Times New Roman"/>
          <w:color w:val="auto"/>
          <w:highlight w:val="none"/>
        </w:rPr>
      </w:pPr>
      <w:r>
        <w:rPr>
          <w:rFonts w:ascii="Times New Roman" w:hAnsi="Times New Roman"/>
          <w:color w:val="auto"/>
          <w:highlight w:val="none"/>
        </w:rPr>
        <w:t>查阅《国家危险废物名录（2021）》，废机油为</w:t>
      </w:r>
      <w:r>
        <w:rPr>
          <w:rFonts w:hint="eastAsia" w:ascii="Times New Roman" w:hAnsi="Times New Roman"/>
          <w:color w:val="auto"/>
          <w:highlight w:val="none"/>
        </w:rPr>
        <w:t>“</w:t>
      </w:r>
      <w:r>
        <w:rPr>
          <w:rFonts w:ascii="Times New Roman" w:hAnsi="Times New Roman"/>
          <w:color w:val="auto"/>
          <w:highlight w:val="none"/>
        </w:rPr>
        <w:t>HW08 废矿物油与含矿物油废物</w:t>
      </w:r>
      <w:r>
        <w:rPr>
          <w:rFonts w:hint="eastAsia" w:ascii="Times New Roman" w:hAnsi="Times New Roman"/>
          <w:color w:val="auto"/>
          <w:highlight w:val="none"/>
        </w:rPr>
        <w:t>”中“</w:t>
      </w:r>
      <w:r>
        <w:rPr>
          <w:rFonts w:ascii="Times New Roman" w:hAnsi="Times New Roman"/>
          <w:color w:val="auto"/>
          <w:highlight w:val="none"/>
        </w:rPr>
        <w:t>900-214-08 车辆、机械维修和拆解过程中产生的废发动机油、制动器油、自动变</w:t>
      </w:r>
      <w:r>
        <w:rPr>
          <w:rFonts w:hint="eastAsia" w:ascii="Times New Roman" w:hAnsi="Times New Roman"/>
          <w:color w:val="auto"/>
          <w:highlight w:val="none"/>
          <w:lang w:eastAsia="zh-CN"/>
        </w:rPr>
        <w:t>速</w:t>
      </w:r>
      <w:r>
        <w:rPr>
          <w:rFonts w:ascii="Times New Roman" w:hAnsi="Times New Roman"/>
          <w:color w:val="auto"/>
          <w:highlight w:val="none"/>
        </w:rPr>
        <w:t>器油、齿轮油等废润滑油</w:t>
      </w:r>
      <w:r>
        <w:rPr>
          <w:rFonts w:hint="eastAsia" w:ascii="Times New Roman" w:hAnsi="Times New Roman"/>
          <w:color w:val="auto"/>
          <w:highlight w:val="none"/>
        </w:rPr>
        <w:t>”，</w:t>
      </w:r>
      <w:r>
        <w:rPr>
          <w:rFonts w:ascii="Times New Roman" w:hAnsi="Times New Roman"/>
          <w:color w:val="auto"/>
          <w:highlight w:val="none"/>
        </w:rPr>
        <w:t>危险特性为T毒性、I易燃性；废矿物油桶为“HW49其他废物”中“900-041-49含有或沾染毒性、感染性危险废物的废弃包装物、容器、过滤吸附介质”，危险特性为T毒性、In感染性。</w:t>
      </w:r>
      <w:r>
        <w:rPr>
          <w:rFonts w:hint="eastAsia" w:ascii="Times New Roman" w:hAnsi="Times New Roman"/>
          <w:color w:val="auto"/>
          <w:highlight w:val="none"/>
        </w:rPr>
        <w:t>废机油和废机油桶</w:t>
      </w:r>
      <w:r>
        <w:rPr>
          <w:rFonts w:ascii="Times New Roman" w:hAnsi="Times New Roman"/>
          <w:color w:val="auto"/>
          <w:highlight w:val="none"/>
        </w:rPr>
        <w:t>收集暂存</w:t>
      </w:r>
      <w:r>
        <w:rPr>
          <w:rFonts w:hint="eastAsia" w:ascii="Times New Roman" w:hAnsi="Times New Roman"/>
          <w:color w:val="auto"/>
          <w:highlight w:val="none"/>
        </w:rPr>
        <w:t>于</w:t>
      </w:r>
      <w:r>
        <w:rPr>
          <w:rFonts w:ascii="Times New Roman" w:hAnsi="Times New Roman"/>
          <w:color w:val="auto"/>
          <w:highlight w:val="none"/>
        </w:rPr>
        <w:t>危废暂存间，委托有资质单位处置，中间建立危废产生台账和转移联单管理。</w:t>
      </w:r>
    </w:p>
    <w:p>
      <w:pPr>
        <w:pStyle w:val="18"/>
        <w:spacing w:line="360" w:lineRule="auto"/>
        <w:ind w:firstLine="480" w:firstLineChars="200"/>
        <w:jc w:val="both"/>
        <w:rPr>
          <w:color w:val="auto"/>
          <w:sz w:val="24"/>
          <w:highlight w:val="none"/>
        </w:rPr>
      </w:pPr>
      <w:r>
        <w:rPr>
          <w:rFonts w:hint="eastAsia"/>
          <w:color w:val="auto"/>
          <w:sz w:val="24"/>
          <w:highlight w:val="none"/>
        </w:rPr>
        <w:t>（3）含油废手套、废抹布</w:t>
      </w:r>
    </w:p>
    <w:p>
      <w:pPr>
        <w:pStyle w:val="18"/>
        <w:spacing w:line="360" w:lineRule="auto"/>
        <w:ind w:firstLine="480" w:firstLineChars="200"/>
        <w:jc w:val="both"/>
        <w:rPr>
          <w:color w:val="auto"/>
          <w:sz w:val="24"/>
          <w:highlight w:val="none"/>
        </w:rPr>
      </w:pPr>
      <w:r>
        <w:rPr>
          <w:color w:val="auto"/>
          <w:sz w:val="24"/>
          <w:highlight w:val="none"/>
        </w:rPr>
        <w:t>设备检修过程中会产生含油废手套、废抹布。根据《国家危险废物名录（2021）》附录危险废物豁免清单可知</w:t>
      </w:r>
      <w:r>
        <w:rPr>
          <w:rFonts w:hint="eastAsia"/>
          <w:color w:val="auto"/>
          <w:sz w:val="24"/>
          <w:highlight w:val="none"/>
          <w:lang w:eastAsia="zh-CN"/>
        </w:rPr>
        <w:t>，</w:t>
      </w:r>
      <w:r>
        <w:rPr>
          <w:rFonts w:hint="eastAsia"/>
          <w:color w:val="auto"/>
          <w:sz w:val="24"/>
          <w:highlight w:val="none"/>
          <w:lang w:val="en-US" w:eastAsia="zh-CN"/>
        </w:rPr>
        <w:t>含油废手套、废抹布为“900-041-49废弃的含油抹布、劳保用品”，豁免环节为全部环节，豁免内容为全过程不按危险废物管理。因此含油废手套、废抹布</w:t>
      </w:r>
      <w:r>
        <w:rPr>
          <w:color w:val="auto"/>
          <w:sz w:val="24"/>
          <w:highlight w:val="none"/>
        </w:rPr>
        <w:t>混入生活垃圾处置。预计产生量约0.001t/a。</w:t>
      </w:r>
    </w:p>
    <w:p>
      <w:pPr>
        <w:spacing w:line="360" w:lineRule="auto"/>
        <w:rPr>
          <w:b/>
          <w:bCs/>
          <w:color w:val="auto"/>
          <w:sz w:val="24"/>
          <w:szCs w:val="20"/>
          <w:highlight w:val="none"/>
        </w:rPr>
      </w:pPr>
      <w:r>
        <w:rPr>
          <w:b/>
          <w:bCs/>
          <w:color w:val="auto"/>
          <w:sz w:val="24"/>
          <w:szCs w:val="20"/>
          <w:highlight w:val="none"/>
        </w:rPr>
        <w:t>3.5.4.3生活垃圾</w:t>
      </w:r>
    </w:p>
    <w:p>
      <w:pPr>
        <w:spacing w:line="360" w:lineRule="auto"/>
        <w:ind w:firstLine="480" w:firstLineChars="200"/>
        <w:rPr>
          <w:color w:val="auto"/>
          <w:sz w:val="24"/>
          <w:highlight w:val="none"/>
        </w:rPr>
      </w:pPr>
      <w:r>
        <w:rPr>
          <w:color w:val="auto"/>
          <w:sz w:val="24"/>
          <w:highlight w:val="none"/>
        </w:rPr>
        <w:t>本项目劳动定员</w:t>
      </w:r>
      <w:r>
        <w:rPr>
          <w:rFonts w:hint="eastAsia"/>
          <w:color w:val="auto"/>
          <w:sz w:val="24"/>
          <w:highlight w:val="none"/>
          <w:lang w:val="en-US" w:eastAsia="zh-CN"/>
        </w:rPr>
        <w:t>6</w:t>
      </w:r>
      <w:r>
        <w:rPr>
          <w:color w:val="auto"/>
          <w:sz w:val="24"/>
          <w:highlight w:val="none"/>
        </w:rPr>
        <w:t>人，生活垃圾按每人0.5kg/d计算，则产生量约</w:t>
      </w:r>
      <w:r>
        <w:rPr>
          <w:rFonts w:hint="eastAsia"/>
          <w:color w:val="auto"/>
          <w:sz w:val="24"/>
          <w:highlight w:val="none"/>
          <w:lang w:val="en-US" w:eastAsia="zh-CN"/>
        </w:rPr>
        <w:t>3</w:t>
      </w:r>
      <w:r>
        <w:rPr>
          <w:color w:val="auto"/>
          <w:sz w:val="24"/>
          <w:highlight w:val="none"/>
        </w:rPr>
        <w:t>kg/d（</w:t>
      </w:r>
      <w:r>
        <w:rPr>
          <w:rFonts w:hint="eastAsia"/>
          <w:color w:val="auto"/>
          <w:sz w:val="24"/>
          <w:highlight w:val="none"/>
          <w:lang w:val="en-US" w:eastAsia="zh-CN"/>
        </w:rPr>
        <w:t>0.9</w:t>
      </w:r>
      <w:r>
        <w:rPr>
          <w:color w:val="auto"/>
          <w:sz w:val="24"/>
          <w:highlight w:val="none"/>
        </w:rPr>
        <w:t>t/a）。</w:t>
      </w:r>
      <w:r>
        <w:rPr>
          <w:rFonts w:hint="eastAsia"/>
          <w:color w:val="auto"/>
          <w:sz w:val="24"/>
          <w:highlight w:val="none"/>
          <w:lang w:val="en-US" w:eastAsia="zh-CN"/>
        </w:rPr>
        <w:t>项目员工不在厂区食宿，生活垃圾主要为纸类、塑料等，项目在厂区设置生活垃圾收集桶，</w:t>
      </w:r>
      <w:r>
        <w:rPr>
          <w:color w:val="auto"/>
          <w:sz w:val="24"/>
          <w:highlight w:val="none"/>
        </w:rPr>
        <w:t>生活垃圾统一收集后及时清运至指定地点由环卫部门集中处置。</w:t>
      </w:r>
    </w:p>
    <w:p>
      <w:pPr>
        <w:pStyle w:val="478"/>
        <w:ind w:firstLine="480"/>
        <w:rPr>
          <w:rFonts w:ascii="Times New Roman" w:hAnsi="Times New Roman"/>
          <w:color w:val="auto"/>
          <w:highlight w:val="none"/>
        </w:rPr>
      </w:pPr>
      <w:r>
        <w:rPr>
          <w:rFonts w:ascii="Times New Roman" w:hAnsi="Times New Roman"/>
          <w:color w:val="auto"/>
          <w:highlight w:val="none"/>
        </w:rPr>
        <w:t>固</w:t>
      </w:r>
      <w:r>
        <w:rPr>
          <w:rFonts w:hint="eastAsia" w:ascii="Times New Roman" w:hAnsi="Times New Roman"/>
          <w:color w:val="auto"/>
          <w:highlight w:val="none"/>
          <w:lang w:eastAsia="zh-CN"/>
        </w:rPr>
        <w:t>废</w:t>
      </w:r>
      <w:r>
        <w:rPr>
          <w:rFonts w:ascii="Times New Roman" w:hAnsi="Times New Roman"/>
          <w:color w:val="auto"/>
          <w:highlight w:val="none"/>
        </w:rPr>
        <w:t>污染源源强核算结果及相关参数一览表见表</w:t>
      </w:r>
      <w:r>
        <w:rPr>
          <w:rFonts w:hint="eastAsia" w:ascii="Times New Roman" w:hAnsi="Times New Roman"/>
          <w:color w:val="auto"/>
          <w:highlight w:val="none"/>
          <w:lang w:val="en-US" w:eastAsia="zh-CN"/>
        </w:rPr>
        <w:t>3</w:t>
      </w:r>
      <w:r>
        <w:rPr>
          <w:rFonts w:ascii="Times New Roman" w:hAnsi="Times New Roman"/>
          <w:color w:val="auto"/>
          <w:highlight w:val="none"/>
        </w:rPr>
        <w:t>.5-</w:t>
      </w:r>
      <w:r>
        <w:rPr>
          <w:rFonts w:hint="eastAsia" w:ascii="Times New Roman" w:hAnsi="Times New Roman"/>
          <w:color w:val="auto"/>
          <w:highlight w:val="none"/>
          <w:lang w:val="en-US" w:eastAsia="zh-CN"/>
        </w:rPr>
        <w:t>9</w:t>
      </w:r>
      <w:r>
        <w:rPr>
          <w:rFonts w:ascii="Times New Roman" w:hAnsi="Times New Roman"/>
          <w:color w:val="auto"/>
          <w:highlight w:val="none"/>
        </w:rPr>
        <w:t>。</w:t>
      </w:r>
    </w:p>
    <w:p>
      <w:pPr>
        <w:spacing w:line="360" w:lineRule="auto"/>
        <w:jc w:val="center"/>
        <w:rPr>
          <w:b/>
          <w:color w:val="auto"/>
          <w:sz w:val="24"/>
          <w:highlight w:val="none"/>
        </w:rPr>
        <w:sectPr>
          <w:type w:val="continuous"/>
          <w:pgSz w:w="11906" w:h="16838"/>
          <w:pgMar w:top="1418" w:right="1418" w:bottom="2155" w:left="1418" w:header="992" w:footer="992" w:gutter="0"/>
          <w:pgBorders>
            <w:top w:val="none" w:sz="0" w:space="0"/>
            <w:left w:val="none" w:sz="0" w:space="0"/>
            <w:bottom w:val="none" w:sz="0" w:space="0"/>
            <w:right w:val="none" w:sz="0" w:space="0"/>
          </w:pgBorders>
          <w:pgNumType w:fmt="decimal"/>
          <w:cols w:space="425" w:num="1"/>
          <w:docGrid w:linePitch="312" w:charSpace="0"/>
        </w:sectPr>
      </w:pPr>
    </w:p>
    <w:p>
      <w:pPr>
        <w:spacing w:line="360" w:lineRule="auto"/>
        <w:jc w:val="center"/>
        <w:rPr>
          <w:b/>
          <w:color w:val="auto"/>
          <w:sz w:val="24"/>
          <w:highlight w:val="none"/>
        </w:rPr>
      </w:pPr>
      <w:r>
        <w:rPr>
          <w:b/>
          <w:color w:val="auto"/>
          <w:sz w:val="24"/>
          <w:highlight w:val="none"/>
        </w:rPr>
        <w:t>表3.5-</w:t>
      </w:r>
      <w:r>
        <w:rPr>
          <w:rFonts w:hint="eastAsia"/>
          <w:b/>
          <w:color w:val="auto"/>
          <w:sz w:val="24"/>
          <w:highlight w:val="none"/>
          <w:lang w:val="en-US" w:eastAsia="zh-CN"/>
        </w:rPr>
        <w:t>9</w:t>
      </w:r>
      <w:r>
        <w:rPr>
          <w:b/>
          <w:color w:val="auto"/>
          <w:sz w:val="24"/>
          <w:highlight w:val="none"/>
        </w:rPr>
        <w:t xml:space="preserve">  固废污染源源强核算结果及相关参数一览表</w:t>
      </w:r>
    </w:p>
    <w:tbl>
      <w:tblPr>
        <w:tblStyle w:val="5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754"/>
        <w:gridCol w:w="2062"/>
        <w:gridCol w:w="1367"/>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00" w:type="dxa"/>
            <w:vMerge w:val="restart"/>
            <w:vAlign w:val="center"/>
          </w:tcPr>
          <w:p>
            <w:pPr>
              <w:jc w:val="center"/>
              <w:rPr>
                <w:b/>
                <w:color w:val="auto"/>
                <w:szCs w:val="21"/>
                <w:highlight w:val="none"/>
              </w:rPr>
            </w:pPr>
            <w:r>
              <w:rPr>
                <w:b/>
                <w:color w:val="auto"/>
                <w:szCs w:val="21"/>
                <w:highlight w:val="none"/>
              </w:rPr>
              <w:t>工序</w:t>
            </w:r>
          </w:p>
        </w:tc>
        <w:tc>
          <w:tcPr>
            <w:tcW w:w="1754" w:type="dxa"/>
            <w:vMerge w:val="restart"/>
            <w:vAlign w:val="center"/>
          </w:tcPr>
          <w:p>
            <w:pPr>
              <w:jc w:val="center"/>
              <w:rPr>
                <w:b/>
                <w:color w:val="auto"/>
                <w:szCs w:val="21"/>
                <w:highlight w:val="none"/>
              </w:rPr>
            </w:pPr>
            <w:r>
              <w:rPr>
                <w:b/>
                <w:color w:val="auto"/>
                <w:szCs w:val="21"/>
                <w:highlight w:val="none"/>
              </w:rPr>
              <w:t>固废名称</w:t>
            </w:r>
          </w:p>
        </w:tc>
        <w:tc>
          <w:tcPr>
            <w:tcW w:w="2062" w:type="dxa"/>
            <w:vMerge w:val="restart"/>
            <w:vAlign w:val="center"/>
          </w:tcPr>
          <w:p>
            <w:pPr>
              <w:jc w:val="center"/>
              <w:rPr>
                <w:b/>
                <w:color w:val="auto"/>
                <w:szCs w:val="21"/>
                <w:highlight w:val="none"/>
              </w:rPr>
            </w:pPr>
            <w:r>
              <w:rPr>
                <w:b/>
                <w:color w:val="auto"/>
                <w:szCs w:val="21"/>
                <w:highlight w:val="none"/>
              </w:rPr>
              <w:t>固废属性</w:t>
            </w:r>
          </w:p>
        </w:tc>
        <w:tc>
          <w:tcPr>
            <w:tcW w:w="1367" w:type="dxa"/>
            <w:vMerge w:val="restart"/>
            <w:vAlign w:val="center"/>
          </w:tcPr>
          <w:p>
            <w:pPr>
              <w:jc w:val="center"/>
              <w:rPr>
                <w:b/>
                <w:color w:val="auto"/>
                <w:szCs w:val="21"/>
                <w:highlight w:val="none"/>
              </w:rPr>
            </w:pPr>
            <w:r>
              <w:rPr>
                <w:b/>
                <w:color w:val="auto"/>
                <w:szCs w:val="21"/>
                <w:highlight w:val="none"/>
              </w:rPr>
              <w:t>产生量（t/a）</w:t>
            </w:r>
          </w:p>
        </w:tc>
        <w:tc>
          <w:tcPr>
            <w:tcW w:w="2903" w:type="dxa"/>
            <w:vMerge w:val="restart"/>
            <w:vAlign w:val="center"/>
          </w:tcPr>
          <w:p>
            <w:pPr>
              <w:jc w:val="center"/>
              <w:rPr>
                <w:b/>
                <w:color w:val="auto"/>
                <w:szCs w:val="21"/>
                <w:highlight w:val="none"/>
              </w:rPr>
            </w:pPr>
            <w:r>
              <w:rPr>
                <w:b/>
                <w:color w:val="auto"/>
                <w:szCs w:val="21"/>
                <w:highlight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00" w:type="dxa"/>
            <w:vMerge w:val="continue"/>
            <w:vAlign w:val="center"/>
          </w:tcPr>
          <w:p>
            <w:pPr>
              <w:jc w:val="center"/>
              <w:rPr>
                <w:color w:val="auto"/>
                <w:szCs w:val="21"/>
                <w:highlight w:val="none"/>
              </w:rPr>
            </w:pPr>
          </w:p>
        </w:tc>
        <w:tc>
          <w:tcPr>
            <w:tcW w:w="1754" w:type="dxa"/>
            <w:vMerge w:val="continue"/>
            <w:vAlign w:val="center"/>
          </w:tcPr>
          <w:p>
            <w:pPr>
              <w:jc w:val="center"/>
              <w:rPr>
                <w:color w:val="auto"/>
                <w:szCs w:val="21"/>
                <w:highlight w:val="none"/>
              </w:rPr>
            </w:pPr>
          </w:p>
        </w:tc>
        <w:tc>
          <w:tcPr>
            <w:tcW w:w="2062" w:type="dxa"/>
            <w:vMerge w:val="continue"/>
            <w:vAlign w:val="center"/>
          </w:tcPr>
          <w:p>
            <w:pPr>
              <w:jc w:val="center"/>
              <w:rPr>
                <w:color w:val="auto"/>
                <w:szCs w:val="21"/>
                <w:highlight w:val="none"/>
              </w:rPr>
            </w:pPr>
          </w:p>
        </w:tc>
        <w:tc>
          <w:tcPr>
            <w:tcW w:w="1367" w:type="dxa"/>
            <w:vMerge w:val="continue"/>
            <w:vAlign w:val="center"/>
          </w:tcPr>
          <w:p>
            <w:pPr>
              <w:jc w:val="center"/>
              <w:rPr>
                <w:b/>
                <w:color w:val="auto"/>
                <w:szCs w:val="21"/>
                <w:highlight w:val="none"/>
              </w:rPr>
            </w:pPr>
          </w:p>
        </w:tc>
        <w:tc>
          <w:tcPr>
            <w:tcW w:w="2903"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restart"/>
            <w:vAlign w:val="center"/>
          </w:tcPr>
          <w:p>
            <w:pPr>
              <w:jc w:val="center"/>
              <w:rPr>
                <w:color w:val="auto"/>
                <w:szCs w:val="21"/>
                <w:highlight w:val="none"/>
              </w:rPr>
            </w:pPr>
            <w:r>
              <w:rPr>
                <w:color w:val="auto"/>
                <w:szCs w:val="21"/>
                <w:highlight w:val="none"/>
              </w:rPr>
              <w:t>生产过程</w:t>
            </w:r>
          </w:p>
        </w:tc>
        <w:tc>
          <w:tcPr>
            <w:tcW w:w="175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废包装袋</w:t>
            </w:r>
          </w:p>
        </w:tc>
        <w:tc>
          <w:tcPr>
            <w:tcW w:w="2062" w:type="dxa"/>
            <w:vAlign w:val="center"/>
          </w:tcPr>
          <w:p>
            <w:pPr>
              <w:jc w:val="center"/>
              <w:rPr>
                <w:color w:val="auto"/>
                <w:szCs w:val="21"/>
                <w:highlight w:val="none"/>
              </w:rPr>
            </w:pPr>
            <w:r>
              <w:rPr>
                <w:color w:val="auto"/>
                <w:szCs w:val="21"/>
                <w:highlight w:val="none"/>
              </w:rPr>
              <w:t>一般固废</w:t>
            </w:r>
          </w:p>
        </w:tc>
        <w:tc>
          <w:tcPr>
            <w:tcW w:w="136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5.02</w:t>
            </w:r>
          </w:p>
        </w:tc>
        <w:tc>
          <w:tcPr>
            <w:tcW w:w="2903"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暂存于一般固废暂存间，集中收集后外售给废品回收站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continue"/>
            <w:vAlign w:val="center"/>
          </w:tcPr>
          <w:p>
            <w:pPr>
              <w:jc w:val="center"/>
              <w:rPr>
                <w:color w:val="auto"/>
                <w:szCs w:val="21"/>
                <w:highlight w:val="none"/>
              </w:rPr>
            </w:pPr>
          </w:p>
        </w:tc>
        <w:tc>
          <w:tcPr>
            <w:tcW w:w="175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边角料及不合格产品</w:t>
            </w:r>
          </w:p>
        </w:tc>
        <w:tc>
          <w:tcPr>
            <w:tcW w:w="2062" w:type="dxa"/>
            <w:vAlign w:val="center"/>
          </w:tcPr>
          <w:p>
            <w:pPr>
              <w:jc w:val="center"/>
              <w:rPr>
                <w:color w:val="auto"/>
                <w:szCs w:val="21"/>
                <w:highlight w:val="none"/>
              </w:rPr>
            </w:pPr>
            <w:r>
              <w:rPr>
                <w:color w:val="auto"/>
                <w:szCs w:val="21"/>
                <w:highlight w:val="none"/>
              </w:rPr>
              <w:t>一般固废</w:t>
            </w:r>
          </w:p>
        </w:tc>
        <w:tc>
          <w:tcPr>
            <w:tcW w:w="136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3.125</w:t>
            </w:r>
          </w:p>
        </w:tc>
        <w:tc>
          <w:tcPr>
            <w:tcW w:w="2903"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检验过程产生的不合格品及修边产生的边角料破碎后重新作为原料回用于生产线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Align w:val="center"/>
          </w:tcPr>
          <w:p>
            <w:pPr>
              <w:jc w:val="center"/>
              <w:rPr>
                <w:color w:val="auto"/>
                <w:szCs w:val="21"/>
                <w:highlight w:val="none"/>
              </w:rPr>
            </w:pPr>
            <w:r>
              <w:rPr>
                <w:color w:val="auto"/>
                <w:szCs w:val="21"/>
                <w:highlight w:val="none"/>
              </w:rPr>
              <w:t>废气处理</w:t>
            </w:r>
          </w:p>
        </w:tc>
        <w:tc>
          <w:tcPr>
            <w:tcW w:w="1754" w:type="dxa"/>
            <w:vAlign w:val="center"/>
          </w:tcPr>
          <w:p>
            <w:pPr>
              <w:jc w:val="center"/>
              <w:rPr>
                <w:color w:val="auto"/>
                <w:szCs w:val="21"/>
                <w:highlight w:val="none"/>
              </w:rPr>
            </w:pPr>
            <w:r>
              <w:rPr>
                <w:color w:val="auto"/>
                <w:szCs w:val="21"/>
                <w:highlight w:val="none"/>
              </w:rPr>
              <w:t>废活性炭</w:t>
            </w:r>
          </w:p>
        </w:tc>
        <w:tc>
          <w:tcPr>
            <w:tcW w:w="2062" w:type="dxa"/>
            <w:vAlign w:val="center"/>
          </w:tcPr>
          <w:p>
            <w:pPr>
              <w:jc w:val="center"/>
              <w:rPr>
                <w:color w:val="auto"/>
                <w:szCs w:val="21"/>
                <w:highlight w:val="none"/>
              </w:rPr>
            </w:pPr>
            <w:r>
              <w:rPr>
                <w:color w:val="auto"/>
                <w:szCs w:val="21"/>
                <w:highlight w:val="none"/>
              </w:rPr>
              <w:t>危险废物（HW49其他废物，900-0</w:t>
            </w:r>
            <w:r>
              <w:rPr>
                <w:rFonts w:hint="eastAsia"/>
                <w:color w:val="auto"/>
                <w:szCs w:val="21"/>
                <w:highlight w:val="none"/>
                <w:lang w:val="en-US" w:eastAsia="zh-CN"/>
              </w:rPr>
              <w:t>39</w:t>
            </w:r>
            <w:r>
              <w:rPr>
                <w:color w:val="auto"/>
                <w:szCs w:val="21"/>
                <w:highlight w:val="none"/>
              </w:rPr>
              <w:t>-49）</w:t>
            </w:r>
          </w:p>
        </w:tc>
        <w:tc>
          <w:tcPr>
            <w:tcW w:w="136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11.11</w:t>
            </w:r>
          </w:p>
        </w:tc>
        <w:tc>
          <w:tcPr>
            <w:tcW w:w="2903"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收集暂存于危废暂存间，委托</w:t>
            </w:r>
            <w:r>
              <w:rPr>
                <w:color w:val="auto"/>
                <w:szCs w:val="21"/>
                <w:highlight w:val="none"/>
              </w:rPr>
              <w:t>有资质单位</w:t>
            </w:r>
            <w:r>
              <w:rPr>
                <w:rFonts w:hint="eastAsia"/>
                <w:color w:val="auto"/>
                <w:szCs w:val="21"/>
                <w:highlight w:val="none"/>
                <w:lang w:val="en-US" w:eastAsia="zh-CN"/>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restart"/>
            <w:vAlign w:val="center"/>
          </w:tcPr>
          <w:p>
            <w:pPr>
              <w:jc w:val="center"/>
              <w:rPr>
                <w:color w:val="auto"/>
                <w:szCs w:val="21"/>
                <w:highlight w:val="none"/>
              </w:rPr>
            </w:pPr>
            <w:r>
              <w:rPr>
                <w:color w:val="auto"/>
                <w:szCs w:val="21"/>
                <w:highlight w:val="none"/>
              </w:rPr>
              <w:t>设备维修保养</w:t>
            </w:r>
          </w:p>
        </w:tc>
        <w:tc>
          <w:tcPr>
            <w:tcW w:w="1754" w:type="dxa"/>
            <w:vAlign w:val="center"/>
          </w:tcPr>
          <w:p>
            <w:pPr>
              <w:jc w:val="center"/>
              <w:rPr>
                <w:color w:val="auto"/>
                <w:szCs w:val="21"/>
                <w:highlight w:val="none"/>
              </w:rPr>
            </w:pPr>
            <w:r>
              <w:rPr>
                <w:color w:val="auto"/>
                <w:szCs w:val="21"/>
                <w:highlight w:val="none"/>
              </w:rPr>
              <w:t>废机油</w:t>
            </w:r>
          </w:p>
        </w:tc>
        <w:tc>
          <w:tcPr>
            <w:tcW w:w="2062" w:type="dxa"/>
            <w:vAlign w:val="center"/>
          </w:tcPr>
          <w:p>
            <w:pPr>
              <w:jc w:val="center"/>
              <w:rPr>
                <w:color w:val="auto"/>
                <w:szCs w:val="21"/>
                <w:highlight w:val="none"/>
              </w:rPr>
            </w:pPr>
            <w:r>
              <w:rPr>
                <w:color w:val="auto"/>
                <w:szCs w:val="21"/>
                <w:highlight w:val="none"/>
              </w:rPr>
              <w:t>危险废物（HW08废矿物油与含矿油废物，900-214-08）</w:t>
            </w:r>
          </w:p>
        </w:tc>
        <w:tc>
          <w:tcPr>
            <w:tcW w:w="1367" w:type="dxa"/>
            <w:vMerge w:val="restart"/>
            <w:vAlign w:val="center"/>
          </w:tcPr>
          <w:p>
            <w:pPr>
              <w:jc w:val="center"/>
              <w:rPr>
                <w:color w:val="auto"/>
                <w:szCs w:val="21"/>
                <w:highlight w:val="none"/>
              </w:rPr>
            </w:pPr>
            <w:r>
              <w:rPr>
                <w:color w:val="auto"/>
                <w:szCs w:val="21"/>
                <w:highlight w:val="none"/>
              </w:rPr>
              <w:t>0.02</w:t>
            </w:r>
          </w:p>
        </w:tc>
        <w:tc>
          <w:tcPr>
            <w:tcW w:w="2903" w:type="dxa"/>
            <w:vMerge w:val="restart"/>
            <w:vAlign w:val="center"/>
          </w:tcPr>
          <w:p>
            <w:pPr>
              <w:jc w:val="center"/>
              <w:rPr>
                <w:color w:val="auto"/>
                <w:szCs w:val="21"/>
                <w:highlight w:val="none"/>
              </w:rPr>
            </w:pPr>
            <w:r>
              <w:rPr>
                <w:rFonts w:hint="eastAsia"/>
                <w:color w:val="auto"/>
                <w:szCs w:val="21"/>
                <w:highlight w:val="none"/>
                <w:lang w:val="en-US" w:eastAsia="zh-CN"/>
              </w:rPr>
              <w:t>收集暂存于危废暂存间，委托</w:t>
            </w:r>
            <w:r>
              <w:rPr>
                <w:color w:val="auto"/>
                <w:szCs w:val="21"/>
                <w:highlight w:val="none"/>
              </w:rPr>
              <w:t>有资质单位</w:t>
            </w:r>
            <w:r>
              <w:rPr>
                <w:rFonts w:hint="eastAsia"/>
                <w:color w:val="auto"/>
                <w:szCs w:val="21"/>
                <w:highlight w:val="none"/>
                <w:lang w:val="en-US" w:eastAsia="zh-CN"/>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continue"/>
            <w:vAlign w:val="center"/>
          </w:tcPr>
          <w:p>
            <w:pPr>
              <w:jc w:val="center"/>
              <w:rPr>
                <w:color w:val="auto"/>
                <w:szCs w:val="21"/>
                <w:highlight w:val="none"/>
              </w:rPr>
            </w:pPr>
          </w:p>
        </w:tc>
        <w:tc>
          <w:tcPr>
            <w:tcW w:w="1754" w:type="dxa"/>
            <w:vAlign w:val="center"/>
          </w:tcPr>
          <w:p>
            <w:pPr>
              <w:jc w:val="center"/>
              <w:rPr>
                <w:color w:val="auto"/>
                <w:szCs w:val="21"/>
                <w:highlight w:val="none"/>
              </w:rPr>
            </w:pPr>
            <w:r>
              <w:rPr>
                <w:color w:val="auto"/>
                <w:szCs w:val="21"/>
                <w:highlight w:val="none"/>
              </w:rPr>
              <w:t>废油桶</w:t>
            </w:r>
          </w:p>
        </w:tc>
        <w:tc>
          <w:tcPr>
            <w:tcW w:w="2062" w:type="dxa"/>
            <w:vAlign w:val="center"/>
          </w:tcPr>
          <w:p>
            <w:pPr>
              <w:jc w:val="center"/>
              <w:rPr>
                <w:color w:val="auto"/>
                <w:szCs w:val="21"/>
                <w:highlight w:val="none"/>
              </w:rPr>
            </w:pPr>
            <w:r>
              <w:rPr>
                <w:color w:val="auto"/>
                <w:szCs w:val="21"/>
                <w:highlight w:val="none"/>
              </w:rPr>
              <w:t>危险废物（HW49其他废物，900-041-49）</w:t>
            </w:r>
          </w:p>
        </w:tc>
        <w:tc>
          <w:tcPr>
            <w:tcW w:w="1367" w:type="dxa"/>
            <w:vMerge w:val="continue"/>
            <w:vAlign w:val="center"/>
          </w:tcPr>
          <w:p>
            <w:pPr>
              <w:jc w:val="center"/>
              <w:rPr>
                <w:color w:val="auto"/>
                <w:szCs w:val="21"/>
                <w:highlight w:val="none"/>
              </w:rPr>
            </w:pPr>
          </w:p>
        </w:tc>
        <w:tc>
          <w:tcPr>
            <w:tcW w:w="2903"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Merge w:val="continue"/>
            <w:vAlign w:val="center"/>
          </w:tcPr>
          <w:p>
            <w:pPr>
              <w:jc w:val="center"/>
              <w:rPr>
                <w:color w:val="auto"/>
                <w:szCs w:val="21"/>
                <w:highlight w:val="none"/>
              </w:rPr>
            </w:pPr>
          </w:p>
        </w:tc>
        <w:tc>
          <w:tcPr>
            <w:tcW w:w="1754" w:type="dxa"/>
            <w:vAlign w:val="center"/>
          </w:tcPr>
          <w:p>
            <w:pPr>
              <w:jc w:val="center"/>
              <w:rPr>
                <w:color w:val="auto"/>
                <w:szCs w:val="21"/>
                <w:highlight w:val="none"/>
              </w:rPr>
            </w:pPr>
            <w:r>
              <w:rPr>
                <w:color w:val="auto"/>
                <w:szCs w:val="21"/>
                <w:highlight w:val="none"/>
              </w:rPr>
              <w:t>含油废手套、废抹布</w:t>
            </w:r>
          </w:p>
        </w:tc>
        <w:tc>
          <w:tcPr>
            <w:tcW w:w="206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豁免的危险废物（900-041-49）</w:t>
            </w:r>
          </w:p>
        </w:tc>
        <w:tc>
          <w:tcPr>
            <w:tcW w:w="1367" w:type="dxa"/>
            <w:vAlign w:val="center"/>
          </w:tcPr>
          <w:p>
            <w:pPr>
              <w:jc w:val="center"/>
              <w:rPr>
                <w:color w:val="auto"/>
                <w:szCs w:val="21"/>
                <w:highlight w:val="none"/>
              </w:rPr>
            </w:pPr>
            <w:r>
              <w:rPr>
                <w:color w:val="auto"/>
                <w:szCs w:val="21"/>
                <w:highlight w:val="none"/>
              </w:rPr>
              <w:t>0.001</w:t>
            </w:r>
          </w:p>
        </w:tc>
        <w:tc>
          <w:tcPr>
            <w:tcW w:w="2903"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Align w:val="center"/>
          </w:tcPr>
          <w:p>
            <w:pPr>
              <w:jc w:val="center"/>
              <w:rPr>
                <w:color w:val="auto"/>
                <w:szCs w:val="21"/>
                <w:highlight w:val="none"/>
              </w:rPr>
            </w:pPr>
            <w:r>
              <w:rPr>
                <w:color w:val="auto"/>
                <w:szCs w:val="21"/>
                <w:highlight w:val="none"/>
              </w:rPr>
              <w:t>办公、生活</w:t>
            </w:r>
          </w:p>
        </w:tc>
        <w:tc>
          <w:tcPr>
            <w:tcW w:w="1754" w:type="dxa"/>
            <w:vAlign w:val="center"/>
          </w:tcPr>
          <w:p>
            <w:pPr>
              <w:jc w:val="center"/>
              <w:rPr>
                <w:color w:val="auto"/>
                <w:szCs w:val="21"/>
                <w:highlight w:val="none"/>
              </w:rPr>
            </w:pPr>
            <w:r>
              <w:rPr>
                <w:color w:val="auto"/>
                <w:szCs w:val="21"/>
                <w:highlight w:val="none"/>
              </w:rPr>
              <w:t>生活垃圾</w:t>
            </w:r>
          </w:p>
        </w:tc>
        <w:tc>
          <w:tcPr>
            <w:tcW w:w="2062" w:type="dxa"/>
            <w:vAlign w:val="center"/>
          </w:tcPr>
          <w:p>
            <w:pPr>
              <w:jc w:val="center"/>
              <w:rPr>
                <w:color w:val="auto"/>
                <w:szCs w:val="21"/>
                <w:highlight w:val="none"/>
              </w:rPr>
            </w:pPr>
            <w:r>
              <w:rPr>
                <w:color w:val="auto"/>
                <w:szCs w:val="21"/>
                <w:highlight w:val="none"/>
              </w:rPr>
              <w:t>/</w:t>
            </w:r>
          </w:p>
        </w:tc>
        <w:tc>
          <w:tcPr>
            <w:tcW w:w="136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0.9</w:t>
            </w:r>
          </w:p>
        </w:tc>
        <w:tc>
          <w:tcPr>
            <w:tcW w:w="2903" w:type="dxa"/>
            <w:vAlign w:val="center"/>
          </w:tcPr>
          <w:p>
            <w:pPr>
              <w:jc w:val="center"/>
              <w:rPr>
                <w:color w:val="auto"/>
                <w:szCs w:val="21"/>
                <w:highlight w:val="none"/>
              </w:rPr>
            </w:pPr>
            <w:r>
              <w:rPr>
                <w:color w:val="auto"/>
                <w:szCs w:val="21"/>
                <w:highlight w:val="none"/>
              </w:rPr>
              <w:t>统一收集及时清运至指定地点由环卫部门集中处置</w:t>
            </w:r>
          </w:p>
        </w:tc>
      </w:tr>
    </w:tbl>
    <w:p>
      <w:pPr>
        <w:spacing w:line="360" w:lineRule="auto"/>
        <w:ind w:firstLine="480" w:firstLineChars="200"/>
        <w:rPr>
          <w:color w:val="auto"/>
          <w:sz w:val="24"/>
          <w:highlight w:val="none"/>
        </w:rPr>
      </w:pPr>
      <w:r>
        <w:rPr>
          <w:color w:val="auto"/>
          <w:sz w:val="24"/>
          <w:highlight w:val="none"/>
        </w:rPr>
        <w:t>项目产生的危险废物汇总情况见表3.5-</w:t>
      </w:r>
      <w:r>
        <w:rPr>
          <w:rFonts w:hint="eastAsia"/>
          <w:color w:val="auto"/>
          <w:sz w:val="24"/>
          <w:highlight w:val="none"/>
          <w:lang w:val="en-US" w:eastAsia="zh-CN"/>
        </w:rPr>
        <w:t>10</w:t>
      </w:r>
      <w:r>
        <w:rPr>
          <w:color w:val="auto"/>
          <w:sz w:val="24"/>
          <w:highlight w:val="none"/>
        </w:rPr>
        <w:t>。</w:t>
      </w:r>
    </w:p>
    <w:p>
      <w:pPr>
        <w:spacing w:line="360" w:lineRule="auto"/>
        <w:jc w:val="center"/>
        <w:rPr>
          <w:b/>
          <w:color w:val="auto"/>
          <w:sz w:val="24"/>
          <w:highlight w:val="none"/>
        </w:rPr>
      </w:pPr>
      <w:r>
        <w:rPr>
          <w:b/>
          <w:color w:val="auto"/>
          <w:sz w:val="24"/>
          <w:highlight w:val="none"/>
        </w:rPr>
        <w:t>表3.5-</w:t>
      </w:r>
      <w:r>
        <w:rPr>
          <w:rFonts w:hint="eastAsia"/>
          <w:b/>
          <w:color w:val="auto"/>
          <w:sz w:val="24"/>
          <w:highlight w:val="none"/>
          <w:lang w:val="en-US" w:eastAsia="zh-CN"/>
        </w:rPr>
        <w:t>10</w:t>
      </w:r>
      <w:r>
        <w:rPr>
          <w:b/>
          <w:color w:val="auto"/>
          <w:sz w:val="24"/>
          <w:highlight w:val="none"/>
        </w:rPr>
        <w:t xml:space="preserve">  危险废物汇总表</w:t>
      </w:r>
    </w:p>
    <w:tbl>
      <w:tblPr>
        <w:tblStyle w:val="5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269"/>
        <w:gridCol w:w="896"/>
        <w:gridCol w:w="1006"/>
        <w:gridCol w:w="784"/>
        <w:gridCol w:w="595"/>
        <w:gridCol w:w="1372"/>
        <w:gridCol w:w="981"/>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8" w:type="dxa"/>
            <w:vAlign w:val="center"/>
          </w:tcPr>
          <w:p>
            <w:pPr>
              <w:jc w:val="center"/>
              <w:rPr>
                <w:b/>
                <w:color w:val="auto"/>
                <w:szCs w:val="21"/>
                <w:highlight w:val="none"/>
              </w:rPr>
            </w:pPr>
            <w:r>
              <w:rPr>
                <w:b/>
                <w:color w:val="auto"/>
                <w:szCs w:val="21"/>
                <w:highlight w:val="none"/>
              </w:rPr>
              <w:t>危险废物名称</w:t>
            </w:r>
          </w:p>
        </w:tc>
        <w:tc>
          <w:tcPr>
            <w:tcW w:w="1269" w:type="dxa"/>
            <w:vAlign w:val="center"/>
          </w:tcPr>
          <w:p>
            <w:pPr>
              <w:jc w:val="center"/>
              <w:rPr>
                <w:b/>
                <w:color w:val="auto"/>
                <w:szCs w:val="21"/>
                <w:highlight w:val="none"/>
              </w:rPr>
            </w:pPr>
            <w:r>
              <w:rPr>
                <w:b/>
                <w:color w:val="auto"/>
                <w:szCs w:val="21"/>
                <w:highlight w:val="none"/>
              </w:rPr>
              <w:t>危险废物类别</w:t>
            </w:r>
          </w:p>
        </w:tc>
        <w:tc>
          <w:tcPr>
            <w:tcW w:w="896" w:type="dxa"/>
            <w:vAlign w:val="center"/>
          </w:tcPr>
          <w:p>
            <w:pPr>
              <w:jc w:val="center"/>
              <w:rPr>
                <w:b/>
                <w:color w:val="auto"/>
                <w:szCs w:val="21"/>
                <w:highlight w:val="none"/>
              </w:rPr>
            </w:pPr>
            <w:r>
              <w:rPr>
                <w:b/>
                <w:color w:val="auto"/>
                <w:szCs w:val="21"/>
                <w:highlight w:val="none"/>
              </w:rPr>
              <w:t>危险废物代码</w:t>
            </w:r>
          </w:p>
        </w:tc>
        <w:tc>
          <w:tcPr>
            <w:tcW w:w="1006" w:type="dxa"/>
            <w:vAlign w:val="center"/>
          </w:tcPr>
          <w:p>
            <w:pPr>
              <w:jc w:val="center"/>
              <w:rPr>
                <w:b/>
                <w:color w:val="auto"/>
                <w:szCs w:val="21"/>
                <w:highlight w:val="none"/>
              </w:rPr>
            </w:pPr>
            <w:r>
              <w:rPr>
                <w:b/>
                <w:color w:val="auto"/>
                <w:szCs w:val="21"/>
                <w:highlight w:val="none"/>
              </w:rPr>
              <w:t>产生量（t/a）</w:t>
            </w:r>
          </w:p>
        </w:tc>
        <w:tc>
          <w:tcPr>
            <w:tcW w:w="784" w:type="dxa"/>
            <w:vAlign w:val="center"/>
          </w:tcPr>
          <w:p>
            <w:pPr>
              <w:jc w:val="center"/>
              <w:rPr>
                <w:b/>
                <w:color w:val="auto"/>
                <w:szCs w:val="21"/>
                <w:highlight w:val="none"/>
              </w:rPr>
            </w:pPr>
            <w:r>
              <w:rPr>
                <w:b/>
                <w:color w:val="auto"/>
                <w:szCs w:val="21"/>
                <w:highlight w:val="none"/>
              </w:rPr>
              <w:t>产生工序及装置</w:t>
            </w:r>
          </w:p>
        </w:tc>
        <w:tc>
          <w:tcPr>
            <w:tcW w:w="595" w:type="dxa"/>
            <w:vAlign w:val="center"/>
          </w:tcPr>
          <w:p>
            <w:pPr>
              <w:jc w:val="center"/>
              <w:rPr>
                <w:b/>
                <w:color w:val="auto"/>
                <w:szCs w:val="21"/>
                <w:highlight w:val="none"/>
              </w:rPr>
            </w:pPr>
            <w:r>
              <w:rPr>
                <w:b/>
                <w:color w:val="auto"/>
                <w:szCs w:val="21"/>
                <w:highlight w:val="none"/>
              </w:rPr>
              <w:t>形态</w:t>
            </w:r>
          </w:p>
        </w:tc>
        <w:tc>
          <w:tcPr>
            <w:tcW w:w="1372" w:type="dxa"/>
            <w:vAlign w:val="center"/>
          </w:tcPr>
          <w:p>
            <w:pPr>
              <w:jc w:val="center"/>
              <w:rPr>
                <w:b/>
                <w:color w:val="auto"/>
                <w:szCs w:val="21"/>
                <w:highlight w:val="none"/>
              </w:rPr>
            </w:pPr>
            <w:r>
              <w:rPr>
                <w:b/>
                <w:color w:val="auto"/>
                <w:szCs w:val="21"/>
                <w:highlight w:val="none"/>
              </w:rPr>
              <w:t>主要成分</w:t>
            </w:r>
          </w:p>
        </w:tc>
        <w:tc>
          <w:tcPr>
            <w:tcW w:w="981" w:type="dxa"/>
            <w:vAlign w:val="center"/>
          </w:tcPr>
          <w:p>
            <w:pPr>
              <w:jc w:val="center"/>
              <w:rPr>
                <w:b/>
                <w:color w:val="auto"/>
                <w:szCs w:val="21"/>
                <w:highlight w:val="none"/>
              </w:rPr>
            </w:pPr>
            <w:r>
              <w:rPr>
                <w:b/>
                <w:color w:val="auto"/>
                <w:szCs w:val="21"/>
                <w:highlight w:val="none"/>
              </w:rPr>
              <w:t>有害成分</w:t>
            </w:r>
          </w:p>
        </w:tc>
        <w:tc>
          <w:tcPr>
            <w:tcW w:w="1575" w:type="dxa"/>
            <w:vAlign w:val="center"/>
          </w:tcPr>
          <w:p>
            <w:pPr>
              <w:jc w:val="center"/>
              <w:rPr>
                <w:b/>
                <w:color w:val="auto"/>
                <w:szCs w:val="21"/>
                <w:highlight w:val="none"/>
              </w:rPr>
            </w:pPr>
            <w:r>
              <w:rPr>
                <w:b/>
                <w:color w:val="auto"/>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08" w:type="dxa"/>
            <w:vAlign w:val="center"/>
          </w:tcPr>
          <w:p>
            <w:pPr>
              <w:jc w:val="center"/>
              <w:rPr>
                <w:color w:val="auto"/>
                <w:szCs w:val="21"/>
                <w:highlight w:val="none"/>
              </w:rPr>
            </w:pPr>
            <w:r>
              <w:rPr>
                <w:color w:val="auto"/>
                <w:szCs w:val="21"/>
                <w:highlight w:val="none"/>
              </w:rPr>
              <w:t>废活性炭</w:t>
            </w:r>
          </w:p>
        </w:tc>
        <w:tc>
          <w:tcPr>
            <w:tcW w:w="1269" w:type="dxa"/>
            <w:vAlign w:val="center"/>
          </w:tcPr>
          <w:p>
            <w:pPr>
              <w:jc w:val="center"/>
              <w:rPr>
                <w:color w:val="auto"/>
                <w:szCs w:val="21"/>
                <w:highlight w:val="none"/>
              </w:rPr>
            </w:pPr>
            <w:r>
              <w:rPr>
                <w:color w:val="auto"/>
                <w:szCs w:val="21"/>
                <w:highlight w:val="none"/>
              </w:rPr>
              <w:t>HW49其他废物</w:t>
            </w:r>
          </w:p>
        </w:tc>
        <w:tc>
          <w:tcPr>
            <w:tcW w:w="896" w:type="dxa"/>
            <w:vAlign w:val="center"/>
          </w:tcPr>
          <w:p>
            <w:pPr>
              <w:jc w:val="center"/>
              <w:rPr>
                <w:color w:val="auto"/>
                <w:szCs w:val="21"/>
                <w:highlight w:val="none"/>
              </w:rPr>
            </w:pPr>
            <w:r>
              <w:rPr>
                <w:color w:val="auto"/>
                <w:szCs w:val="21"/>
                <w:highlight w:val="none"/>
              </w:rPr>
              <w:t>900-</w:t>
            </w:r>
            <w:r>
              <w:rPr>
                <w:rFonts w:hint="eastAsia"/>
                <w:color w:val="auto"/>
                <w:szCs w:val="21"/>
                <w:highlight w:val="none"/>
                <w:lang w:val="en-US" w:eastAsia="zh-CN"/>
              </w:rPr>
              <w:t>039</w:t>
            </w:r>
            <w:r>
              <w:rPr>
                <w:color w:val="auto"/>
                <w:szCs w:val="21"/>
                <w:highlight w:val="none"/>
              </w:rPr>
              <w:t>-49</w:t>
            </w:r>
          </w:p>
        </w:tc>
        <w:tc>
          <w:tcPr>
            <w:tcW w:w="100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11.11</w:t>
            </w:r>
          </w:p>
        </w:tc>
        <w:tc>
          <w:tcPr>
            <w:tcW w:w="784" w:type="dxa"/>
            <w:vAlign w:val="center"/>
          </w:tcPr>
          <w:p>
            <w:pPr>
              <w:jc w:val="center"/>
              <w:rPr>
                <w:color w:val="auto"/>
                <w:szCs w:val="21"/>
                <w:highlight w:val="none"/>
              </w:rPr>
            </w:pPr>
            <w:r>
              <w:rPr>
                <w:color w:val="auto"/>
                <w:szCs w:val="21"/>
                <w:highlight w:val="none"/>
              </w:rPr>
              <w:t>废气处理活性炭吸附装置</w:t>
            </w:r>
          </w:p>
        </w:tc>
        <w:tc>
          <w:tcPr>
            <w:tcW w:w="595" w:type="dxa"/>
            <w:vAlign w:val="center"/>
          </w:tcPr>
          <w:p>
            <w:pPr>
              <w:jc w:val="center"/>
              <w:rPr>
                <w:color w:val="auto"/>
                <w:szCs w:val="21"/>
                <w:highlight w:val="none"/>
              </w:rPr>
            </w:pPr>
            <w:r>
              <w:rPr>
                <w:color w:val="auto"/>
                <w:szCs w:val="21"/>
                <w:highlight w:val="none"/>
              </w:rPr>
              <w:t>固体</w:t>
            </w:r>
          </w:p>
        </w:tc>
        <w:tc>
          <w:tcPr>
            <w:tcW w:w="1372" w:type="dxa"/>
            <w:vAlign w:val="center"/>
          </w:tcPr>
          <w:p>
            <w:pPr>
              <w:autoSpaceDE w:val="0"/>
              <w:autoSpaceDN w:val="0"/>
              <w:jc w:val="center"/>
              <w:rPr>
                <w:color w:val="auto"/>
                <w:szCs w:val="21"/>
                <w:highlight w:val="none"/>
              </w:rPr>
            </w:pPr>
            <w:r>
              <w:rPr>
                <w:color w:val="auto"/>
                <w:kern w:val="0"/>
                <w:szCs w:val="21"/>
                <w:highlight w:val="none"/>
              </w:rPr>
              <w:t>非甲烷总烃（</w:t>
            </w:r>
            <w:r>
              <w:rPr>
                <w:rFonts w:hint="eastAsia"/>
                <w:color w:val="auto"/>
                <w:kern w:val="0"/>
                <w:szCs w:val="21"/>
                <w:highlight w:val="none"/>
                <w:lang w:val="en-US" w:eastAsia="zh-CN"/>
              </w:rPr>
              <w:t>三级</w:t>
            </w:r>
            <w:r>
              <w:rPr>
                <w:color w:val="auto"/>
                <w:kern w:val="0"/>
                <w:szCs w:val="21"/>
                <w:highlight w:val="none"/>
              </w:rPr>
              <w:t>活性炭吸附）</w:t>
            </w:r>
          </w:p>
        </w:tc>
        <w:tc>
          <w:tcPr>
            <w:tcW w:w="981" w:type="dxa"/>
            <w:vAlign w:val="center"/>
          </w:tcPr>
          <w:p>
            <w:pPr>
              <w:jc w:val="center"/>
              <w:rPr>
                <w:color w:val="auto"/>
                <w:szCs w:val="21"/>
                <w:highlight w:val="none"/>
              </w:rPr>
            </w:pPr>
            <w:r>
              <w:rPr>
                <w:color w:val="auto"/>
                <w:kern w:val="0"/>
                <w:szCs w:val="21"/>
                <w:highlight w:val="none"/>
              </w:rPr>
              <w:t>非甲烷总烃（</w:t>
            </w:r>
            <w:r>
              <w:rPr>
                <w:rFonts w:hint="eastAsia"/>
                <w:color w:val="auto"/>
                <w:kern w:val="0"/>
                <w:szCs w:val="21"/>
                <w:highlight w:val="none"/>
                <w:lang w:val="en-US" w:eastAsia="zh-CN"/>
              </w:rPr>
              <w:t>三级</w:t>
            </w:r>
            <w:r>
              <w:rPr>
                <w:color w:val="auto"/>
                <w:kern w:val="0"/>
                <w:szCs w:val="21"/>
                <w:highlight w:val="none"/>
              </w:rPr>
              <w:t>活性炭吸附）</w:t>
            </w:r>
          </w:p>
        </w:tc>
        <w:tc>
          <w:tcPr>
            <w:tcW w:w="1575" w:type="dxa"/>
            <w:vAlign w:val="center"/>
          </w:tcPr>
          <w:p>
            <w:pPr>
              <w:jc w:val="center"/>
              <w:rPr>
                <w:color w:val="auto"/>
                <w:szCs w:val="21"/>
                <w:highlight w:val="none"/>
              </w:rPr>
            </w:pPr>
            <w:r>
              <w:rPr>
                <w:color w:val="auto"/>
                <w:szCs w:val="21"/>
                <w:highlight w:val="none"/>
              </w:rPr>
              <w:t>暂存于危废暂存间，集中收集后最终交由有资质单位处置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jc w:val="center"/>
              <w:rPr>
                <w:color w:val="auto"/>
                <w:szCs w:val="21"/>
                <w:highlight w:val="none"/>
              </w:rPr>
            </w:pPr>
            <w:r>
              <w:rPr>
                <w:color w:val="auto"/>
                <w:szCs w:val="21"/>
                <w:highlight w:val="none"/>
              </w:rPr>
              <w:t>废机油</w:t>
            </w:r>
          </w:p>
        </w:tc>
        <w:tc>
          <w:tcPr>
            <w:tcW w:w="1269" w:type="dxa"/>
            <w:vAlign w:val="center"/>
          </w:tcPr>
          <w:p>
            <w:pPr>
              <w:jc w:val="center"/>
              <w:rPr>
                <w:color w:val="auto"/>
                <w:szCs w:val="21"/>
                <w:highlight w:val="none"/>
              </w:rPr>
            </w:pPr>
            <w:r>
              <w:rPr>
                <w:color w:val="auto"/>
                <w:szCs w:val="21"/>
                <w:highlight w:val="none"/>
              </w:rPr>
              <w:t>HW08废矿物油与含矿油废物</w:t>
            </w:r>
          </w:p>
        </w:tc>
        <w:tc>
          <w:tcPr>
            <w:tcW w:w="896" w:type="dxa"/>
            <w:vAlign w:val="center"/>
          </w:tcPr>
          <w:p>
            <w:pPr>
              <w:jc w:val="center"/>
              <w:rPr>
                <w:color w:val="auto"/>
                <w:szCs w:val="21"/>
                <w:highlight w:val="none"/>
              </w:rPr>
            </w:pPr>
            <w:r>
              <w:rPr>
                <w:color w:val="auto"/>
                <w:szCs w:val="21"/>
                <w:highlight w:val="none"/>
              </w:rPr>
              <w:t>900-214-08</w:t>
            </w:r>
          </w:p>
        </w:tc>
        <w:tc>
          <w:tcPr>
            <w:tcW w:w="1006" w:type="dxa"/>
            <w:vMerge w:val="restart"/>
            <w:vAlign w:val="center"/>
          </w:tcPr>
          <w:p>
            <w:pPr>
              <w:jc w:val="center"/>
              <w:rPr>
                <w:color w:val="auto"/>
                <w:szCs w:val="21"/>
                <w:highlight w:val="none"/>
              </w:rPr>
            </w:pPr>
            <w:r>
              <w:rPr>
                <w:color w:val="auto"/>
                <w:szCs w:val="21"/>
                <w:highlight w:val="none"/>
              </w:rPr>
              <w:t>0.02</w:t>
            </w:r>
          </w:p>
        </w:tc>
        <w:tc>
          <w:tcPr>
            <w:tcW w:w="784" w:type="dxa"/>
            <w:vMerge w:val="restart"/>
            <w:vAlign w:val="center"/>
          </w:tcPr>
          <w:p>
            <w:pPr>
              <w:jc w:val="center"/>
              <w:rPr>
                <w:color w:val="auto"/>
                <w:szCs w:val="21"/>
                <w:highlight w:val="none"/>
              </w:rPr>
            </w:pPr>
            <w:r>
              <w:rPr>
                <w:color w:val="auto"/>
                <w:szCs w:val="21"/>
                <w:highlight w:val="none"/>
              </w:rPr>
              <w:t>生产设备维护</w:t>
            </w:r>
          </w:p>
        </w:tc>
        <w:tc>
          <w:tcPr>
            <w:tcW w:w="595" w:type="dxa"/>
            <w:vAlign w:val="center"/>
          </w:tcPr>
          <w:p>
            <w:pPr>
              <w:jc w:val="center"/>
              <w:rPr>
                <w:color w:val="auto"/>
                <w:szCs w:val="21"/>
                <w:highlight w:val="none"/>
              </w:rPr>
            </w:pPr>
            <w:r>
              <w:rPr>
                <w:color w:val="auto"/>
                <w:szCs w:val="21"/>
                <w:highlight w:val="none"/>
              </w:rPr>
              <w:t>液态</w:t>
            </w:r>
          </w:p>
        </w:tc>
        <w:tc>
          <w:tcPr>
            <w:tcW w:w="1372" w:type="dxa"/>
            <w:vMerge w:val="restart"/>
            <w:vAlign w:val="center"/>
          </w:tcPr>
          <w:p>
            <w:pPr>
              <w:jc w:val="center"/>
              <w:rPr>
                <w:color w:val="auto"/>
                <w:szCs w:val="21"/>
                <w:highlight w:val="none"/>
              </w:rPr>
            </w:pPr>
            <w:r>
              <w:rPr>
                <w:color w:val="auto"/>
                <w:szCs w:val="21"/>
                <w:highlight w:val="none"/>
              </w:rPr>
              <w:t>饱和的环烷烃与链烷烃混合物</w:t>
            </w:r>
          </w:p>
        </w:tc>
        <w:tc>
          <w:tcPr>
            <w:tcW w:w="981" w:type="dxa"/>
            <w:vMerge w:val="restart"/>
            <w:vAlign w:val="center"/>
          </w:tcPr>
          <w:p>
            <w:pPr>
              <w:jc w:val="center"/>
              <w:rPr>
                <w:color w:val="auto"/>
                <w:szCs w:val="21"/>
                <w:highlight w:val="none"/>
              </w:rPr>
            </w:pPr>
            <w:r>
              <w:rPr>
                <w:color w:val="auto"/>
                <w:szCs w:val="21"/>
                <w:highlight w:val="none"/>
              </w:rPr>
              <w:t>矿物油</w:t>
            </w:r>
          </w:p>
        </w:tc>
        <w:tc>
          <w:tcPr>
            <w:tcW w:w="1575" w:type="dxa"/>
            <w:vMerge w:val="restart"/>
            <w:vAlign w:val="center"/>
          </w:tcPr>
          <w:p>
            <w:pPr>
              <w:jc w:val="center"/>
              <w:rPr>
                <w:color w:val="auto"/>
                <w:szCs w:val="21"/>
                <w:highlight w:val="none"/>
              </w:rPr>
            </w:pPr>
            <w:r>
              <w:rPr>
                <w:color w:val="auto"/>
                <w:szCs w:val="21"/>
                <w:highlight w:val="none"/>
              </w:rPr>
              <w:t>设置</w:t>
            </w:r>
            <w:r>
              <w:rPr>
                <w:rFonts w:hint="eastAsia"/>
                <w:color w:val="auto"/>
                <w:szCs w:val="21"/>
                <w:highlight w:val="none"/>
              </w:rPr>
              <w:t>废机油</w:t>
            </w:r>
            <w:r>
              <w:rPr>
                <w:color w:val="auto"/>
                <w:szCs w:val="21"/>
                <w:highlight w:val="none"/>
              </w:rPr>
              <w:t>收集桶，暂存于危废暂存间，集中收集后最终交由有资质单位处置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jc w:val="center"/>
              <w:rPr>
                <w:color w:val="auto"/>
                <w:szCs w:val="21"/>
                <w:highlight w:val="none"/>
              </w:rPr>
            </w:pPr>
            <w:r>
              <w:rPr>
                <w:color w:val="auto"/>
                <w:szCs w:val="21"/>
                <w:highlight w:val="none"/>
              </w:rPr>
              <w:t>废油桶</w:t>
            </w:r>
          </w:p>
        </w:tc>
        <w:tc>
          <w:tcPr>
            <w:tcW w:w="1269" w:type="dxa"/>
            <w:vAlign w:val="center"/>
          </w:tcPr>
          <w:p>
            <w:pPr>
              <w:jc w:val="center"/>
              <w:rPr>
                <w:color w:val="auto"/>
                <w:szCs w:val="21"/>
                <w:highlight w:val="none"/>
              </w:rPr>
            </w:pPr>
            <w:r>
              <w:rPr>
                <w:color w:val="auto"/>
                <w:szCs w:val="21"/>
                <w:highlight w:val="none"/>
              </w:rPr>
              <w:t>HW49其他废物</w:t>
            </w:r>
          </w:p>
        </w:tc>
        <w:tc>
          <w:tcPr>
            <w:tcW w:w="896" w:type="dxa"/>
            <w:vAlign w:val="center"/>
          </w:tcPr>
          <w:p>
            <w:pPr>
              <w:jc w:val="center"/>
              <w:rPr>
                <w:color w:val="auto"/>
                <w:szCs w:val="21"/>
                <w:highlight w:val="none"/>
              </w:rPr>
            </w:pPr>
            <w:r>
              <w:rPr>
                <w:color w:val="auto"/>
                <w:szCs w:val="21"/>
                <w:highlight w:val="none"/>
              </w:rPr>
              <w:t>900-041-49</w:t>
            </w:r>
          </w:p>
        </w:tc>
        <w:tc>
          <w:tcPr>
            <w:tcW w:w="1006" w:type="dxa"/>
            <w:vMerge w:val="continue"/>
            <w:vAlign w:val="center"/>
          </w:tcPr>
          <w:p>
            <w:pPr>
              <w:jc w:val="center"/>
              <w:rPr>
                <w:color w:val="auto"/>
                <w:szCs w:val="21"/>
                <w:highlight w:val="none"/>
              </w:rPr>
            </w:pPr>
          </w:p>
        </w:tc>
        <w:tc>
          <w:tcPr>
            <w:tcW w:w="784" w:type="dxa"/>
            <w:vMerge w:val="continue"/>
            <w:vAlign w:val="center"/>
          </w:tcPr>
          <w:p>
            <w:pPr>
              <w:jc w:val="center"/>
              <w:rPr>
                <w:color w:val="auto"/>
                <w:szCs w:val="21"/>
                <w:highlight w:val="none"/>
              </w:rPr>
            </w:pPr>
          </w:p>
        </w:tc>
        <w:tc>
          <w:tcPr>
            <w:tcW w:w="595" w:type="dxa"/>
            <w:vAlign w:val="center"/>
          </w:tcPr>
          <w:p>
            <w:pPr>
              <w:jc w:val="center"/>
              <w:rPr>
                <w:color w:val="auto"/>
                <w:szCs w:val="21"/>
                <w:highlight w:val="none"/>
              </w:rPr>
            </w:pPr>
            <w:r>
              <w:rPr>
                <w:color w:val="auto"/>
                <w:szCs w:val="21"/>
                <w:highlight w:val="none"/>
              </w:rPr>
              <w:t>固态</w:t>
            </w:r>
          </w:p>
        </w:tc>
        <w:tc>
          <w:tcPr>
            <w:tcW w:w="1372" w:type="dxa"/>
            <w:vMerge w:val="continue"/>
            <w:vAlign w:val="center"/>
          </w:tcPr>
          <w:p>
            <w:pPr>
              <w:jc w:val="center"/>
              <w:rPr>
                <w:color w:val="auto"/>
                <w:szCs w:val="21"/>
                <w:highlight w:val="none"/>
              </w:rPr>
            </w:pPr>
          </w:p>
        </w:tc>
        <w:tc>
          <w:tcPr>
            <w:tcW w:w="981" w:type="dxa"/>
            <w:vMerge w:val="continue"/>
            <w:vAlign w:val="center"/>
          </w:tcPr>
          <w:p>
            <w:pPr>
              <w:jc w:val="center"/>
              <w:rPr>
                <w:color w:val="auto"/>
                <w:szCs w:val="21"/>
                <w:highlight w:val="none"/>
              </w:rPr>
            </w:pPr>
          </w:p>
        </w:tc>
        <w:tc>
          <w:tcPr>
            <w:tcW w:w="1575"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含油废手套/废抹布</w:t>
            </w:r>
          </w:p>
        </w:tc>
        <w:tc>
          <w:tcPr>
            <w:tcW w:w="1269" w:type="dxa"/>
            <w:vAlign w:val="center"/>
          </w:tcPr>
          <w:p>
            <w:pPr>
              <w:jc w:val="center"/>
              <w:rPr>
                <w:color w:val="auto"/>
                <w:szCs w:val="21"/>
                <w:highlight w:val="none"/>
              </w:rPr>
            </w:pPr>
          </w:p>
        </w:tc>
        <w:tc>
          <w:tcPr>
            <w:tcW w:w="896" w:type="dxa"/>
            <w:vAlign w:val="center"/>
          </w:tcPr>
          <w:p>
            <w:pPr>
              <w:jc w:val="center"/>
              <w:rPr>
                <w:color w:val="auto"/>
                <w:szCs w:val="21"/>
                <w:highlight w:val="none"/>
              </w:rPr>
            </w:pPr>
          </w:p>
        </w:tc>
        <w:tc>
          <w:tcPr>
            <w:tcW w:w="100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0.001</w:t>
            </w:r>
          </w:p>
        </w:tc>
        <w:tc>
          <w:tcPr>
            <w:tcW w:w="784" w:type="dxa"/>
            <w:vAlign w:val="center"/>
          </w:tcPr>
          <w:p>
            <w:pPr>
              <w:jc w:val="center"/>
              <w:rPr>
                <w:color w:val="auto"/>
                <w:szCs w:val="21"/>
                <w:highlight w:val="none"/>
              </w:rPr>
            </w:pPr>
          </w:p>
        </w:tc>
        <w:tc>
          <w:tcPr>
            <w:tcW w:w="595"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固体</w:t>
            </w:r>
          </w:p>
        </w:tc>
        <w:tc>
          <w:tcPr>
            <w:tcW w:w="1372" w:type="dxa"/>
            <w:vAlign w:val="center"/>
          </w:tcPr>
          <w:p>
            <w:pPr>
              <w:jc w:val="center"/>
              <w:rPr>
                <w:color w:val="auto"/>
                <w:szCs w:val="21"/>
                <w:highlight w:val="none"/>
              </w:rPr>
            </w:pPr>
          </w:p>
        </w:tc>
        <w:tc>
          <w:tcPr>
            <w:tcW w:w="981" w:type="dxa"/>
            <w:vAlign w:val="center"/>
          </w:tcPr>
          <w:p>
            <w:pPr>
              <w:jc w:val="center"/>
              <w:rPr>
                <w:color w:val="auto"/>
                <w:szCs w:val="21"/>
                <w:highlight w:val="none"/>
              </w:rPr>
            </w:pPr>
          </w:p>
        </w:tc>
        <w:tc>
          <w:tcPr>
            <w:tcW w:w="157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收集后暂存于危废暂存间，定期交由有资质单位处置</w:t>
            </w:r>
          </w:p>
        </w:tc>
      </w:tr>
    </w:tbl>
    <w:p>
      <w:pPr>
        <w:pStyle w:val="478"/>
        <w:ind w:firstLine="0" w:firstLineChars="0"/>
        <w:rPr>
          <w:rFonts w:ascii="Times New Roman" w:hAnsi="Times New Roman"/>
          <w:color w:val="auto"/>
          <w:highlight w:val="none"/>
        </w:rPr>
        <w:sectPr>
          <w:type w:val="continuous"/>
          <w:pgSz w:w="11906" w:h="16838"/>
          <w:pgMar w:top="1418" w:right="1418" w:bottom="2155" w:left="1418" w:header="992" w:footer="992" w:gutter="0"/>
          <w:pgBorders>
            <w:top w:val="none" w:sz="0" w:space="0"/>
            <w:left w:val="none" w:sz="0" w:space="0"/>
            <w:bottom w:val="none" w:sz="0" w:space="0"/>
            <w:right w:val="none" w:sz="0" w:space="0"/>
          </w:pgBorders>
          <w:pgNumType w:fmt="decimal"/>
          <w:cols w:space="425" w:num="1"/>
          <w:docGrid w:linePitch="312" w:charSpace="0"/>
        </w:sectPr>
      </w:pPr>
    </w:p>
    <w:p>
      <w:pPr>
        <w:keepNext/>
        <w:keepLines/>
        <w:spacing w:line="360" w:lineRule="auto"/>
        <w:outlineLvl w:val="1"/>
        <w:rPr>
          <w:b/>
          <w:bCs/>
          <w:color w:val="auto"/>
          <w:sz w:val="28"/>
          <w:szCs w:val="28"/>
          <w:highlight w:val="none"/>
        </w:rPr>
      </w:pPr>
      <w:bookmarkStart w:id="459" w:name="_Toc75908675"/>
      <w:bookmarkStart w:id="460" w:name="_Toc1917"/>
      <w:bookmarkStart w:id="461" w:name="_Toc341369448"/>
      <w:bookmarkStart w:id="462" w:name="_Toc275730371"/>
      <w:bookmarkStart w:id="463" w:name="_Toc367282067"/>
      <w:bookmarkStart w:id="464" w:name="_Toc367281484"/>
      <w:bookmarkStart w:id="465" w:name="_Toc275002007"/>
      <w:r>
        <w:rPr>
          <w:b/>
          <w:bCs/>
          <w:color w:val="auto"/>
          <w:sz w:val="28"/>
          <w:szCs w:val="28"/>
          <w:highlight w:val="none"/>
        </w:rPr>
        <w:t>3.6非正常工况污染物排放情况</w:t>
      </w:r>
      <w:bookmarkEnd w:id="459"/>
      <w:bookmarkEnd w:id="4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非正常排放主要是生产运行过程中，由于环保设施故障等原因，会导致污染物的非正常排放或事故性排放。如处理不及时或处理方法不当，将会对环境造成严重影响。</w:t>
      </w:r>
    </w:p>
    <w:p>
      <w:pPr>
        <w:spacing w:line="360" w:lineRule="auto"/>
        <w:ind w:firstLine="480" w:firstLineChars="200"/>
        <w:rPr>
          <w:color w:val="auto"/>
          <w:sz w:val="24"/>
          <w:szCs w:val="20"/>
          <w:highlight w:val="none"/>
        </w:rPr>
      </w:pPr>
      <w:r>
        <w:rPr>
          <w:color w:val="auto"/>
          <w:sz w:val="24"/>
          <w:szCs w:val="20"/>
          <w:highlight w:val="none"/>
        </w:rPr>
        <w:t>经分析，项目集气装置非正常工况易于及时发现，而废气处理装置非正常工况不易及时发现，因此本次评价主要分析废气处理系统</w:t>
      </w:r>
      <w:r>
        <w:rPr>
          <w:rFonts w:hint="eastAsia"/>
          <w:color w:val="auto"/>
          <w:sz w:val="24"/>
          <w:szCs w:val="20"/>
          <w:highlight w:val="none"/>
          <w:lang w:val="en-US" w:eastAsia="zh-CN"/>
        </w:rPr>
        <w:t>三级活性炭吸附装置</w:t>
      </w:r>
      <w:r>
        <w:rPr>
          <w:rFonts w:hint="eastAsia"/>
          <w:color w:val="auto"/>
          <w:sz w:val="24"/>
          <w:highlight w:val="none"/>
        </w:rPr>
        <w:t>废气</w:t>
      </w:r>
      <w:r>
        <w:rPr>
          <w:color w:val="auto"/>
          <w:sz w:val="24"/>
          <w:highlight w:val="none"/>
        </w:rPr>
        <w:t>处理效率下降</w:t>
      </w:r>
      <w:r>
        <w:rPr>
          <w:rFonts w:hint="eastAsia"/>
          <w:color w:val="auto"/>
          <w:sz w:val="24"/>
          <w:highlight w:val="none"/>
          <w:lang w:val="en-US" w:eastAsia="zh-CN"/>
        </w:rPr>
        <w:t>为20%情况下，项目运营期非甲烷总烃非正常排放情况见下表。</w:t>
      </w:r>
    </w:p>
    <w:p>
      <w:pPr>
        <w:spacing w:line="360" w:lineRule="auto"/>
        <w:ind w:firstLine="422"/>
        <w:jc w:val="center"/>
        <w:rPr>
          <w:b/>
          <w:color w:val="auto"/>
          <w:sz w:val="24"/>
          <w:highlight w:val="none"/>
        </w:rPr>
      </w:pPr>
      <w:r>
        <w:rPr>
          <w:b/>
          <w:color w:val="auto"/>
          <w:sz w:val="24"/>
          <w:highlight w:val="none"/>
        </w:rPr>
        <w:t>表3.6-1  非正常工况下污染源汇总表</w:t>
      </w:r>
    </w:p>
    <w:tbl>
      <w:tblPr>
        <w:tblStyle w:val="56"/>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50"/>
        <w:gridCol w:w="963"/>
        <w:gridCol w:w="850"/>
        <w:gridCol w:w="662"/>
        <w:gridCol w:w="775"/>
        <w:gridCol w:w="675"/>
        <w:gridCol w:w="838"/>
        <w:gridCol w:w="1150"/>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种类</w:t>
            </w:r>
          </w:p>
        </w:tc>
        <w:tc>
          <w:tcPr>
            <w:tcW w:w="115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废气处理系统故障</w:t>
            </w:r>
          </w:p>
        </w:tc>
        <w:tc>
          <w:tcPr>
            <w:tcW w:w="96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污染物名称</w:t>
            </w:r>
          </w:p>
        </w:tc>
        <w:tc>
          <w:tcPr>
            <w:tcW w:w="85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正常情况去除率</w:t>
            </w:r>
          </w:p>
        </w:tc>
        <w:tc>
          <w:tcPr>
            <w:tcW w:w="66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非正常去除率</w:t>
            </w:r>
          </w:p>
        </w:tc>
        <w:tc>
          <w:tcPr>
            <w:tcW w:w="77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排放浓度mg/m</w:t>
            </w:r>
            <w:r>
              <w:rPr>
                <w:rFonts w:hint="eastAsia"/>
                <w:color w:val="auto"/>
                <w:sz w:val="21"/>
                <w:szCs w:val="21"/>
                <w:highlight w:val="none"/>
                <w:vertAlign w:val="superscript"/>
                <w:lang w:val="en-US" w:eastAsia="zh-CN"/>
              </w:rPr>
              <w:t>3</w:t>
            </w:r>
          </w:p>
        </w:tc>
        <w:tc>
          <w:tcPr>
            <w:tcW w:w="67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排放速率kg/h</w:t>
            </w:r>
          </w:p>
        </w:tc>
        <w:tc>
          <w:tcPr>
            <w:tcW w:w="83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单位产品排放量kg/t</w:t>
            </w:r>
          </w:p>
        </w:tc>
        <w:tc>
          <w:tcPr>
            <w:tcW w:w="115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标准值</w:t>
            </w:r>
          </w:p>
        </w:tc>
        <w:tc>
          <w:tcPr>
            <w:tcW w:w="73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超标情况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事故工况</w:t>
            </w:r>
          </w:p>
        </w:tc>
        <w:tc>
          <w:tcPr>
            <w:tcW w:w="115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废气处理系统故障</w:t>
            </w:r>
          </w:p>
        </w:tc>
        <w:tc>
          <w:tcPr>
            <w:tcW w:w="96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非甲烷总烃</w:t>
            </w:r>
          </w:p>
        </w:tc>
        <w:tc>
          <w:tcPr>
            <w:tcW w:w="85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80%</w:t>
            </w:r>
          </w:p>
        </w:tc>
        <w:tc>
          <w:tcPr>
            <w:tcW w:w="66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20%</w:t>
            </w:r>
          </w:p>
        </w:tc>
        <w:tc>
          <w:tcPr>
            <w:tcW w:w="77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140.625</w:t>
            </w:r>
          </w:p>
        </w:tc>
        <w:tc>
          <w:tcPr>
            <w:tcW w:w="67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1.0125</w:t>
            </w:r>
          </w:p>
        </w:tc>
        <w:tc>
          <w:tcPr>
            <w:tcW w:w="83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1.944</w:t>
            </w:r>
          </w:p>
        </w:tc>
        <w:tc>
          <w:tcPr>
            <w:tcW w:w="115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100mg/m</w:t>
            </w:r>
            <w:r>
              <w:rPr>
                <w:rFonts w:hint="eastAsia"/>
                <w:color w:val="auto"/>
                <w:sz w:val="21"/>
                <w:szCs w:val="21"/>
                <w:highlight w:val="none"/>
                <w:vertAlign w:val="superscript"/>
                <w:lang w:val="en-US" w:eastAsia="zh-CN"/>
              </w:rPr>
              <w:t>3</w:t>
            </w:r>
          </w:p>
          <w:p>
            <w:pPr>
              <w:pStyle w:val="21"/>
              <w:rPr>
                <w:rFonts w:hint="default"/>
                <w:color w:val="auto"/>
                <w:highlight w:val="none"/>
                <w:lang w:val="en-US" w:eastAsia="zh-CN"/>
              </w:rPr>
            </w:pPr>
            <w:r>
              <w:rPr>
                <w:rFonts w:hint="eastAsia"/>
                <w:color w:val="auto"/>
                <w:sz w:val="21"/>
                <w:szCs w:val="21"/>
                <w:highlight w:val="none"/>
                <w:vertAlign w:val="baseline"/>
                <w:lang w:val="en-US" w:eastAsia="zh-CN"/>
              </w:rPr>
              <w:t>0.5kg/t</w:t>
            </w:r>
          </w:p>
        </w:tc>
        <w:tc>
          <w:tcPr>
            <w:tcW w:w="73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超标</w:t>
            </w:r>
          </w:p>
        </w:tc>
      </w:tr>
    </w:tbl>
    <w:p>
      <w:pPr>
        <w:spacing w:line="360" w:lineRule="auto"/>
        <w:ind w:firstLine="480" w:firstLineChars="200"/>
        <w:rPr>
          <w:color w:val="auto"/>
          <w:sz w:val="24"/>
          <w:highlight w:val="none"/>
        </w:rPr>
      </w:pP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根据上表可知</w:t>
      </w:r>
      <w:r>
        <w:rPr>
          <w:color w:val="auto"/>
          <w:sz w:val="24"/>
          <w:highlight w:val="none"/>
        </w:rPr>
        <w:t>，</w:t>
      </w:r>
      <w:r>
        <w:rPr>
          <w:rFonts w:hint="eastAsia"/>
          <w:color w:val="auto"/>
          <w:sz w:val="24"/>
          <w:highlight w:val="none"/>
          <w:lang w:val="en-US" w:eastAsia="zh-CN"/>
        </w:rPr>
        <w:t>非正常排放情况下，非甲烷总烃排放浓度和单位产品排放量均超过了《合成树脂工业污染物排放标准》（GB31572-2015）表4限值要求（排放浓度≤100mg/m</w:t>
      </w:r>
      <w:r>
        <w:rPr>
          <w:rFonts w:hint="eastAsia"/>
          <w:color w:val="auto"/>
          <w:sz w:val="24"/>
          <w:highlight w:val="none"/>
          <w:vertAlign w:val="superscript"/>
          <w:lang w:val="en-US" w:eastAsia="zh-CN"/>
        </w:rPr>
        <w:t>3</w:t>
      </w:r>
      <w:r>
        <w:rPr>
          <w:rFonts w:hint="eastAsia"/>
          <w:color w:val="auto"/>
          <w:sz w:val="24"/>
          <w:highlight w:val="none"/>
          <w:lang w:val="en-US" w:eastAsia="zh-CN"/>
        </w:rPr>
        <w:t>，单位产品非甲烷总烃排放量≤0.5kg/t产品）。</w:t>
      </w:r>
    </w:p>
    <w:p>
      <w:pPr>
        <w:spacing w:line="360" w:lineRule="auto"/>
        <w:ind w:firstLine="480" w:firstLineChars="200"/>
        <w:rPr>
          <w:color w:val="auto"/>
          <w:sz w:val="24"/>
          <w:highlight w:val="none"/>
        </w:rPr>
      </w:pPr>
      <w:r>
        <w:rPr>
          <w:rFonts w:hint="eastAsia"/>
          <w:color w:val="auto"/>
          <w:sz w:val="24"/>
          <w:highlight w:val="none"/>
          <w:lang w:val="en-US" w:eastAsia="zh-CN"/>
        </w:rPr>
        <w:t>建设单位仍需加强管理避免非正常情况发生，一旦发生非正常情况，须立即停止热熔注塑环节生产，待废气治理设施恢复正常后方可恢复运行。</w:t>
      </w:r>
    </w:p>
    <w:p>
      <w:pPr>
        <w:keepNext/>
        <w:keepLines/>
        <w:spacing w:line="360" w:lineRule="auto"/>
        <w:outlineLvl w:val="1"/>
        <w:rPr>
          <w:b/>
          <w:bCs/>
          <w:color w:val="auto"/>
          <w:sz w:val="28"/>
          <w:szCs w:val="28"/>
          <w:highlight w:val="none"/>
        </w:rPr>
      </w:pPr>
      <w:bookmarkStart w:id="466" w:name="_Toc7724"/>
      <w:bookmarkStart w:id="467" w:name="_Toc75908676"/>
      <w:r>
        <w:rPr>
          <w:b/>
          <w:bCs/>
          <w:color w:val="auto"/>
          <w:sz w:val="28"/>
          <w:szCs w:val="28"/>
          <w:highlight w:val="none"/>
        </w:rPr>
        <w:t>3.7污染物排放量汇总</w:t>
      </w:r>
      <w:bookmarkEnd w:id="461"/>
      <w:bookmarkEnd w:id="462"/>
      <w:bookmarkEnd w:id="463"/>
      <w:bookmarkEnd w:id="464"/>
      <w:bookmarkEnd w:id="465"/>
      <w:bookmarkEnd w:id="466"/>
      <w:bookmarkEnd w:id="467"/>
    </w:p>
    <w:p>
      <w:pPr>
        <w:spacing w:line="360" w:lineRule="auto"/>
        <w:ind w:firstLine="480" w:firstLineChars="200"/>
        <w:rPr>
          <w:b/>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color w:val="auto"/>
          <w:sz w:val="24"/>
          <w:szCs w:val="20"/>
          <w:highlight w:val="none"/>
        </w:rPr>
        <w:t>正常工况下，本项目运营期主要污染物排放情况汇总见表3.7-1。</w:t>
      </w:r>
    </w:p>
    <w:p>
      <w:pPr>
        <w:spacing w:line="360" w:lineRule="auto"/>
        <w:jc w:val="center"/>
        <w:rPr>
          <w:b/>
          <w:color w:val="auto"/>
          <w:szCs w:val="21"/>
          <w:highlight w:val="none"/>
        </w:rPr>
      </w:pPr>
      <w:r>
        <w:rPr>
          <w:b/>
          <w:color w:val="auto"/>
          <w:sz w:val="24"/>
          <w:highlight w:val="none"/>
        </w:rPr>
        <w:t>表3.7-1  项目运营期主要污染物排放汇总表</w:t>
      </w:r>
    </w:p>
    <w:tbl>
      <w:tblPr>
        <w:tblStyle w:val="55"/>
        <w:tblW w:w="14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40"/>
        <w:gridCol w:w="1417"/>
        <w:gridCol w:w="1020"/>
        <w:gridCol w:w="1253"/>
        <w:gridCol w:w="1216"/>
        <w:gridCol w:w="1066"/>
        <w:gridCol w:w="1125"/>
        <w:gridCol w:w="4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1" w:type="dxa"/>
            <w:vMerge w:val="restart"/>
            <w:vAlign w:val="center"/>
          </w:tcPr>
          <w:p>
            <w:pPr>
              <w:adjustRightInd w:val="0"/>
              <w:snapToGrid w:val="0"/>
              <w:jc w:val="center"/>
              <w:rPr>
                <w:b/>
                <w:color w:val="auto"/>
                <w:szCs w:val="21"/>
                <w:highlight w:val="none"/>
              </w:rPr>
            </w:pPr>
            <w:r>
              <w:rPr>
                <w:b/>
                <w:color w:val="auto"/>
                <w:szCs w:val="21"/>
                <w:highlight w:val="none"/>
              </w:rPr>
              <w:t>类别</w:t>
            </w:r>
          </w:p>
        </w:tc>
        <w:tc>
          <w:tcPr>
            <w:tcW w:w="2140" w:type="dxa"/>
            <w:vMerge w:val="restart"/>
            <w:vAlign w:val="center"/>
          </w:tcPr>
          <w:p>
            <w:pPr>
              <w:adjustRightInd w:val="0"/>
              <w:snapToGrid w:val="0"/>
              <w:jc w:val="center"/>
              <w:rPr>
                <w:b/>
                <w:color w:val="auto"/>
                <w:szCs w:val="21"/>
                <w:highlight w:val="none"/>
              </w:rPr>
            </w:pPr>
            <w:r>
              <w:rPr>
                <w:b/>
                <w:color w:val="auto"/>
                <w:szCs w:val="21"/>
                <w:highlight w:val="none"/>
              </w:rPr>
              <w:t>污染源</w:t>
            </w:r>
          </w:p>
        </w:tc>
        <w:tc>
          <w:tcPr>
            <w:tcW w:w="2437" w:type="dxa"/>
            <w:gridSpan w:val="2"/>
            <w:vMerge w:val="restart"/>
            <w:vAlign w:val="center"/>
          </w:tcPr>
          <w:p>
            <w:pPr>
              <w:adjustRightInd w:val="0"/>
              <w:snapToGrid w:val="0"/>
              <w:jc w:val="center"/>
              <w:rPr>
                <w:b/>
                <w:color w:val="auto"/>
                <w:szCs w:val="21"/>
                <w:highlight w:val="none"/>
              </w:rPr>
            </w:pPr>
            <w:r>
              <w:rPr>
                <w:b/>
                <w:color w:val="auto"/>
                <w:szCs w:val="21"/>
                <w:highlight w:val="none"/>
              </w:rPr>
              <w:t>污染物</w:t>
            </w:r>
          </w:p>
        </w:tc>
        <w:tc>
          <w:tcPr>
            <w:tcW w:w="2469" w:type="dxa"/>
            <w:gridSpan w:val="2"/>
            <w:vAlign w:val="center"/>
          </w:tcPr>
          <w:p>
            <w:pPr>
              <w:adjustRightInd w:val="0"/>
              <w:snapToGrid w:val="0"/>
              <w:jc w:val="center"/>
              <w:rPr>
                <w:b/>
                <w:color w:val="auto"/>
                <w:szCs w:val="21"/>
                <w:highlight w:val="none"/>
              </w:rPr>
            </w:pPr>
            <w:r>
              <w:rPr>
                <w:b/>
                <w:color w:val="auto"/>
                <w:szCs w:val="21"/>
                <w:highlight w:val="none"/>
              </w:rPr>
              <w:t>产生情况</w:t>
            </w:r>
          </w:p>
        </w:tc>
        <w:tc>
          <w:tcPr>
            <w:tcW w:w="2191" w:type="dxa"/>
            <w:gridSpan w:val="2"/>
            <w:vAlign w:val="center"/>
          </w:tcPr>
          <w:p>
            <w:pPr>
              <w:adjustRightInd w:val="0"/>
              <w:snapToGrid w:val="0"/>
              <w:jc w:val="center"/>
              <w:rPr>
                <w:b/>
                <w:color w:val="auto"/>
                <w:szCs w:val="21"/>
                <w:highlight w:val="none"/>
              </w:rPr>
            </w:pPr>
            <w:r>
              <w:rPr>
                <w:rFonts w:hint="eastAsia"/>
                <w:b/>
                <w:color w:val="auto"/>
                <w:szCs w:val="21"/>
                <w:highlight w:val="none"/>
                <w:lang w:val="en-US" w:eastAsia="zh-CN"/>
              </w:rPr>
              <w:t>排放</w:t>
            </w:r>
            <w:r>
              <w:rPr>
                <w:b/>
                <w:color w:val="auto"/>
                <w:szCs w:val="21"/>
                <w:highlight w:val="none"/>
              </w:rPr>
              <w:t>情况</w:t>
            </w:r>
          </w:p>
        </w:tc>
        <w:tc>
          <w:tcPr>
            <w:tcW w:w="4155" w:type="dxa"/>
            <w:vMerge w:val="restart"/>
            <w:vAlign w:val="center"/>
          </w:tcPr>
          <w:p>
            <w:pPr>
              <w:adjustRightInd w:val="0"/>
              <w:snapToGrid w:val="0"/>
              <w:jc w:val="center"/>
              <w:rPr>
                <w:b/>
                <w:color w:val="auto"/>
                <w:szCs w:val="21"/>
                <w:highlight w:val="none"/>
              </w:rPr>
            </w:pPr>
            <w:r>
              <w:rPr>
                <w:rFonts w:hint="eastAsia"/>
                <w:b/>
                <w:color w:val="auto"/>
                <w:szCs w:val="21"/>
                <w:highlight w:val="non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71" w:type="dxa"/>
            <w:vMerge w:val="continue"/>
            <w:vAlign w:val="center"/>
          </w:tcPr>
          <w:p>
            <w:pPr>
              <w:adjustRightInd w:val="0"/>
              <w:snapToGrid w:val="0"/>
              <w:jc w:val="center"/>
              <w:rPr>
                <w:b/>
                <w:color w:val="auto"/>
                <w:szCs w:val="21"/>
                <w:highlight w:val="none"/>
              </w:rPr>
            </w:pPr>
          </w:p>
        </w:tc>
        <w:tc>
          <w:tcPr>
            <w:tcW w:w="2140" w:type="dxa"/>
            <w:vMerge w:val="continue"/>
            <w:vAlign w:val="center"/>
          </w:tcPr>
          <w:p>
            <w:pPr>
              <w:adjustRightInd w:val="0"/>
              <w:snapToGrid w:val="0"/>
              <w:jc w:val="center"/>
              <w:rPr>
                <w:b/>
                <w:color w:val="auto"/>
                <w:szCs w:val="21"/>
                <w:highlight w:val="none"/>
              </w:rPr>
            </w:pPr>
          </w:p>
        </w:tc>
        <w:tc>
          <w:tcPr>
            <w:tcW w:w="2437" w:type="dxa"/>
            <w:gridSpan w:val="2"/>
            <w:vMerge w:val="continue"/>
            <w:vAlign w:val="center"/>
          </w:tcPr>
          <w:p>
            <w:pPr>
              <w:adjustRightInd w:val="0"/>
              <w:snapToGrid w:val="0"/>
              <w:jc w:val="center"/>
              <w:rPr>
                <w:b/>
                <w:color w:val="auto"/>
                <w:szCs w:val="21"/>
                <w:highlight w:val="none"/>
              </w:rPr>
            </w:pPr>
          </w:p>
        </w:tc>
        <w:tc>
          <w:tcPr>
            <w:tcW w:w="1253" w:type="dxa"/>
            <w:vAlign w:val="center"/>
          </w:tcPr>
          <w:p>
            <w:pPr>
              <w:adjustRightInd w:val="0"/>
              <w:snapToGrid w:val="0"/>
              <w:jc w:val="center"/>
              <w:rPr>
                <w:b/>
                <w:color w:val="auto"/>
                <w:szCs w:val="21"/>
                <w:highlight w:val="none"/>
              </w:rPr>
            </w:pPr>
            <w:r>
              <w:rPr>
                <w:b/>
                <w:color w:val="auto"/>
                <w:szCs w:val="21"/>
                <w:highlight w:val="none"/>
              </w:rPr>
              <w:t>产生量</w:t>
            </w:r>
          </w:p>
          <w:p>
            <w:pPr>
              <w:adjustRightInd w:val="0"/>
              <w:snapToGrid w:val="0"/>
              <w:jc w:val="center"/>
              <w:rPr>
                <w:b/>
                <w:color w:val="auto"/>
                <w:szCs w:val="21"/>
                <w:highlight w:val="none"/>
              </w:rPr>
            </w:pPr>
            <w:r>
              <w:rPr>
                <w:b/>
                <w:color w:val="auto"/>
                <w:szCs w:val="21"/>
                <w:highlight w:val="none"/>
              </w:rPr>
              <w:t>(t/a)</w:t>
            </w:r>
          </w:p>
        </w:tc>
        <w:tc>
          <w:tcPr>
            <w:tcW w:w="1216" w:type="dxa"/>
            <w:vAlign w:val="center"/>
          </w:tcPr>
          <w:p>
            <w:pPr>
              <w:adjustRightInd w:val="0"/>
              <w:snapToGrid w:val="0"/>
              <w:jc w:val="center"/>
              <w:rPr>
                <w:b/>
                <w:color w:val="auto"/>
                <w:szCs w:val="21"/>
                <w:highlight w:val="none"/>
              </w:rPr>
            </w:pPr>
            <w:r>
              <w:rPr>
                <w:b/>
                <w:color w:val="auto"/>
                <w:szCs w:val="21"/>
                <w:highlight w:val="none"/>
              </w:rPr>
              <w:t>浓度</w:t>
            </w:r>
          </w:p>
          <w:p>
            <w:pPr>
              <w:adjustRightInd w:val="0"/>
              <w:snapToGrid w:val="0"/>
              <w:jc w:val="center"/>
              <w:rPr>
                <w:b/>
                <w:color w:val="auto"/>
                <w:szCs w:val="21"/>
                <w:highlight w:val="none"/>
              </w:rPr>
            </w:pPr>
            <w:r>
              <w:rPr>
                <w:b/>
                <w:color w:val="auto"/>
                <w:szCs w:val="21"/>
                <w:highlight w:val="none"/>
              </w:rPr>
              <w:t>(mg/m</w:t>
            </w:r>
            <w:r>
              <w:rPr>
                <w:b/>
                <w:color w:val="auto"/>
                <w:szCs w:val="21"/>
                <w:highlight w:val="none"/>
                <w:vertAlign w:val="superscript"/>
              </w:rPr>
              <w:t>3</w:t>
            </w:r>
            <w:r>
              <w:rPr>
                <w:b/>
                <w:color w:val="auto"/>
                <w:szCs w:val="21"/>
                <w:highlight w:val="none"/>
              </w:rPr>
              <w:t>)</w:t>
            </w:r>
          </w:p>
        </w:tc>
        <w:tc>
          <w:tcPr>
            <w:tcW w:w="1066" w:type="dxa"/>
            <w:vAlign w:val="center"/>
          </w:tcPr>
          <w:p>
            <w:pPr>
              <w:adjustRightInd w:val="0"/>
              <w:snapToGrid w:val="0"/>
              <w:jc w:val="center"/>
              <w:rPr>
                <w:b/>
                <w:color w:val="auto"/>
                <w:szCs w:val="21"/>
                <w:highlight w:val="none"/>
              </w:rPr>
            </w:pPr>
            <w:r>
              <w:rPr>
                <w:rFonts w:hint="eastAsia"/>
                <w:b/>
                <w:color w:val="auto"/>
                <w:szCs w:val="21"/>
                <w:highlight w:val="none"/>
                <w:lang w:val="en-US" w:eastAsia="zh-CN"/>
              </w:rPr>
              <w:t>排放</w:t>
            </w:r>
            <w:r>
              <w:rPr>
                <w:b/>
                <w:color w:val="auto"/>
                <w:szCs w:val="21"/>
                <w:highlight w:val="none"/>
              </w:rPr>
              <w:t>量</w:t>
            </w:r>
          </w:p>
          <w:p>
            <w:pPr>
              <w:adjustRightInd w:val="0"/>
              <w:snapToGrid w:val="0"/>
              <w:jc w:val="center"/>
              <w:rPr>
                <w:b/>
                <w:color w:val="auto"/>
                <w:szCs w:val="21"/>
                <w:highlight w:val="none"/>
              </w:rPr>
            </w:pPr>
            <w:r>
              <w:rPr>
                <w:b/>
                <w:color w:val="auto"/>
                <w:szCs w:val="21"/>
                <w:highlight w:val="none"/>
              </w:rPr>
              <w:t>(t/a)</w:t>
            </w:r>
          </w:p>
        </w:tc>
        <w:tc>
          <w:tcPr>
            <w:tcW w:w="1125" w:type="dxa"/>
            <w:vAlign w:val="center"/>
          </w:tcPr>
          <w:p>
            <w:pPr>
              <w:adjustRightInd w:val="0"/>
              <w:snapToGrid w:val="0"/>
              <w:jc w:val="center"/>
              <w:rPr>
                <w:b/>
                <w:color w:val="auto"/>
                <w:szCs w:val="21"/>
                <w:highlight w:val="none"/>
              </w:rPr>
            </w:pPr>
            <w:r>
              <w:rPr>
                <w:b/>
                <w:color w:val="auto"/>
                <w:szCs w:val="21"/>
                <w:highlight w:val="none"/>
              </w:rPr>
              <w:t>浓度</w:t>
            </w:r>
          </w:p>
          <w:p>
            <w:pPr>
              <w:adjustRightInd w:val="0"/>
              <w:snapToGrid w:val="0"/>
              <w:jc w:val="center"/>
              <w:rPr>
                <w:b/>
                <w:color w:val="auto"/>
                <w:szCs w:val="21"/>
                <w:highlight w:val="none"/>
              </w:rPr>
            </w:pPr>
            <w:r>
              <w:rPr>
                <w:b/>
                <w:color w:val="auto"/>
                <w:szCs w:val="21"/>
                <w:highlight w:val="none"/>
              </w:rPr>
              <w:t>(mg/m</w:t>
            </w:r>
            <w:r>
              <w:rPr>
                <w:b/>
                <w:color w:val="auto"/>
                <w:szCs w:val="21"/>
                <w:highlight w:val="none"/>
                <w:vertAlign w:val="superscript"/>
              </w:rPr>
              <w:t>3</w:t>
            </w:r>
            <w:r>
              <w:rPr>
                <w:b/>
                <w:color w:val="auto"/>
                <w:szCs w:val="21"/>
                <w:highlight w:val="none"/>
              </w:rPr>
              <w:t>)</w:t>
            </w:r>
          </w:p>
        </w:tc>
        <w:tc>
          <w:tcPr>
            <w:tcW w:w="4155" w:type="dxa"/>
            <w:vMerge w:val="continue"/>
            <w:vAlign w:val="center"/>
          </w:tcPr>
          <w:p>
            <w:pPr>
              <w:adjustRightInd w:val="0"/>
              <w:snapToGrid w:val="0"/>
              <w:jc w:val="center"/>
              <w:rP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1" w:type="dxa"/>
            <w:vMerge w:val="restart"/>
            <w:vAlign w:val="center"/>
          </w:tcPr>
          <w:p>
            <w:pPr>
              <w:adjustRightInd w:val="0"/>
              <w:snapToGrid w:val="0"/>
              <w:jc w:val="center"/>
              <w:rPr>
                <w:color w:val="auto"/>
                <w:szCs w:val="21"/>
                <w:highlight w:val="none"/>
              </w:rPr>
            </w:pPr>
            <w:r>
              <w:rPr>
                <w:color w:val="auto"/>
                <w:szCs w:val="21"/>
                <w:highlight w:val="none"/>
              </w:rPr>
              <w:t>废气</w:t>
            </w:r>
          </w:p>
        </w:tc>
        <w:tc>
          <w:tcPr>
            <w:tcW w:w="2140" w:type="dxa"/>
            <w:vMerge w:val="restart"/>
            <w:vAlign w:val="center"/>
          </w:tcPr>
          <w:p>
            <w:pPr>
              <w:adjustRightInd w:val="0"/>
              <w:snapToGrid w:val="0"/>
              <w:jc w:val="center"/>
              <w:rPr>
                <w:color w:val="auto"/>
                <w:szCs w:val="21"/>
                <w:highlight w:val="none"/>
              </w:rPr>
            </w:pPr>
            <w:r>
              <w:rPr>
                <w:rFonts w:hint="eastAsia"/>
                <w:color w:val="auto"/>
                <w:kern w:val="0"/>
                <w:szCs w:val="21"/>
                <w:highlight w:val="none"/>
                <w:lang w:val="en-US" w:eastAsia="zh-CN"/>
              </w:rPr>
              <w:t>塑料框</w:t>
            </w:r>
            <w:r>
              <w:rPr>
                <w:color w:val="auto"/>
                <w:szCs w:val="21"/>
                <w:highlight w:val="none"/>
              </w:rPr>
              <w:t>生产线</w:t>
            </w:r>
          </w:p>
        </w:tc>
        <w:tc>
          <w:tcPr>
            <w:tcW w:w="1417" w:type="dxa"/>
            <w:vAlign w:val="center"/>
          </w:tcPr>
          <w:p>
            <w:pPr>
              <w:adjustRightInd w:val="0"/>
              <w:snapToGrid w:val="0"/>
              <w:jc w:val="center"/>
              <w:rPr>
                <w:color w:val="auto"/>
                <w:spacing w:val="-4"/>
                <w:szCs w:val="21"/>
                <w:highlight w:val="none"/>
              </w:rPr>
            </w:pPr>
            <w:r>
              <w:rPr>
                <w:color w:val="auto"/>
                <w:spacing w:val="-4"/>
                <w:szCs w:val="21"/>
                <w:highlight w:val="none"/>
              </w:rPr>
              <w:t>非甲烷总烃</w:t>
            </w:r>
          </w:p>
        </w:tc>
        <w:tc>
          <w:tcPr>
            <w:tcW w:w="1020" w:type="dxa"/>
            <w:vMerge w:val="restart"/>
            <w:vAlign w:val="center"/>
          </w:tcPr>
          <w:p>
            <w:pPr>
              <w:adjustRightInd w:val="0"/>
              <w:snapToGrid w:val="0"/>
              <w:jc w:val="center"/>
              <w:rPr>
                <w:color w:val="auto"/>
                <w:spacing w:val="-4"/>
                <w:szCs w:val="21"/>
                <w:highlight w:val="none"/>
              </w:rPr>
            </w:pPr>
            <w:r>
              <w:rPr>
                <w:color w:val="auto"/>
                <w:spacing w:val="-4"/>
                <w:szCs w:val="21"/>
                <w:highlight w:val="none"/>
              </w:rPr>
              <w:t>有组织</w:t>
            </w:r>
          </w:p>
        </w:tc>
        <w:tc>
          <w:tcPr>
            <w:tcW w:w="1253" w:type="dxa"/>
            <w:vAlign w:val="center"/>
          </w:tcPr>
          <w:p>
            <w:pPr>
              <w:autoSpaceDE w:val="0"/>
              <w:autoSpaceDN w:val="0"/>
              <w:jc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3.0375</w:t>
            </w:r>
          </w:p>
        </w:tc>
        <w:tc>
          <w:tcPr>
            <w:tcW w:w="1216" w:type="dxa"/>
            <w:vAlign w:val="center"/>
          </w:tcPr>
          <w:p>
            <w:pPr>
              <w:autoSpaceDE w:val="0"/>
              <w:autoSpaceDN w:val="0"/>
              <w:jc w:val="center"/>
              <w:rPr>
                <w:rFonts w:hint="default" w:eastAsia="宋体"/>
                <w:bCs/>
                <w:color w:val="auto"/>
                <w:highlight w:val="none"/>
                <w:lang w:val="en-US" w:eastAsia="zh-CN"/>
              </w:rPr>
            </w:pPr>
            <w:r>
              <w:rPr>
                <w:rFonts w:hint="eastAsia"/>
                <w:bCs/>
                <w:color w:val="auto"/>
                <w:highlight w:val="none"/>
                <w:lang w:val="en-US" w:eastAsia="zh-CN"/>
              </w:rPr>
              <w:t>175.78</w:t>
            </w:r>
          </w:p>
        </w:tc>
        <w:tc>
          <w:tcPr>
            <w:tcW w:w="1066" w:type="dxa"/>
            <w:vAlign w:val="center"/>
          </w:tcPr>
          <w:p>
            <w:pPr>
              <w:autoSpaceDE w:val="0"/>
              <w:autoSpaceDN w:val="0"/>
              <w:jc w:val="center"/>
              <w:rPr>
                <w:rFonts w:hint="default" w:eastAsia="宋体"/>
                <w:bCs/>
                <w:color w:val="auto"/>
                <w:highlight w:val="none"/>
                <w:lang w:val="en-US" w:eastAsia="zh-CN"/>
              </w:rPr>
            </w:pPr>
            <w:r>
              <w:rPr>
                <w:rFonts w:hint="eastAsia"/>
                <w:bCs/>
                <w:color w:val="auto"/>
                <w:highlight w:val="none"/>
                <w:lang w:val="en-US" w:eastAsia="zh-CN"/>
              </w:rPr>
              <w:t>0.6075</w:t>
            </w:r>
          </w:p>
        </w:tc>
        <w:tc>
          <w:tcPr>
            <w:tcW w:w="1125" w:type="dxa"/>
            <w:vAlign w:val="center"/>
          </w:tcPr>
          <w:p>
            <w:pPr>
              <w:autoSpaceDE w:val="0"/>
              <w:autoSpaceDN w:val="0"/>
              <w:jc w:val="center"/>
              <w:rPr>
                <w:rFonts w:hint="default" w:eastAsia="宋体"/>
                <w:bCs/>
                <w:color w:val="auto"/>
                <w:highlight w:val="none"/>
                <w:lang w:val="en-US" w:eastAsia="zh-CN"/>
              </w:rPr>
            </w:pPr>
            <w:r>
              <w:rPr>
                <w:rFonts w:hint="eastAsia"/>
                <w:bCs/>
                <w:color w:val="auto"/>
                <w:highlight w:val="none"/>
                <w:lang w:val="en-US" w:eastAsia="zh-CN"/>
              </w:rPr>
              <w:t>35.156</w:t>
            </w:r>
          </w:p>
        </w:tc>
        <w:tc>
          <w:tcPr>
            <w:tcW w:w="4155" w:type="dxa"/>
            <w:vMerge w:val="restart"/>
            <w:vAlign w:val="center"/>
          </w:tcPr>
          <w:p>
            <w:pPr>
              <w:autoSpaceDE w:val="0"/>
              <w:autoSpaceDN w:val="0"/>
              <w:jc w:val="center"/>
              <w:rPr>
                <w:bCs/>
                <w:color w:val="auto"/>
                <w:highlight w:val="none"/>
              </w:rPr>
            </w:pPr>
            <w:r>
              <w:rPr>
                <w:rFonts w:hint="eastAsia"/>
                <w:bCs/>
                <w:color w:val="auto"/>
                <w:highlight w:val="none"/>
              </w:rPr>
              <w:t>经</w:t>
            </w:r>
            <w:r>
              <w:rPr>
                <w:color w:val="auto"/>
                <w:kern w:val="0"/>
                <w:szCs w:val="21"/>
                <w:highlight w:val="none"/>
              </w:rPr>
              <w:t>集气罩+</w:t>
            </w:r>
            <w:r>
              <w:rPr>
                <w:rFonts w:hint="eastAsia"/>
                <w:color w:val="auto"/>
                <w:kern w:val="0"/>
                <w:szCs w:val="21"/>
                <w:highlight w:val="none"/>
                <w:lang w:eastAsia="zh-CN"/>
              </w:rPr>
              <w:t>“</w:t>
            </w:r>
            <w:r>
              <w:rPr>
                <w:rFonts w:hint="eastAsia"/>
                <w:color w:val="auto"/>
                <w:kern w:val="0"/>
                <w:szCs w:val="21"/>
                <w:highlight w:val="none"/>
                <w:lang w:val="en-US" w:eastAsia="zh-CN"/>
              </w:rPr>
              <w:t>三级活性炭吸附装置</w:t>
            </w:r>
            <w:r>
              <w:rPr>
                <w:rFonts w:hint="eastAsia"/>
                <w:color w:val="auto"/>
                <w:kern w:val="0"/>
                <w:szCs w:val="21"/>
                <w:highlight w:val="none"/>
                <w:lang w:eastAsia="zh-CN"/>
              </w:rPr>
              <w:t>”</w:t>
            </w:r>
            <w:r>
              <w:rPr>
                <w:rFonts w:hint="eastAsia"/>
                <w:color w:val="auto"/>
                <w:kern w:val="0"/>
                <w:szCs w:val="21"/>
                <w:highlight w:val="none"/>
              </w:rPr>
              <w:t>处理后由</w:t>
            </w:r>
            <w:r>
              <w:rPr>
                <w:rFonts w:hint="eastAsia"/>
                <w:color w:val="auto"/>
                <w:kern w:val="0"/>
                <w:szCs w:val="21"/>
                <w:highlight w:val="none"/>
                <w:lang w:val="en-US" w:eastAsia="zh-CN"/>
              </w:rPr>
              <w:t>15</w:t>
            </w:r>
            <w:r>
              <w:rPr>
                <w:rFonts w:hint="eastAsia"/>
                <w:color w:val="auto"/>
                <w:kern w:val="0"/>
                <w:szCs w:val="21"/>
                <w:highlight w:val="none"/>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1" w:type="dxa"/>
            <w:vMerge w:val="continue"/>
            <w:vAlign w:val="center"/>
          </w:tcPr>
          <w:p>
            <w:pPr>
              <w:adjustRightInd w:val="0"/>
              <w:snapToGrid w:val="0"/>
              <w:jc w:val="center"/>
              <w:rPr>
                <w:color w:val="auto"/>
                <w:highlight w:val="none"/>
              </w:rPr>
            </w:pPr>
          </w:p>
        </w:tc>
        <w:tc>
          <w:tcPr>
            <w:tcW w:w="2140" w:type="dxa"/>
            <w:vMerge w:val="continue"/>
            <w:vAlign w:val="center"/>
          </w:tcPr>
          <w:p>
            <w:pPr>
              <w:adjustRightInd w:val="0"/>
              <w:snapToGrid w:val="0"/>
              <w:jc w:val="center"/>
              <w:rPr>
                <w:color w:val="auto"/>
                <w:highlight w:val="none"/>
              </w:rPr>
            </w:pPr>
          </w:p>
        </w:tc>
        <w:tc>
          <w:tcPr>
            <w:tcW w:w="1417" w:type="dxa"/>
            <w:vAlign w:val="center"/>
          </w:tcPr>
          <w:p>
            <w:pPr>
              <w:adjustRightInd w:val="0"/>
              <w:snapToGrid w:val="0"/>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臭气浓度</w:t>
            </w:r>
          </w:p>
        </w:tc>
        <w:tc>
          <w:tcPr>
            <w:tcW w:w="1020" w:type="dxa"/>
            <w:vMerge w:val="continue"/>
            <w:vAlign w:val="center"/>
          </w:tcPr>
          <w:p>
            <w:pPr>
              <w:adjustRightInd w:val="0"/>
              <w:snapToGrid w:val="0"/>
              <w:jc w:val="center"/>
              <w:rPr>
                <w:color w:val="auto"/>
                <w:spacing w:val="-4"/>
                <w:szCs w:val="21"/>
                <w:highlight w:val="none"/>
              </w:rPr>
            </w:pPr>
          </w:p>
        </w:tc>
        <w:tc>
          <w:tcPr>
            <w:tcW w:w="1253" w:type="dxa"/>
            <w:vAlign w:val="center"/>
          </w:tcPr>
          <w:p>
            <w:pPr>
              <w:adjustRightInd w:val="0"/>
              <w:snapToGrid w:val="0"/>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w:t>
            </w:r>
          </w:p>
        </w:tc>
        <w:tc>
          <w:tcPr>
            <w:tcW w:w="1216" w:type="dxa"/>
            <w:vAlign w:val="center"/>
          </w:tcPr>
          <w:p>
            <w:pPr>
              <w:adjustRightInd w:val="0"/>
              <w:snapToGrid w:val="0"/>
              <w:jc w:val="center"/>
              <w:rPr>
                <w:rFonts w:hint="eastAsia" w:eastAsia="宋体"/>
                <w:color w:val="auto"/>
                <w:spacing w:val="-4"/>
                <w:szCs w:val="21"/>
                <w:highlight w:val="none"/>
                <w:lang w:val="en-US" w:eastAsia="zh-CN"/>
              </w:rPr>
            </w:pPr>
            <w:r>
              <w:rPr>
                <w:rFonts w:hint="eastAsia"/>
                <w:color w:val="auto"/>
                <w:spacing w:val="-4"/>
                <w:szCs w:val="21"/>
                <w:highlight w:val="none"/>
                <w:lang w:val="en-US" w:eastAsia="zh-CN"/>
              </w:rPr>
              <w:t>/</w:t>
            </w:r>
          </w:p>
        </w:tc>
        <w:tc>
          <w:tcPr>
            <w:tcW w:w="1066" w:type="dxa"/>
            <w:vAlign w:val="center"/>
          </w:tcPr>
          <w:p>
            <w:pPr>
              <w:adjustRightInd w:val="0"/>
              <w:snapToGrid w:val="0"/>
              <w:jc w:val="center"/>
              <w:rPr>
                <w:rFonts w:hint="eastAsia" w:eastAsia="宋体"/>
                <w:color w:val="auto"/>
                <w:spacing w:val="-4"/>
                <w:szCs w:val="21"/>
                <w:highlight w:val="none"/>
                <w:lang w:val="en-US" w:eastAsia="zh-CN"/>
              </w:rPr>
            </w:pPr>
            <w:r>
              <w:rPr>
                <w:rFonts w:hint="eastAsia"/>
                <w:color w:val="auto"/>
                <w:spacing w:val="-4"/>
                <w:szCs w:val="21"/>
                <w:highlight w:val="none"/>
                <w:lang w:val="en-US" w:eastAsia="zh-CN"/>
              </w:rPr>
              <w:t>/</w:t>
            </w:r>
          </w:p>
        </w:tc>
        <w:tc>
          <w:tcPr>
            <w:tcW w:w="1125" w:type="dxa"/>
            <w:vAlign w:val="center"/>
          </w:tcPr>
          <w:p>
            <w:pPr>
              <w:adjustRightInd w:val="0"/>
              <w:snapToGrid w:val="0"/>
              <w:jc w:val="center"/>
              <w:rPr>
                <w:rFonts w:hint="eastAsia" w:eastAsia="宋体"/>
                <w:color w:val="auto"/>
                <w:spacing w:val="-4"/>
                <w:szCs w:val="21"/>
                <w:highlight w:val="none"/>
                <w:lang w:val="en-US" w:eastAsia="zh-CN"/>
              </w:rPr>
            </w:pPr>
            <w:r>
              <w:rPr>
                <w:rFonts w:hint="eastAsia"/>
                <w:color w:val="auto"/>
                <w:spacing w:val="-4"/>
                <w:szCs w:val="21"/>
                <w:highlight w:val="none"/>
                <w:lang w:val="en-US" w:eastAsia="zh-CN"/>
              </w:rPr>
              <w:t>/</w:t>
            </w:r>
          </w:p>
        </w:tc>
        <w:tc>
          <w:tcPr>
            <w:tcW w:w="4155" w:type="dxa"/>
            <w:vMerge w:val="continue"/>
            <w:vAlign w:val="center"/>
          </w:tcPr>
          <w:p>
            <w:pPr>
              <w:adjustRightInd w:val="0"/>
              <w:snapToGrid w:val="0"/>
              <w:jc w:val="center"/>
              <w:rPr>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1" w:type="dxa"/>
            <w:vMerge w:val="continue"/>
            <w:vAlign w:val="center"/>
          </w:tcPr>
          <w:p>
            <w:pPr>
              <w:adjustRightInd w:val="0"/>
              <w:snapToGrid w:val="0"/>
              <w:jc w:val="center"/>
              <w:rPr>
                <w:color w:val="auto"/>
                <w:szCs w:val="21"/>
                <w:highlight w:val="none"/>
              </w:rPr>
            </w:pPr>
          </w:p>
        </w:tc>
        <w:tc>
          <w:tcPr>
            <w:tcW w:w="2140" w:type="dxa"/>
            <w:vMerge w:val="restart"/>
            <w:vAlign w:val="center"/>
          </w:tcPr>
          <w:p>
            <w:pPr>
              <w:adjustRightInd w:val="0"/>
              <w:snapToGrid w:val="0"/>
              <w:jc w:val="center"/>
              <w:rPr>
                <w:color w:val="auto"/>
                <w:spacing w:val="-4"/>
                <w:szCs w:val="21"/>
                <w:highlight w:val="none"/>
              </w:rPr>
            </w:pPr>
            <w:r>
              <w:rPr>
                <w:color w:val="auto"/>
                <w:spacing w:val="-4"/>
                <w:szCs w:val="21"/>
                <w:highlight w:val="none"/>
              </w:rPr>
              <w:t>生产厂房</w:t>
            </w:r>
          </w:p>
        </w:tc>
        <w:tc>
          <w:tcPr>
            <w:tcW w:w="1417" w:type="dxa"/>
            <w:vAlign w:val="center"/>
          </w:tcPr>
          <w:p>
            <w:pPr>
              <w:adjustRightInd w:val="0"/>
              <w:snapToGrid w:val="0"/>
              <w:jc w:val="center"/>
              <w:rPr>
                <w:color w:val="auto"/>
                <w:spacing w:val="-4"/>
                <w:szCs w:val="21"/>
                <w:highlight w:val="none"/>
              </w:rPr>
            </w:pPr>
            <w:r>
              <w:rPr>
                <w:color w:val="auto"/>
                <w:spacing w:val="-4"/>
                <w:szCs w:val="21"/>
                <w:highlight w:val="none"/>
              </w:rPr>
              <w:t>非甲烷总烃</w:t>
            </w:r>
          </w:p>
        </w:tc>
        <w:tc>
          <w:tcPr>
            <w:tcW w:w="1020" w:type="dxa"/>
            <w:vMerge w:val="restart"/>
            <w:vAlign w:val="center"/>
          </w:tcPr>
          <w:p>
            <w:pPr>
              <w:adjustRightInd w:val="0"/>
              <w:snapToGrid w:val="0"/>
              <w:jc w:val="center"/>
              <w:rPr>
                <w:color w:val="auto"/>
                <w:spacing w:val="-4"/>
                <w:szCs w:val="21"/>
                <w:highlight w:val="none"/>
              </w:rPr>
            </w:pPr>
            <w:r>
              <w:rPr>
                <w:color w:val="auto"/>
                <w:spacing w:val="-4"/>
                <w:szCs w:val="21"/>
                <w:highlight w:val="none"/>
              </w:rPr>
              <w:t>无组织</w:t>
            </w:r>
          </w:p>
        </w:tc>
        <w:tc>
          <w:tcPr>
            <w:tcW w:w="1253" w:type="dxa"/>
            <w:vAlign w:val="center"/>
          </w:tcPr>
          <w:p>
            <w:pPr>
              <w:autoSpaceDE w:val="0"/>
              <w:autoSpaceDN w:val="0"/>
              <w:jc w:val="center"/>
              <w:rPr>
                <w:rFonts w:hint="default" w:eastAsia="宋体"/>
                <w:bCs/>
                <w:color w:val="auto"/>
                <w:highlight w:val="none"/>
                <w:lang w:val="en-US" w:eastAsia="zh-CN"/>
              </w:rPr>
            </w:pPr>
            <w:r>
              <w:rPr>
                <w:rFonts w:hint="eastAsia"/>
                <w:bCs/>
                <w:color w:val="auto"/>
                <w:highlight w:val="none"/>
                <w:lang w:val="en-US" w:eastAsia="zh-CN"/>
              </w:rPr>
              <w:t>0.3375</w:t>
            </w:r>
          </w:p>
        </w:tc>
        <w:tc>
          <w:tcPr>
            <w:tcW w:w="1216" w:type="dxa"/>
            <w:vAlign w:val="center"/>
          </w:tcPr>
          <w:p>
            <w:pPr>
              <w:adjustRightInd w:val="0"/>
              <w:snapToGrid w:val="0"/>
              <w:jc w:val="center"/>
              <w:rPr>
                <w:bCs/>
                <w:color w:val="auto"/>
                <w:szCs w:val="22"/>
                <w:highlight w:val="none"/>
              </w:rPr>
            </w:pPr>
            <w:r>
              <w:rPr>
                <w:bCs/>
                <w:color w:val="auto"/>
                <w:highlight w:val="none"/>
              </w:rPr>
              <w:t>/</w:t>
            </w:r>
          </w:p>
        </w:tc>
        <w:tc>
          <w:tcPr>
            <w:tcW w:w="1066" w:type="dxa"/>
            <w:vAlign w:val="center"/>
          </w:tcPr>
          <w:p>
            <w:pPr>
              <w:adjustRightInd w:val="0"/>
              <w:snapToGrid w:val="0"/>
              <w:jc w:val="center"/>
              <w:rPr>
                <w:rFonts w:hint="default" w:eastAsia="宋体"/>
                <w:bCs/>
                <w:color w:val="auto"/>
                <w:highlight w:val="none"/>
                <w:lang w:val="en-US" w:eastAsia="zh-CN"/>
              </w:rPr>
            </w:pPr>
            <w:r>
              <w:rPr>
                <w:rFonts w:hint="eastAsia"/>
                <w:bCs/>
                <w:color w:val="auto"/>
                <w:highlight w:val="none"/>
                <w:lang w:val="en-US" w:eastAsia="zh-CN"/>
              </w:rPr>
              <w:t>0.3375</w:t>
            </w:r>
          </w:p>
        </w:tc>
        <w:tc>
          <w:tcPr>
            <w:tcW w:w="1125" w:type="dxa"/>
            <w:vAlign w:val="center"/>
          </w:tcPr>
          <w:p>
            <w:pPr>
              <w:adjustRightInd w:val="0"/>
              <w:snapToGrid w:val="0"/>
              <w:jc w:val="center"/>
              <w:rPr>
                <w:rFonts w:hint="eastAsia" w:eastAsia="宋体"/>
                <w:bCs/>
                <w:color w:val="auto"/>
                <w:highlight w:val="none"/>
                <w:lang w:val="en-US" w:eastAsia="zh-CN"/>
              </w:rPr>
            </w:pPr>
            <w:r>
              <w:rPr>
                <w:rFonts w:hint="eastAsia"/>
                <w:bCs/>
                <w:color w:val="auto"/>
                <w:highlight w:val="none"/>
                <w:lang w:val="en-US" w:eastAsia="zh-CN"/>
              </w:rPr>
              <w:t>/</w:t>
            </w:r>
          </w:p>
        </w:tc>
        <w:tc>
          <w:tcPr>
            <w:tcW w:w="4155" w:type="dxa"/>
            <w:vMerge w:val="restart"/>
            <w:vAlign w:val="center"/>
          </w:tcPr>
          <w:p>
            <w:pPr>
              <w:adjustRightInd w:val="0"/>
              <w:snapToGrid w:val="0"/>
              <w:jc w:val="center"/>
              <w:rPr>
                <w:bCs/>
                <w:color w:val="auto"/>
                <w:highlight w:val="none"/>
              </w:rPr>
            </w:pPr>
            <w:r>
              <w:rPr>
                <w:rFonts w:hint="eastAsia"/>
                <w:bCs/>
                <w:color w:val="auto"/>
                <w:highlight w:val="none"/>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71" w:type="dxa"/>
            <w:vMerge w:val="continue"/>
            <w:vAlign w:val="center"/>
          </w:tcPr>
          <w:p>
            <w:pPr>
              <w:adjustRightInd w:val="0"/>
              <w:snapToGrid w:val="0"/>
              <w:jc w:val="center"/>
              <w:rPr>
                <w:color w:val="auto"/>
                <w:szCs w:val="21"/>
                <w:highlight w:val="none"/>
              </w:rPr>
            </w:pPr>
          </w:p>
        </w:tc>
        <w:tc>
          <w:tcPr>
            <w:tcW w:w="2140" w:type="dxa"/>
            <w:vMerge w:val="continue"/>
            <w:vAlign w:val="center"/>
          </w:tcPr>
          <w:p>
            <w:pPr>
              <w:adjustRightInd w:val="0"/>
              <w:snapToGrid w:val="0"/>
              <w:jc w:val="center"/>
              <w:rPr>
                <w:color w:val="auto"/>
                <w:spacing w:val="-4"/>
                <w:szCs w:val="21"/>
                <w:highlight w:val="none"/>
              </w:rPr>
            </w:pPr>
          </w:p>
        </w:tc>
        <w:tc>
          <w:tcPr>
            <w:tcW w:w="1417" w:type="dxa"/>
            <w:vAlign w:val="center"/>
          </w:tcPr>
          <w:p>
            <w:pPr>
              <w:adjustRightInd w:val="0"/>
              <w:snapToGrid w:val="0"/>
              <w:jc w:val="center"/>
              <w:rPr>
                <w:color w:val="auto"/>
                <w:spacing w:val="-4"/>
                <w:szCs w:val="21"/>
                <w:highlight w:val="none"/>
              </w:rPr>
            </w:pPr>
            <w:r>
              <w:rPr>
                <w:color w:val="auto"/>
                <w:spacing w:val="-4"/>
                <w:szCs w:val="21"/>
                <w:highlight w:val="none"/>
              </w:rPr>
              <w:t>颗粒物</w:t>
            </w:r>
          </w:p>
        </w:tc>
        <w:tc>
          <w:tcPr>
            <w:tcW w:w="1020" w:type="dxa"/>
            <w:vMerge w:val="continue"/>
            <w:vAlign w:val="center"/>
          </w:tcPr>
          <w:p>
            <w:pPr>
              <w:adjustRightInd w:val="0"/>
              <w:snapToGrid w:val="0"/>
              <w:jc w:val="center"/>
              <w:rPr>
                <w:color w:val="auto"/>
                <w:spacing w:val="-4"/>
                <w:szCs w:val="21"/>
                <w:highlight w:val="none"/>
              </w:rPr>
            </w:pPr>
          </w:p>
        </w:tc>
        <w:tc>
          <w:tcPr>
            <w:tcW w:w="1253" w:type="dxa"/>
            <w:vAlign w:val="center"/>
          </w:tcPr>
          <w:p>
            <w:pPr>
              <w:autoSpaceDE w:val="0"/>
              <w:autoSpaceDN w:val="0"/>
              <w:jc w:val="center"/>
              <w:rPr>
                <w:rFonts w:hint="default" w:eastAsia="宋体"/>
                <w:bCs/>
                <w:color w:val="auto"/>
                <w:highlight w:val="none"/>
                <w:lang w:val="en-US" w:eastAsia="zh-CN"/>
              </w:rPr>
            </w:pPr>
            <w:r>
              <w:rPr>
                <w:rFonts w:hint="eastAsia"/>
                <w:color w:val="auto"/>
                <w:kern w:val="0"/>
                <w:szCs w:val="21"/>
                <w:highlight w:val="none"/>
                <w:lang w:val="en-US" w:eastAsia="zh-CN"/>
              </w:rPr>
              <w:t>0.06324</w:t>
            </w:r>
          </w:p>
        </w:tc>
        <w:tc>
          <w:tcPr>
            <w:tcW w:w="1216" w:type="dxa"/>
            <w:vAlign w:val="center"/>
          </w:tcPr>
          <w:p>
            <w:pPr>
              <w:adjustRightInd w:val="0"/>
              <w:snapToGrid w:val="0"/>
              <w:jc w:val="center"/>
              <w:rPr>
                <w:bCs/>
                <w:color w:val="auto"/>
                <w:highlight w:val="none"/>
              </w:rPr>
            </w:pPr>
            <w:r>
              <w:rPr>
                <w:bCs/>
                <w:color w:val="auto"/>
                <w:highlight w:val="none"/>
              </w:rPr>
              <w:t>/</w:t>
            </w:r>
          </w:p>
        </w:tc>
        <w:tc>
          <w:tcPr>
            <w:tcW w:w="1066" w:type="dxa"/>
            <w:vAlign w:val="center"/>
          </w:tcPr>
          <w:p>
            <w:pPr>
              <w:adjustRightInd w:val="0"/>
              <w:snapToGrid w:val="0"/>
              <w:jc w:val="center"/>
              <w:rPr>
                <w:rFonts w:hint="default" w:eastAsia="宋体"/>
                <w:bCs/>
                <w:color w:val="auto"/>
                <w:highlight w:val="none"/>
                <w:lang w:val="en-US" w:eastAsia="zh-CN"/>
              </w:rPr>
            </w:pPr>
            <w:r>
              <w:rPr>
                <w:rFonts w:hint="eastAsia"/>
                <w:bCs/>
                <w:color w:val="auto"/>
                <w:highlight w:val="none"/>
                <w:lang w:val="en-US" w:eastAsia="zh-CN"/>
              </w:rPr>
              <w:t>0.06324</w:t>
            </w:r>
          </w:p>
        </w:tc>
        <w:tc>
          <w:tcPr>
            <w:tcW w:w="1125" w:type="dxa"/>
            <w:vAlign w:val="center"/>
          </w:tcPr>
          <w:p>
            <w:pPr>
              <w:adjustRightInd w:val="0"/>
              <w:snapToGrid w:val="0"/>
              <w:jc w:val="center"/>
              <w:rPr>
                <w:rFonts w:hint="eastAsia" w:eastAsia="宋体"/>
                <w:bCs/>
                <w:color w:val="auto"/>
                <w:highlight w:val="none"/>
                <w:lang w:val="en-US" w:eastAsia="zh-CN"/>
              </w:rPr>
            </w:pPr>
            <w:r>
              <w:rPr>
                <w:rFonts w:hint="eastAsia"/>
                <w:bCs/>
                <w:color w:val="auto"/>
                <w:highlight w:val="none"/>
                <w:lang w:val="en-US" w:eastAsia="zh-CN"/>
              </w:rPr>
              <w:t>/</w:t>
            </w:r>
          </w:p>
        </w:tc>
        <w:tc>
          <w:tcPr>
            <w:tcW w:w="4155" w:type="dxa"/>
            <w:vMerge w:val="continue"/>
            <w:vAlign w:val="center"/>
          </w:tcPr>
          <w:p>
            <w:pPr>
              <w:adjustRightInd w:val="0"/>
              <w:snapToGrid w:val="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Align w:val="center"/>
          </w:tcPr>
          <w:p>
            <w:pPr>
              <w:adjustRightInd w:val="0"/>
              <w:snapToGrid w:val="0"/>
              <w:jc w:val="center"/>
              <w:rPr>
                <w:color w:val="auto"/>
                <w:spacing w:val="-4"/>
                <w:szCs w:val="21"/>
                <w:highlight w:val="none"/>
              </w:rPr>
            </w:pPr>
            <w:r>
              <w:rPr>
                <w:color w:val="auto"/>
                <w:spacing w:val="-4"/>
                <w:szCs w:val="21"/>
                <w:highlight w:val="none"/>
              </w:rPr>
              <w:t>厂界</w:t>
            </w:r>
          </w:p>
        </w:tc>
        <w:tc>
          <w:tcPr>
            <w:tcW w:w="2437" w:type="dxa"/>
            <w:gridSpan w:val="2"/>
            <w:vAlign w:val="center"/>
          </w:tcPr>
          <w:p>
            <w:pPr>
              <w:adjustRightInd w:val="0"/>
              <w:snapToGrid w:val="0"/>
              <w:jc w:val="center"/>
              <w:rPr>
                <w:color w:val="auto"/>
                <w:spacing w:val="-4"/>
                <w:szCs w:val="21"/>
                <w:highlight w:val="none"/>
              </w:rPr>
            </w:pPr>
            <w:r>
              <w:rPr>
                <w:color w:val="auto"/>
                <w:spacing w:val="-4"/>
                <w:szCs w:val="21"/>
                <w:highlight w:val="none"/>
              </w:rPr>
              <w:t>臭气</w:t>
            </w:r>
          </w:p>
        </w:tc>
        <w:tc>
          <w:tcPr>
            <w:tcW w:w="1253" w:type="dxa"/>
            <w:vAlign w:val="center"/>
          </w:tcPr>
          <w:p>
            <w:pPr>
              <w:adjustRightInd w:val="0"/>
              <w:snapToGrid w:val="0"/>
              <w:jc w:val="center"/>
              <w:rPr>
                <w:bCs/>
                <w:color w:val="auto"/>
                <w:highlight w:val="none"/>
              </w:rPr>
            </w:pPr>
            <w:r>
              <w:rPr>
                <w:bCs/>
                <w:color w:val="auto"/>
                <w:highlight w:val="none"/>
              </w:rPr>
              <w:t>＜20</w:t>
            </w:r>
          </w:p>
          <w:p>
            <w:pPr>
              <w:adjustRightInd w:val="0"/>
              <w:snapToGrid w:val="0"/>
              <w:jc w:val="center"/>
              <w:rPr>
                <w:bCs/>
                <w:color w:val="auto"/>
                <w:highlight w:val="none"/>
              </w:rPr>
            </w:pPr>
            <w:r>
              <w:rPr>
                <w:bCs/>
                <w:color w:val="auto"/>
                <w:highlight w:val="none"/>
              </w:rPr>
              <w:t>(无量纲)</w:t>
            </w:r>
          </w:p>
        </w:tc>
        <w:tc>
          <w:tcPr>
            <w:tcW w:w="1216" w:type="dxa"/>
            <w:vAlign w:val="center"/>
          </w:tcPr>
          <w:p>
            <w:pPr>
              <w:adjustRightInd w:val="0"/>
              <w:snapToGrid w:val="0"/>
              <w:jc w:val="center"/>
              <w:rPr>
                <w:bCs/>
                <w:color w:val="auto"/>
                <w:highlight w:val="none"/>
              </w:rPr>
            </w:pPr>
            <w:r>
              <w:rPr>
                <w:bCs/>
                <w:color w:val="auto"/>
                <w:highlight w:val="none"/>
              </w:rPr>
              <w:t>/</w:t>
            </w:r>
          </w:p>
        </w:tc>
        <w:tc>
          <w:tcPr>
            <w:tcW w:w="1066" w:type="dxa"/>
            <w:vAlign w:val="center"/>
          </w:tcPr>
          <w:p>
            <w:pPr>
              <w:adjustRightInd w:val="0"/>
              <w:snapToGrid w:val="0"/>
              <w:jc w:val="center"/>
              <w:rPr>
                <w:bCs/>
                <w:color w:val="auto"/>
                <w:highlight w:val="none"/>
              </w:rPr>
            </w:pPr>
            <w:r>
              <w:rPr>
                <w:bCs/>
                <w:color w:val="auto"/>
                <w:highlight w:val="none"/>
              </w:rPr>
              <w:t>＜20</w:t>
            </w:r>
          </w:p>
          <w:p>
            <w:pPr>
              <w:adjustRightInd w:val="0"/>
              <w:snapToGrid w:val="0"/>
              <w:jc w:val="center"/>
              <w:rPr>
                <w:rFonts w:hint="eastAsia" w:eastAsia="宋体"/>
                <w:bCs/>
                <w:color w:val="auto"/>
                <w:highlight w:val="none"/>
                <w:lang w:val="en-US" w:eastAsia="zh-CN"/>
              </w:rPr>
            </w:pPr>
            <w:r>
              <w:rPr>
                <w:bCs/>
                <w:color w:val="auto"/>
                <w:highlight w:val="none"/>
              </w:rPr>
              <w:t>(无量纲)</w:t>
            </w:r>
          </w:p>
        </w:tc>
        <w:tc>
          <w:tcPr>
            <w:tcW w:w="1125" w:type="dxa"/>
            <w:vAlign w:val="center"/>
          </w:tcPr>
          <w:p>
            <w:pPr>
              <w:adjustRightInd w:val="0"/>
              <w:snapToGrid w:val="0"/>
              <w:jc w:val="center"/>
              <w:rPr>
                <w:rFonts w:hint="eastAsia" w:eastAsia="宋体"/>
                <w:bCs/>
                <w:color w:val="auto"/>
                <w:highlight w:val="none"/>
                <w:lang w:val="en-US" w:eastAsia="zh-CN"/>
              </w:rPr>
            </w:pPr>
            <w:r>
              <w:rPr>
                <w:rFonts w:hint="eastAsia"/>
                <w:bCs/>
                <w:color w:val="auto"/>
                <w:highlight w:val="none"/>
                <w:lang w:val="en-US" w:eastAsia="zh-CN"/>
              </w:rPr>
              <w:t>/</w:t>
            </w:r>
          </w:p>
        </w:tc>
        <w:tc>
          <w:tcPr>
            <w:tcW w:w="4155" w:type="dxa"/>
            <w:vMerge w:val="continue"/>
            <w:vAlign w:val="center"/>
          </w:tcPr>
          <w:p>
            <w:pPr>
              <w:adjustRightInd w:val="0"/>
              <w:snapToGrid w:val="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vAlign w:val="center"/>
          </w:tcPr>
          <w:p>
            <w:pPr>
              <w:adjustRightInd w:val="0"/>
              <w:snapToGrid w:val="0"/>
              <w:jc w:val="center"/>
              <w:rPr>
                <w:color w:val="auto"/>
                <w:szCs w:val="21"/>
                <w:highlight w:val="none"/>
              </w:rPr>
            </w:pPr>
            <w:r>
              <w:rPr>
                <w:color w:val="auto"/>
                <w:szCs w:val="21"/>
                <w:highlight w:val="none"/>
              </w:rPr>
              <w:t>废水</w:t>
            </w:r>
          </w:p>
        </w:tc>
        <w:tc>
          <w:tcPr>
            <w:tcW w:w="2140" w:type="dxa"/>
            <w:vAlign w:val="center"/>
          </w:tcPr>
          <w:p>
            <w:pPr>
              <w:adjustRightInd w:val="0"/>
              <w:snapToGrid w:val="0"/>
              <w:jc w:val="center"/>
              <w:rPr>
                <w:color w:val="auto"/>
                <w:szCs w:val="21"/>
                <w:highlight w:val="none"/>
              </w:rPr>
            </w:pPr>
            <w:r>
              <w:rPr>
                <w:color w:val="auto"/>
                <w:spacing w:val="-4"/>
                <w:szCs w:val="21"/>
                <w:highlight w:val="none"/>
              </w:rPr>
              <w:t>冷却水</w:t>
            </w:r>
          </w:p>
        </w:tc>
        <w:tc>
          <w:tcPr>
            <w:tcW w:w="2437" w:type="dxa"/>
            <w:gridSpan w:val="2"/>
            <w:vAlign w:val="center"/>
          </w:tcPr>
          <w:p>
            <w:pPr>
              <w:adjustRightInd w:val="0"/>
              <w:snapToGrid w:val="0"/>
              <w:jc w:val="center"/>
              <w:rPr>
                <w:color w:val="auto"/>
                <w:szCs w:val="21"/>
                <w:highlight w:val="none"/>
              </w:rPr>
            </w:pPr>
            <w:r>
              <w:rPr>
                <w:color w:val="auto"/>
                <w:szCs w:val="21"/>
                <w:highlight w:val="none"/>
              </w:rPr>
              <w:t>废水量</w:t>
            </w:r>
          </w:p>
        </w:tc>
        <w:tc>
          <w:tcPr>
            <w:tcW w:w="1253"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pacing w:val="-4"/>
                <w:szCs w:val="21"/>
                <w:highlight w:val="none"/>
                <w:lang w:val="en-US" w:eastAsia="zh-CN"/>
              </w:rPr>
              <w:t>9250</w:t>
            </w:r>
          </w:p>
        </w:tc>
        <w:tc>
          <w:tcPr>
            <w:tcW w:w="1216" w:type="dxa"/>
            <w:vAlign w:val="center"/>
          </w:tcPr>
          <w:p>
            <w:pPr>
              <w:adjustRightInd w:val="0"/>
              <w:snapToGrid w:val="0"/>
              <w:jc w:val="center"/>
              <w:rPr>
                <w:bCs/>
                <w:color w:val="auto"/>
                <w:szCs w:val="21"/>
                <w:highlight w:val="none"/>
              </w:rPr>
            </w:pPr>
            <w:r>
              <w:rPr>
                <w:rFonts w:hint="eastAsia"/>
                <w:bCs/>
                <w:color w:val="auto"/>
                <w:spacing w:val="-4"/>
                <w:szCs w:val="21"/>
                <w:highlight w:val="none"/>
              </w:rPr>
              <w:t>/</w:t>
            </w:r>
          </w:p>
        </w:tc>
        <w:tc>
          <w:tcPr>
            <w:tcW w:w="1066" w:type="dxa"/>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0</w:t>
            </w:r>
          </w:p>
        </w:tc>
        <w:tc>
          <w:tcPr>
            <w:tcW w:w="1125" w:type="dxa"/>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4155" w:type="dxa"/>
            <w:vAlign w:val="center"/>
          </w:tcPr>
          <w:p>
            <w:pPr>
              <w:adjustRightInd w:val="0"/>
              <w:snapToGrid w:val="0"/>
              <w:jc w:val="center"/>
              <w:rPr>
                <w:bCs/>
                <w:color w:val="auto"/>
                <w:szCs w:val="21"/>
                <w:highlight w:val="none"/>
              </w:rPr>
            </w:pPr>
            <w:r>
              <w:rPr>
                <w:rFonts w:hint="eastAsia"/>
                <w:bCs/>
                <w:color w:val="auto"/>
                <w:spacing w:val="-4"/>
                <w:szCs w:val="21"/>
                <w:highlight w:val="none"/>
              </w:rPr>
              <w:t>经沉淀处理后循环使用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Align w:val="center"/>
          </w:tcPr>
          <w:p>
            <w:pPr>
              <w:adjustRightInd w:val="0"/>
              <w:snapToGrid w:val="0"/>
              <w:jc w:val="center"/>
              <w:rPr>
                <w:color w:val="auto"/>
                <w:szCs w:val="21"/>
                <w:highlight w:val="none"/>
              </w:rPr>
            </w:pPr>
            <w:r>
              <w:rPr>
                <w:rFonts w:hint="eastAsia"/>
                <w:color w:val="auto"/>
                <w:szCs w:val="21"/>
                <w:highlight w:val="none"/>
              </w:rPr>
              <w:t>地面清洁废水</w:t>
            </w:r>
          </w:p>
        </w:tc>
        <w:tc>
          <w:tcPr>
            <w:tcW w:w="2437" w:type="dxa"/>
            <w:gridSpan w:val="2"/>
            <w:vAlign w:val="center"/>
          </w:tcPr>
          <w:p>
            <w:pPr>
              <w:adjustRightInd w:val="0"/>
              <w:snapToGrid w:val="0"/>
              <w:jc w:val="center"/>
              <w:rPr>
                <w:color w:val="auto"/>
                <w:szCs w:val="21"/>
                <w:highlight w:val="none"/>
              </w:rPr>
            </w:pPr>
            <w:r>
              <w:rPr>
                <w:rFonts w:hint="eastAsia"/>
                <w:color w:val="auto"/>
                <w:szCs w:val="21"/>
                <w:highlight w:val="none"/>
              </w:rPr>
              <w:t>废水量</w:t>
            </w:r>
          </w:p>
        </w:tc>
        <w:tc>
          <w:tcPr>
            <w:tcW w:w="1253" w:type="dxa"/>
            <w:vAlign w:val="center"/>
          </w:tcPr>
          <w:p>
            <w:pPr>
              <w:adjustRightInd w:val="0"/>
              <w:snapToGrid w:val="0"/>
              <w:jc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54</w:t>
            </w:r>
          </w:p>
        </w:tc>
        <w:tc>
          <w:tcPr>
            <w:tcW w:w="1216" w:type="dxa"/>
            <w:vAlign w:val="center"/>
          </w:tcPr>
          <w:p>
            <w:pPr>
              <w:adjustRightInd w:val="0"/>
              <w:snapToGrid w:val="0"/>
              <w:jc w:val="center"/>
              <w:rPr>
                <w:bCs/>
                <w:color w:val="auto"/>
                <w:spacing w:val="-4"/>
                <w:szCs w:val="21"/>
                <w:highlight w:val="none"/>
              </w:rPr>
            </w:pPr>
            <w:r>
              <w:rPr>
                <w:rFonts w:hint="eastAsia"/>
                <w:bCs/>
                <w:color w:val="auto"/>
                <w:spacing w:val="-4"/>
                <w:szCs w:val="21"/>
                <w:highlight w:val="none"/>
              </w:rPr>
              <w:t>/</w:t>
            </w:r>
          </w:p>
        </w:tc>
        <w:tc>
          <w:tcPr>
            <w:tcW w:w="1066" w:type="dxa"/>
            <w:vAlign w:val="center"/>
          </w:tcPr>
          <w:p>
            <w:pPr>
              <w:adjustRightInd w:val="0"/>
              <w:snapToGrid w:val="0"/>
              <w:jc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54</w:t>
            </w:r>
          </w:p>
        </w:tc>
        <w:tc>
          <w:tcPr>
            <w:tcW w:w="1125" w:type="dxa"/>
            <w:vAlign w:val="center"/>
          </w:tcPr>
          <w:p>
            <w:pPr>
              <w:adjustRightInd w:val="0"/>
              <w:snapToGrid w:val="0"/>
              <w:jc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w:t>
            </w:r>
          </w:p>
        </w:tc>
        <w:tc>
          <w:tcPr>
            <w:tcW w:w="4155" w:type="dxa"/>
            <w:vMerge w:val="restart"/>
            <w:vAlign w:val="center"/>
          </w:tcPr>
          <w:p>
            <w:pPr>
              <w:adjustRightInd w:val="0"/>
              <w:snapToGrid w:val="0"/>
              <w:jc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地面清洁废水与生活污水一同经化粪池收集处理后，由建设单位定期清运至寻甸县水质净化厂处理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restart"/>
            <w:vAlign w:val="center"/>
          </w:tcPr>
          <w:p>
            <w:pPr>
              <w:adjustRightInd w:val="0"/>
              <w:snapToGrid w:val="0"/>
              <w:jc w:val="center"/>
              <w:rPr>
                <w:color w:val="auto"/>
                <w:szCs w:val="21"/>
                <w:highlight w:val="none"/>
              </w:rPr>
            </w:pPr>
            <w:r>
              <w:rPr>
                <w:color w:val="auto"/>
                <w:szCs w:val="21"/>
                <w:highlight w:val="none"/>
              </w:rPr>
              <w:t>生活污水</w:t>
            </w:r>
          </w:p>
        </w:tc>
        <w:tc>
          <w:tcPr>
            <w:tcW w:w="2437" w:type="dxa"/>
            <w:gridSpan w:val="2"/>
            <w:vAlign w:val="center"/>
          </w:tcPr>
          <w:p>
            <w:pPr>
              <w:adjustRightInd w:val="0"/>
              <w:snapToGrid w:val="0"/>
              <w:jc w:val="center"/>
              <w:rPr>
                <w:color w:val="auto"/>
                <w:szCs w:val="21"/>
                <w:highlight w:val="none"/>
              </w:rPr>
            </w:pPr>
            <w:r>
              <w:rPr>
                <w:color w:val="auto"/>
                <w:szCs w:val="21"/>
                <w:highlight w:val="none"/>
              </w:rPr>
              <w:t>废水量</w:t>
            </w:r>
          </w:p>
        </w:tc>
        <w:tc>
          <w:tcPr>
            <w:tcW w:w="1253"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59.76</w:t>
            </w:r>
          </w:p>
        </w:tc>
        <w:tc>
          <w:tcPr>
            <w:tcW w:w="1216" w:type="dxa"/>
            <w:vAlign w:val="center"/>
          </w:tcPr>
          <w:p>
            <w:pPr>
              <w:adjustRightInd w:val="0"/>
              <w:snapToGrid w:val="0"/>
              <w:jc w:val="center"/>
              <w:rPr>
                <w:bCs/>
                <w:color w:val="auto"/>
                <w:szCs w:val="21"/>
                <w:highlight w:val="none"/>
              </w:rPr>
            </w:pPr>
            <w:r>
              <w:rPr>
                <w:rFonts w:hint="eastAsia"/>
                <w:bCs/>
                <w:color w:val="auto"/>
                <w:szCs w:val="21"/>
                <w:highlight w:val="none"/>
              </w:rPr>
              <w:t>/</w:t>
            </w:r>
          </w:p>
        </w:tc>
        <w:tc>
          <w:tcPr>
            <w:tcW w:w="1066"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59.76</w:t>
            </w:r>
          </w:p>
        </w:tc>
        <w:tc>
          <w:tcPr>
            <w:tcW w:w="1125" w:type="dxa"/>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4155" w:type="dxa"/>
            <w:vMerge w:val="continue"/>
            <w:vAlign w:val="center"/>
          </w:tcPr>
          <w:p>
            <w:pPr>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continue"/>
            <w:vAlign w:val="center"/>
          </w:tcPr>
          <w:p>
            <w:pPr>
              <w:adjustRightInd w:val="0"/>
              <w:snapToGrid w:val="0"/>
              <w:jc w:val="center"/>
              <w:rPr>
                <w:color w:val="auto"/>
                <w:szCs w:val="21"/>
                <w:highlight w:val="none"/>
              </w:rPr>
            </w:pPr>
          </w:p>
        </w:tc>
        <w:tc>
          <w:tcPr>
            <w:tcW w:w="2437" w:type="dxa"/>
            <w:gridSpan w:val="2"/>
            <w:vAlign w:val="center"/>
          </w:tcPr>
          <w:p>
            <w:pPr>
              <w:adjustRightInd w:val="0"/>
              <w:snapToGrid w:val="0"/>
              <w:jc w:val="center"/>
              <w:rPr>
                <w:color w:val="auto"/>
                <w:szCs w:val="21"/>
                <w:highlight w:val="none"/>
              </w:rPr>
            </w:pPr>
            <w:r>
              <w:rPr>
                <w:color w:val="auto"/>
                <w:szCs w:val="21"/>
                <w:highlight w:val="none"/>
              </w:rPr>
              <w:t>COD</w:t>
            </w:r>
          </w:p>
        </w:tc>
        <w:tc>
          <w:tcPr>
            <w:tcW w:w="1253" w:type="dxa"/>
            <w:vAlign w:val="center"/>
          </w:tcPr>
          <w:p>
            <w:pPr>
              <w:widowControl/>
              <w:adjustRightInd w:val="0"/>
              <w:snapToGrid w:val="0"/>
              <w:jc w:val="center"/>
              <w:textAlignment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0.0239</w:t>
            </w:r>
          </w:p>
        </w:tc>
        <w:tc>
          <w:tcPr>
            <w:tcW w:w="1216"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400</w:t>
            </w:r>
          </w:p>
        </w:tc>
        <w:tc>
          <w:tcPr>
            <w:tcW w:w="1066"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0.0179</w:t>
            </w:r>
          </w:p>
        </w:tc>
        <w:tc>
          <w:tcPr>
            <w:tcW w:w="1125"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300</w:t>
            </w:r>
          </w:p>
        </w:tc>
        <w:tc>
          <w:tcPr>
            <w:tcW w:w="4155" w:type="dxa"/>
            <w:vMerge w:val="continue"/>
            <w:vAlign w:val="center"/>
          </w:tcPr>
          <w:p>
            <w:pPr>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continue"/>
            <w:vAlign w:val="center"/>
          </w:tcPr>
          <w:p>
            <w:pPr>
              <w:adjustRightInd w:val="0"/>
              <w:snapToGrid w:val="0"/>
              <w:jc w:val="center"/>
              <w:rPr>
                <w:color w:val="auto"/>
                <w:szCs w:val="21"/>
                <w:highlight w:val="none"/>
              </w:rPr>
            </w:pPr>
          </w:p>
        </w:tc>
        <w:tc>
          <w:tcPr>
            <w:tcW w:w="2437" w:type="dxa"/>
            <w:gridSpan w:val="2"/>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BOD</w:t>
            </w:r>
            <w:r>
              <w:rPr>
                <w:rFonts w:hint="eastAsia"/>
                <w:color w:val="auto"/>
                <w:szCs w:val="21"/>
                <w:highlight w:val="none"/>
                <w:vertAlign w:val="subscript"/>
                <w:lang w:val="en-US" w:eastAsia="zh-CN"/>
              </w:rPr>
              <w:t>5</w:t>
            </w:r>
          </w:p>
        </w:tc>
        <w:tc>
          <w:tcPr>
            <w:tcW w:w="1253" w:type="dxa"/>
            <w:vAlign w:val="center"/>
          </w:tcPr>
          <w:p>
            <w:pPr>
              <w:widowControl/>
              <w:adjustRightInd w:val="0"/>
              <w:snapToGrid w:val="0"/>
              <w:jc w:val="center"/>
              <w:textAlignment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0.0119</w:t>
            </w:r>
          </w:p>
        </w:tc>
        <w:tc>
          <w:tcPr>
            <w:tcW w:w="1216"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200</w:t>
            </w:r>
          </w:p>
        </w:tc>
        <w:tc>
          <w:tcPr>
            <w:tcW w:w="1066"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0.0108</w:t>
            </w:r>
          </w:p>
        </w:tc>
        <w:tc>
          <w:tcPr>
            <w:tcW w:w="1125"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180</w:t>
            </w:r>
          </w:p>
        </w:tc>
        <w:tc>
          <w:tcPr>
            <w:tcW w:w="4155" w:type="dxa"/>
            <w:vMerge w:val="continue"/>
            <w:vAlign w:val="center"/>
          </w:tcPr>
          <w:p>
            <w:pPr>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continue"/>
            <w:vAlign w:val="center"/>
          </w:tcPr>
          <w:p>
            <w:pPr>
              <w:adjustRightInd w:val="0"/>
              <w:snapToGrid w:val="0"/>
              <w:jc w:val="center"/>
              <w:rPr>
                <w:color w:val="auto"/>
                <w:szCs w:val="21"/>
                <w:highlight w:val="none"/>
              </w:rPr>
            </w:pPr>
          </w:p>
        </w:tc>
        <w:tc>
          <w:tcPr>
            <w:tcW w:w="2437" w:type="dxa"/>
            <w:gridSpan w:val="2"/>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氨氮</w:t>
            </w:r>
          </w:p>
        </w:tc>
        <w:tc>
          <w:tcPr>
            <w:tcW w:w="1253" w:type="dxa"/>
            <w:vAlign w:val="center"/>
          </w:tcPr>
          <w:p>
            <w:pPr>
              <w:widowControl/>
              <w:adjustRightInd w:val="0"/>
              <w:snapToGrid w:val="0"/>
              <w:jc w:val="center"/>
              <w:textAlignment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0.0015</w:t>
            </w:r>
          </w:p>
        </w:tc>
        <w:tc>
          <w:tcPr>
            <w:tcW w:w="1216"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25</w:t>
            </w:r>
          </w:p>
        </w:tc>
        <w:tc>
          <w:tcPr>
            <w:tcW w:w="1066"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0.0015</w:t>
            </w:r>
          </w:p>
        </w:tc>
        <w:tc>
          <w:tcPr>
            <w:tcW w:w="1125"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25</w:t>
            </w:r>
          </w:p>
        </w:tc>
        <w:tc>
          <w:tcPr>
            <w:tcW w:w="4155" w:type="dxa"/>
            <w:vMerge w:val="continue"/>
            <w:vAlign w:val="center"/>
          </w:tcPr>
          <w:p>
            <w:pPr>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continue"/>
            <w:vAlign w:val="center"/>
          </w:tcPr>
          <w:p>
            <w:pPr>
              <w:adjustRightInd w:val="0"/>
              <w:snapToGrid w:val="0"/>
              <w:jc w:val="center"/>
              <w:rPr>
                <w:color w:val="auto"/>
                <w:szCs w:val="21"/>
                <w:highlight w:val="none"/>
              </w:rPr>
            </w:pPr>
          </w:p>
        </w:tc>
        <w:tc>
          <w:tcPr>
            <w:tcW w:w="2437" w:type="dxa"/>
            <w:gridSpan w:val="2"/>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SS</w:t>
            </w:r>
          </w:p>
        </w:tc>
        <w:tc>
          <w:tcPr>
            <w:tcW w:w="1253" w:type="dxa"/>
            <w:vAlign w:val="center"/>
          </w:tcPr>
          <w:p>
            <w:pPr>
              <w:widowControl/>
              <w:adjustRightInd w:val="0"/>
              <w:snapToGrid w:val="0"/>
              <w:jc w:val="center"/>
              <w:textAlignment w:val="center"/>
              <w:rPr>
                <w:rFonts w:hint="default" w:eastAsia="宋体"/>
                <w:bCs/>
                <w:color w:val="auto"/>
                <w:spacing w:val="-4"/>
                <w:szCs w:val="21"/>
                <w:highlight w:val="none"/>
                <w:lang w:val="en-US" w:eastAsia="zh-CN"/>
              </w:rPr>
            </w:pPr>
            <w:r>
              <w:rPr>
                <w:rFonts w:hint="eastAsia"/>
                <w:bCs/>
                <w:color w:val="auto"/>
                <w:spacing w:val="-4"/>
                <w:szCs w:val="21"/>
                <w:highlight w:val="none"/>
                <w:lang w:val="en-US" w:eastAsia="zh-CN"/>
              </w:rPr>
              <w:t>0.0131</w:t>
            </w:r>
          </w:p>
        </w:tc>
        <w:tc>
          <w:tcPr>
            <w:tcW w:w="1216"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220</w:t>
            </w:r>
          </w:p>
        </w:tc>
        <w:tc>
          <w:tcPr>
            <w:tcW w:w="1066"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0.0059</w:t>
            </w:r>
          </w:p>
        </w:tc>
        <w:tc>
          <w:tcPr>
            <w:tcW w:w="1125"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100</w:t>
            </w:r>
          </w:p>
        </w:tc>
        <w:tc>
          <w:tcPr>
            <w:tcW w:w="4155" w:type="dxa"/>
            <w:vMerge w:val="continue"/>
            <w:vAlign w:val="center"/>
          </w:tcPr>
          <w:p>
            <w:pPr>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continue"/>
            <w:vAlign w:val="center"/>
          </w:tcPr>
          <w:p>
            <w:pPr>
              <w:adjustRightInd w:val="0"/>
              <w:snapToGrid w:val="0"/>
              <w:jc w:val="center"/>
              <w:rPr>
                <w:color w:val="auto"/>
                <w:szCs w:val="21"/>
                <w:highlight w:val="none"/>
              </w:rPr>
            </w:pPr>
          </w:p>
        </w:tc>
        <w:tc>
          <w:tcPr>
            <w:tcW w:w="2437" w:type="dxa"/>
            <w:gridSpan w:val="2"/>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总磷</w:t>
            </w:r>
          </w:p>
        </w:tc>
        <w:tc>
          <w:tcPr>
            <w:tcW w:w="1253" w:type="dxa"/>
            <w:vAlign w:val="center"/>
          </w:tcPr>
          <w:p>
            <w:pPr>
              <w:widowControl/>
              <w:adjustRightInd w:val="0"/>
              <w:snapToGrid w:val="0"/>
              <w:jc w:val="center"/>
              <w:textAlignment w:val="center"/>
              <w:rPr>
                <w:rFonts w:hint="default"/>
                <w:bCs/>
                <w:color w:val="auto"/>
                <w:spacing w:val="-4"/>
                <w:szCs w:val="21"/>
                <w:highlight w:val="none"/>
                <w:lang w:val="en-US" w:eastAsia="zh-CN"/>
              </w:rPr>
            </w:pPr>
            <w:r>
              <w:rPr>
                <w:rFonts w:hint="eastAsia"/>
                <w:bCs/>
                <w:color w:val="auto"/>
                <w:spacing w:val="-4"/>
                <w:szCs w:val="21"/>
                <w:highlight w:val="none"/>
                <w:lang w:val="en-US" w:eastAsia="zh-CN"/>
              </w:rPr>
              <w:t>0.00025</w:t>
            </w:r>
          </w:p>
        </w:tc>
        <w:tc>
          <w:tcPr>
            <w:tcW w:w="1216"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4.28</w:t>
            </w:r>
          </w:p>
        </w:tc>
        <w:tc>
          <w:tcPr>
            <w:tcW w:w="1066"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0.00025</w:t>
            </w:r>
          </w:p>
        </w:tc>
        <w:tc>
          <w:tcPr>
            <w:tcW w:w="1125" w:type="dxa"/>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4.28</w:t>
            </w:r>
          </w:p>
        </w:tc>
        <w:tc>
          <w:tcPr>
            <w:tcW w:w="4155" w:type="dxa"/>
            <w:vMerge w:val="continue"/>
            <w:vAlign w:val="center"/>
          </w:tcPr>
          <w:p>
            <w:pPr>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71" w:type="dxa"/>
            <w:vMerge w:val="restart"/>
            <w:vAlign w:val="center"/>
          </w:tcPr>
          <w:p>
            <w:pPr>
              <w:adjustRightInd w:val="0"/>
              <w:snapToGrid w:val="0"/>
              <w:jc w:val="center"/>
              <w:rPr>
                <w:color w:val="auto"/>
                <w:szCs w:val="21"/>
                <w:highlight w:val="none"/>
              </w:rPr>
            </w:pPr>
            <w:r>
              <w:rPr>
                <w:color w:val="auto"/>
                <w:szCs w:val="21"/>
                <w:highlight w:val="none"/>
              </w:rPr>
              <w:t>固废</w:t>
            </w:r>
          </w:p>
        </w:tc>
        <w:tc>
          <w:tcPr>
            <w:tcW w:w="2140"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原辅料拆卸</w:t>
            </w:r>
          </w:p>
        </w:tc>
        <w:tc>
          <w:tcPr>
            <w:tcW w:w="2437" w:type="dxa"/>
            <w:gridSpan w:val="2"/>
            <w:vAlign w:val="center"/>
          </w:tcPr>
          <w:p>
            <w:pPr>
              <w:adjustRightInd w:val="0"/>
              <w:snapToGrid w:val="0"/>
              <w:jc w:val="center"/>
              <w:rPr>
                <w:rFonts w:hint="default" w:eastAsia="宋体"/>
                <w:color w:val="auto"/>
                <w:highlight w:val="none"/>
                <w:lang w:val="en-US" w:eastAsia="zh-CN"/>
              </w:rPr>
            </w:pPr>
            <w:r>
              <w:rPr>
                <w:rFonts w:hint="eastAsia"/>
                <w:color w:val="auto"/>
                <w:szCs w:val="20"/>
                <w:highlight w:val="none"/>
                <w:lang w:val="en-US" w:eastAsia="zh-CN"/>
              </w:rPr>
              <w:t>废包装材料</w:t>
            </w:r>
          </w:p>
        </w:tc>
        <w:tc>
          <w:tcPr>
            <w:tcW w:w="1253"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5.04</w:t>
            </w:r>
          </w:p>
        </w:tc>
        <w:tc>
          <w:tcPr>
            <w:tcW w:w="1216" w:type="dxa"/>
            <w:vAlign w:val="center"/>
          </w:tcPr>
          <w:p>
            <w:pPr>
              <w:jc w:val="center"/>
              <w:rPr>
                <w:bCs/>
                <w:color w:val="auto"/>
                <w:highlight w:val="none"/>
              </w:rPr>
            </w:pPr>
            <w:r>
              <w:rPr>
                <w:rFonts w:hint="eastAsia"/>
                <w:bCs/>
                <w:color w:val="auto"/>
                <w:highlight w:val="none"/>
              </w:rPr>
              <w:t>/</w:t>
            </w:r>
          </w:p>
        </w:tc>
        <w:tc>
          <w:tcPr>
            <w:tcW w:w="1066" w:type="dxa"/>
            <w:vAlign w:val="center"/>
          </w:tcPr>
          <w:p>
            <w:pPr>
              <w:jc w:val="center"/>
              <w:rPr>
                <w:rFonts w:hint="eastAsia" w:eastAsia="宋体"/>
                <w:bCs/>
                <w:color w:val="auto"/>
                <w:highlight w:val="none"/>
                <w:lang w:val="en-US" w:eastAsia="zh-CN"/>
              </w:rPr>
            </w:pPr>
            <w:r>
              <w:rPr>
                <w:rFonts w:hint="eastAsia"/>
                <w:bCs/>
                <w:color w:val="auto"/>
                <w:highlight w:val="none"/>
                <w:lang w:val="en-US" w:eastAsia="zh-CN"/>
              </w:rPr>
              <w:t>0</w:t>
            </w:r>
          </w:p>
        </w:tc>
        <w:tc>
          <w:tcPr>
            <w:tcW w:w="1125" w:type="dxa"/>
            <w:vAlign w:val="center"/>
          </w:tcPr>
          <w:p>
            <w:pPr>
              <w:jc w:val="center"/>
              <w:rPr>
                <w:rFonts w:hint="eastAsia"/>
                <w:bCs/>
                <w:color w:val="auto"/>
                <w:highlight w:val="none"/>
              </w:rPr>
            </w:pPr>
            <w:r>
              <w:rPr>
                <w:rFonts w:hint="eastAsia"/>
                <w:bCs/>
                <w:color w:val="auto"/>
                <w:highlight w:val="none"/>
              </w:rPr>
              <w:t>/</w:t>
            </w:r>
          </w:p>
        </w:tc>
        <w:tc>
          <w:tcPr>
            <w:tcW w:w="4155" w:type="dxa"/>
            <w:vAlign w:val="center"/>
          </w:tcPr>
          <w:p>
            <w:pPr>
              <w:jc w:val="center"/>
              <w:rPr>
                <w:bCs/>
                <w:color w:val="auto"/>
                <w:highlight w:val="none"/>
              </w:rPr>
            </w:pPr>
            <w:r>
              <w:rPr>
                <w:rFonts w:hint="eastAsia"/>
                <w:color w:val="auto"/>
                <w:szCs w:val="21"/>
                <w:highlight w:val="none"/>
                <w:lang w:val="en-US" w:eastAsia="zh-CN"/>
              </w:rPr>
              <w:t>暂存于一般固废暂存间，集中收集后外售给废品回收站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71" w:type="dxa"/>
            <w:vMerge w:val="continue"/>
            <w:vAlign w:val="center"/>
          </w:tcPr>
          <w:p>
            <w:pPr>
              <w:adjustRightInd w:val="0"/>
              <w:snapToGrid w:val="0"/>
              <w:jc w:val="center"/>
              <w:rPr>
                <w:color w:val="auto"/>
                <w:szCs w:val="21"/>
                <w:highlight w:val="none"/>
              </w:rPr>
            </w:pPr>
          </w:p>
        </w:tc>
        <w:tc>
          <w:tcPr>
            <w:tcW w:w="2140" w:type="dxa"/>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塑料框生产线</w:t>
            </w:r>
          </w:p>
        </w:tc>
        <w:tc>
          <w:tcPr>
            <w:tcW w:w="2437" w:type="dxa"/>
            <w:gridSpan w:val="2"/>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不合格产品及边角料</w:t>
            </w:r>
          </w:p>
        </w:tc>
        <w:tc>
          <w:tcPr>
            <w:tcW w:w="1253"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3.125</w:t>
            </w:r>
          </w:p>
        </w:tc>
        <w:tc>
          <w:tcPr>
            <w:tcW w:w="1216" w:type="dxa"/>
            <w:vAlign w:val="center"/>
          </w:tcPr>
          <w:p>
            <w:pPr>
              <w:jc w:val="center"/>
              <w:rPr>
                <w:bCs/>
                <w:color w:val="auto"/>
                <w:highlight w:val="none"/>
              </w:rPr>
            </w:pPr>
            <w:r>
              <w:rPr>
                <w:rFonts w:hint="eastAsia"/>
                <w:bCs/>
                <w:color w:val="auto"/>
                <w:highlight w:val="none"/>
              </w:rPr>
              <w:t>/</w:t>
            </w:r>
          </w:p>
        </w:tc>
        <w:tc>
          <w:tcPr>
            <w:tcW w:w="1066" w:type="dxa"/>
            <w:vAlign w:val="center"/>
          </w:tcPr>
          <w:p>
            <w:pPr>
              <w:jc w:val="center"/>
              <w:rPr>
                <w:rFonts w:hint="eastAsia" w:eastAsia="宋体"/>
                <w:bCs/>
                <w:color w:val="auto"/>
                <w:highlight w:val="none"/>
                <w:lang w:val="en-US" w:eastAsia="zh-CN"/>
              </w:rPr>
            </w:pPr>
            <w:r>
              <w:rPr>
                <w:rFonts w:hint="eastAsia"/>
                <w:bCs/>
                <w:color w:val="auto"/>
                <w:highlight w:val="none"/>
                <w:lang w:val="en-US" w:eastAsia="zh-CN"/>
              </w:rPr>
              <w:t>0</w:t>
            </w:r>
          </w:p>
        </w:tc>
        <w:tc>
          <w:tcPr>
            <w:tcW w:w="1125" w:type="dxa"/>
            <w:vAlign w:val="center"/>
          </w:tcPr>
          <w:p>
            <w:pPr>
              <w:adjustRightInd w:val="0"/>
              <w:snapToGrid w:val="0"/>
              <w:jc w:val="center"/>
              <w:rPr>
                <w:rFonts w:hint="eastAsia"/>
                <w:bCs/>
                <w:color w:val="auto"/>
                <w:highlight w:val="none"/>
              </w:rPr>
            </w:pPr>
            <w:r>
              <w:rPr>
                <w:rFonts w:hint="eastAsia"/>
                <w:bCs/>
                <w:color w:val="auto"/>
                <w:highlight w:val="none"/>
              </w:rPr>
              <w:t>/</w:t>
            </w:r>
          </w:p>
        </w:tc>
        <w:tc>
          <w:tcPr>
            <w:tcW w:w="4155" w:type="dxa"/>
            <w:vAlign w:val="center"/>
          </w:tcPr>
          <w:p>
            <w:pPr>
              <w:jc w:val="center"/>
              <w:rPr>
                <w:bCs/>
                <w:color w:val="auto"/>
                <w:highlight w:val="none"/>
              </w:rPr>
            </w:pPr>
            <w:r>
              <w:rPr>
                <w:rFonts w:hint="eastAsia"/>
                <w:color w:val="auto"/>
                <w:szCs w:val="21"/>
                <w:highlight w:val="none"/>
                <w:lang w:val="en-US" w:eastAsia="zh-CN"/>
              </w:rPr>
              <w:t>检验过程产生的不合格品及修边产生的边角料破碎后重新作为原料回用于生产线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Align w:val="center"/>
          </w:tcPr>
          <w:p>
            <w:pPr>
              <w:adjustRightInd w:val="0"/>
              <w:snapToGrid w:val="0"/>
              <w:jc w:val="center"/>
              <w:rPr>
                <w:color w:val="auto"/>
                <w:highlight w:val="none"/>
              </w:rPr>
            </w:pPr>
            <w:r>
              <w:rPr>
                <w:rFonts w:hint="eastAsia"/>
                <w:color w:val="auto"/>
                <w:highlight w:val="none"/>
                <w:lang w:val="en-US" w:eastAsia="zh-CN"/>
              </w:rPr>
              <w:t>三级</w:t>
            </w:r>
            <w:r>
              <w:rPr>
                <w:color w:val="auto"/>
                <w:highlight w:val="none"/>
              </w:rPr>
              <w:t>活性炭吸附装置</w:t>
            </w:r>
          </w:p>
        </w:tc>
        <w:tc>
          <w:tcPr>
            <w:tcW w:w="2437" w:type="dxa"/>
            <w:gridSpan w:val="2"/>
            <w:vAlign w:val="center"/>
          </w:tcPr>
          <w:p>
            <w:pPr>
              <w:adjustRightInd w:val="0"/>
              <w:snapToGrid w:val="0"/>
              <w:jc w:val="center"/>
              <w:rPr>
                <w:color w:val="auto"/>
                <w:highlight w:val="none"/>
              </w:rPr>
            </w:pPr>
            <w:r>
              <w:rPr>
                <w:color w:val="auto"/>
                <w:highlight w:val="none"/>
              </w:rPr>
              <w:t>废活性炭</w:t>
            </w:r>
          </w:p>
        </w:tc>
        <w:tc>
          <w:tcPr>
            <w:tcW w:w="1253" w:type="dxa"/>
            <w:vAlign w:val="center"/>
          </w:tcPr>
          <w:p>
            <w:pPr>
              <w:adjustRightInd w:val="0"/>
              <w:snapToGrid w:val="0"/>
              <w:jc w:val="center"/>
              <w:rPr>
                <w:rFonts w:hint="default" w:eastAsia="宋体"/>
                <w:bCs/>
                <w:color w:val="auto"/>
                <w:highlight w:val="none"/>
                <w:lang w:val="en-US" w:eastAsia="zh-CN"/>
              </w:rPr>
            </w:pPr>
            <w:r>
              <w:rPr>
                <w:rFonts w:hint="eastAsia"/>
                <w:bCs/>
                <w:color w:val="auto"/>
                <w:highlight w:val="none"/>
                <w:lang w:val="en-US" w:eastAsia="zh-CN"/>
              </w:rPr>
              <w:t>11.11</w:t>
            </w:r>
          </w:p>
        </w:tc>
        <w:tc>
          <w:tcPr>
            <w:tcW w:w="1216" w:type="dxa"/>
            <w:vAlign w:val="center"/>
          </w:tcPr>
          <w:p>
            <w:pPr>
              <w:adjustRightInd w:val="0"/>
              <w:snapToGrid w:val="0"/>
              <w:jc w:val="center"/>
              <w:rPr>
                <w:bCs/>
                <w:color w:val="auto"/>
                <w:highlight w:val="none"/>
              </w:rPr>
            </w:pPr>
            <w:r>
              <w:rPr>
                <w:rFonts w:hint="eastAsia"/>
                <w:bCs/>
                <w:color w:val="auto"/>
                <w:highlight w:val="none"/>
              </w:rPr>
              <w:t>/</w:t>
            </w:r>
          </w:p>
        </w:tc>
        <w:tc>
          <w:tcPr>
            <w:tcW w:w="1066" w:type="dxa"/>
            <w:vAlign w:val="center"/>
          </w:tcPr>
          <w:p>
            <w:pPr>
              <w:adjustRightInd w:val="0"/>
              <w:snapToGrid w:val="0"/>
              <w:jc w:val="center"/>
              <w:rPr>
                <w:rFonts w:hint="eastAsia" w:eastAsia="宋体"/>
                <w:bCs/>
                <w:color w:val="auto"/>
                <w:highlight w:val="none"/>
                <w:lang w:val="en-US" w:eastAsia="zh-CN"/>
              </w:rPr>
            </w:pPr>
            <w:r>
              <w:rPr>
                <w:rFonts w:hint="eastAsia"/>
                <w:bCs/>
                <w:color w:val="auto"/>
                <w:highlight w:val="none"/>
                <w:lang w:val="en-US" w:eastAsia="zh-CN"/>
              </w:rPr>
              <w:t>0</w:t>
            </w:r>
          </w:p>
        </w:tc>
        <w:tc>
          <w:tcPr>
            <w:tcW w:w="1125" w:type="dxa"/>
            <w:vAlign w:val="center"/>
          </w:tcPr>
          <w:p>
            <w:pPr>
              <w:adjustRightInd w:val="0"/>
              <w:snapToGrid w:val="0"/>
              <w:jc w:val="center"/>
              <w:rPr>
                <w:rFonts w:hint="eastAsia"/>
                <w:bCs/>
                <w:color w:val="auto"/>
                <w:highlight w:val="none"/>
              </w:rPr>
            </w:pPr>
            <w:r>
              <w:rPr>
                <w:rFonts w:hint="eastAsia"/>
                <w:bCs/>
                <w:color w:val="auto"/>
                <w:highlight w:val="none"/>
              </w:rPr>
              <w:t>/</w:t>
            </w:r>
          </w:p>
        </w:tc>
        <w:tc>
          <w:tcPr>
            <w:tcW w:w="4155" w:type="dxa"/>
            <w:vMerge w:val="restart"/>
            <w:vAlign w:val="center"/>
          </w:tcPr>
          <w:p>
            <w:pPr>
              <w:adjustRightInd w:val="0"/>
              <w:snapToGrid w:val="0"/>
              <w:jc w:val="center"/>
              <w:rPr>
                <w:bCs/>
                <w:color w:val="auto"/>
                <w:highlight w:val="none"/>
              </w:rPr>
            </w:pPr>
            <w:r>
              <w:rPr>
                <w:rFonts w:hint="eastAsia"/>
                <w:bCs/>
                <w:color w:val="auto"/>
                <w:highlight w:val="none"/>
              </w:rPr>
              <w:t>暂存于危废暂存间，定期交由有资质单位清运处理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restart"/>
            <w:vAlign w:val="center"/>
          </w:tcPr>
          <w:p>
            <w:pPr>
              <w:adjustRightInd w:val="0"/>
              <w:snapToGrid w:val="0"/>
              <w:jc w:val="center"/>
              <w:rPr>
                <w:color w:val="auto"/>
                <w:highlight w:val="none"/>
              </w:rPr>
            </w:pPr>
            <w:r>
              <w:rPr>
                <w:color w:val="auto"/>
                <w:highlight w:val="none"/>
              </w:rPr>
              <w:t>生产设备维护维修</w:t>
            </w:r>
          </w:p>
        </w:tc>
        <w:tc>
          <w:tcPr>
            <w:tcW w:w="2437" w:type="dxa"/>
            <w:gridSpan w:val="2"/>
            <w:vAlign w:val="center"/>
          </w:tcPr>
          <w:p>
            <w:pPr>
              <w:adjustRightInd w:val="0"/>
              <w:snapToGrid w:val="0"/>
              <w:jc w:val="center"/>
              <w:rPr>
                <w:color w:val="auto"/>
                <w:highlight w:val="none"/>
              </w:rPr>
            </w:pPr>
            <w:r>
              <w:rPr>
                <w:color w:val="auto"/>
                <w:highlight w:val="none"/>
              </w:rPr>
              <w:t>废机油、废油桶</w:t>
            </w:r>
          </w:p>
        </w:tc>
        <w:tc>
          <w:tcPr>
            <w:tcW w:w="1253" w:type="dxa"/>
            <w:vAlign w:val="center"/>
          </w:tcPr>
          <w:p>
            <w:pPr>
              <w:adjustRightInd w:val="0"/>
              <w:snapToGrid w:val="0"/>
              <w:jc w:val="center"/>
              <w:rPr>
                <w:rFonts w:hint="default" w:eastAsia="宋体"/>
                <w:bCs/>
                <w:color w:val="auto"/>
                <w:highlight w:val="none"/>
                <w:lang w:val="en-US" w:eastAsia="zh-CN"/>
              </w:rPr>
            </w:pPr>
            <w:r>
              <w:rPr>
                <w:rFonts w:hint="eastAsia"/>
                <w:bCs/>
                <w:color w:val="auto"/>
                <w:highlight w:val="none"/>
                <w:lang w:val="en-US" w:eastAsia="zh-CN"/>
              </w:rPr>
              <w:t>0.02</w:t>
            </w:r>
          </w:p>
        </w:tc>
        <w:tc>
          <w:tcPr>
            <w:tcW w:w="1216" w:type="dxa"/>
            <w:vAlign w:val="center"/>
          </w:tcPr>
          <w:p>
            <w:pPr>
              <w:adjustRightInd w:val="0"/>
              <w:snapToGrid w:val="0"/>
              <w:jc w:val="center"/>
              <w:rPr>
                <w:bCs/>
                <w:color w:val="auto"/>
                <w:highlight w:val="none"/>
              </w:rPr>
            </w:pPr>
            <w:r>
              <w:rPr>
                <w:rFonts w:hint="eastAsia"/>
                <w:bCs/>
                <w:color w:val="auto"/>
                <w:highlight w:val="none"/>
              </w:rPr>
              <w:t>/</w:t>
            </w:r>
          </w:p>
        </w:tc>
        <w:tc>
          <w:tcPr>
            <w:tcW w:w="1066" w:type="dxa"/>
            <w:vAlign w:val="center"/>
          </w:tcPr>
          <w:p>
            <w:pPr>
              <w:adjustRightInd w:val="0"/>
              <w:snapToGrid w:val="0"/>
              <w:jc w:val="center"/>
              <w:rPr>
                <w:rFonts w:hint="eastAsia" w:eastAsia="宋体"/>
                <w:bCs/>
                <w:color w:val="auto"/>
                <w:highlight w:val="none"/>
                <w:lang w:val="en-US" w:eastAsia="zh-CN"/>
              </w:rPr>
            </w:pPr>
            <w:r>
              <w:rPr>
                <w:rFonts w:hint="eastAsia"/>
                <w:bCs/>
                <w:color w:val="auto"/>
                <w:highlight w:val="none"/>
                <w:lang w:val="en-US" w:eastAsia="zh-CN"/>
              </w:rPr>
              <w:t>0</w:t>
            </w:r>
          </w:p>
        </w:tc>
        <w:tc>
          <w:tcPr>
            <w:tcW w:w="1125" w:type="dxa"/>
            <w:vAlign w:val="center"/>
          </w:tcPr>
          <w:p>
            <w:pPr>
              <w:adjustRightInd w:val="0"/>
              <w:snapToGrid w:val="0"/>
              <w:jc w:val="center"/>
              <w:rPr>
                <w:rFonts w:hint="eastAsia"/>
                <w:bCs/>
                <w:color w:val="auto"/>
                <w:highlight w:val="none"/>
              </w:rPr>
            </w:pPr>
            <w:r>
              <w:rPr>
                <w:rFonts w:hint="eastAsia"/>
                <w:bCs/>
                <w:color w:val="auto"/>
                <w:highlight w:val="none"/>
              </w:rPr>
              <w:t>/</w:t>
            </w:r>
          </w:p>
        </w:tc>
        <w:tc>
          <w:tcPr>
            <w:tcW w:w="4155" w:type="dxa"/>
            <w:vMerge w:val="continue"/>
            <w:vAlign w:val="center"/>
          </w:tcPr>
          <w:p>
            <w:pPr>
              <w:adjustRightInd w:val="0"/>
              <w:snapToGrid w:val="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Merge w:val="continue"/>
            <w:vAlign w:val="center"/>
          </w:tcPr>
          <w:p>
            <w:pPr>
              <w:adjustRightInd w:val="0"/>
              <w:snapToGrid w:val="0"/>
              <w:jc w:val="center"/>
              <w:rPr>
                <w:color w:val="auto"/>
                <w:highlight w:val="none"/>
              </w:rPr>
            </w:pPr>
          </w:p>
        </w:tc>
        <w:tc>
          <w:tcPr>
            <w:tcW w:w="2437" w:type="dxa"/>
            <w:gridSpan w:val="2"/>
            <w:vAlign w:val="center"/>
          </w:tcPr>
          <w:p>
            <w:pPr>
              <w:adjustRightInd w:val="0"/>
              <w:snapToGrid w:val="0"/>
              <w:jc w:val="center"/>
              <w:rPr>
                <w:color w:val="auto"/>
                <w:highlight w:val="none"/>
              </w:rPr>
            </w:pPr>
            <w:r>
              <w:rPr>
                <w:color w:val="auto"/>
                <w:highlight w:val="none"/>
              </w:rPr>
              <w:t>含油废手套、废抹布</w:t>
            </w:r>
          </w:p>
        </w:tc>
        <w:tc>
          <w:tcPr>
            <w:tcW w:w="1253" w:type="dxa"/>
            <w:vAlign w:val="center"/>
          </w:tcPr>
          <w:p>
            <w:pPr>
              <w:adjustRightInd w:val="0"/>
              <w:snapToGrid w:val="0"/>
              <w:jc w:val="center"/>
              <w:rPr>
                <w:rFonts w:hint="default" w:eastAsia="宋体"/>
                <w:bCs/>
                <w:color w:val="auto"/>
                <w:highlight w:val="none"/>
                <w:lang w:val="en-US" w:eastAsia="zh-CN"/>
              </w:rPr>
            </w:pPr>
            <w:r>
              <w:rPr>
                <w:rFonts w:hint="eastAsia"/>
                <w:bCs/>
                <w:color w:val="auto"/>
                <w:highlight w:val="none"/>
                <w:lang w:val="en-US" w:eastAsia="zh-CN"/>
              </w:rPr>
              <w:t>0.001</w:t>
            </w:r>
          </w:p>
        </w:tc>
        <w:tc>
          <w:tcPr>
            <w:tcW w:w="1216" w:type="dxa"/>
            <w:vAlign w:val="center"/>
          </w:tcPr>
          <w:p>
            <w:pPr>
              <w:adjustRightInd w:val="0"/>
              <w:snapToGrid w:val="0"/>
              <w:jc w:val="center"/>
              <w:rPr>
                <w:bCs/>
                <w:color w:val="auto"/>
                <w:highlight w:val="none"/>
              </w:rPr>
            </w:pPr>
            <w:r>
              <w:rPr>
                <w:rFonts w:hint="eastAsia"/>
                <w:bCs/>
                <w:color w:val="auto"/>
                <w:highlight w:val="none"/>
              </w:rPr>
              <w:t>/</w:t>
            </w:r>
          </w:p>
        </w:tc>
        <w:tc>
          <w:tcPr>
            <w:tcW w:w="1066" w:type="dxa"/>
            <w:vAlign w:val="center"/>
          </w:tcPr>
          <w:p>
            <w:pPr>
              <w:adjustRightInd w:val="0"/>
              <w:snapToGrid w:val="0"/>
              <w:jc w:val="center"/>
              <w:rPr>
                <w:rFonts w:hint="eastAsia" w:eastAsia="宋体"/>
                <w:bCs/>
                <w:color w:val="auto"/>
                <w:highlight w:val="none"/>
                <w:lang w:val="en-US" w:eastAsia="zh-CN"/>
              </w:rPr>
            </w:pPr>
            <w:r>
              <w:rPr>
                <w:rFonts w:hint="eastAsia"/>
                <w:bCs/>
                <w:color w:val="auto"/>
                <w:highlight w:val="none"/>
                <w:lang w:val="en-US" w:eastAsia="zh-CN"/>
              </w:rPr>
              <w:t>0</w:t>
            </w:r>
          </w:p>
        </w:tc>
        <w:tc>
          <w:tcPr>
            <w:tcW w:w="1125" w:type="dxa"/>
            <w:vAlign w:val="center"/>
          </w:tcPr>
          <w:p>
            <w:pPr>
              <w:adjustRightInd w:val="0"/>
              <w:snapToGrid w:val="0"/>
              <w:jc w:val="center"/>
              <w:rPr>
                <w:rFonts w:hint="eastAsia"/>
                <w:bCs/>
                <w:color w:val="auto"/>
                <w:highlight w:val="none"/>
              </w:rPr>
            </w:pPr>
            <w:r>
              <w:rPr>
                <w:rFonts w:hint="eastAsia"/>
                <w:bCs/>
                <w:color w:val="auto"/>
                <w:highlight w:val="none"/>
              </w:rPr>
              <w:t>/</w:t>
            </w:r>
          </w:p>
        </w:tc>
        <w:tc>
          <w:tcPr>
            <w:tcW w:w="4155" w:type="dxa"/>
            <w:vMerge w:val="continue"/>
            <w:vAlign w:val="center"/>
          </w:tcPr>
          <w:p>
            <w:pPr>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pPr>
              <w:adjustRightInd w:val="0"/>
              <w:snapToGrid w:val="0"/>
              <w:jc w:val="center"/>
              <w:rPr>
                <w:color w:val="auto"/>
                <w:szCs w:val="21"/>
                <w:highlight w:val="none"/>
              </w:rPr>
            </w:pPr>
          </w:p>
        </w:tc>
        <w:tc>
          <w:tcPr>
            <w:tcW w:w="2140" w:type="dxa"/>
            <w:vAlign w:val="center"/>
          </w:tcPr>
          <w:p>
            <w:pPr>
              <w:adjustRightInd w:val="0"/>
              <w:snapToGrid w:val="0"/>
              <w:jc w:val="center"/>
              <w:rPr>
                <w:color w:val="auto"/>
                <w:highlight w:val="none"/>
              </w:rPr>
            </w:pPr>
            <w:r>
              <w:rPr>
                <w:color w:val="auto"/>
                <w:highlight w:val="none"/>
              </w:rPr>
              <w:t>办公、生活</w:t>
            </w:r>
          </w:p>
        </w:tc>
        <w:tc>
          <w:tcPr>
            <w:tcW w:w="2437" w:type="dxa"/>
            <w:gridSpan w:val="2"/>
            <w:vAlign w:val="center"/>
          </w:tcPr>
          <w:p>
            <w:pPr>
              <w:adjustRightInd w:val="0"/>
              <w:snapToGrid w:val="0"/>
              <w:jc w:val="center"/>
              <w:rPr>
                <w:color w:val="auto"/>
                <w:highlight w:val="none"/>
              </w:rPr>
            </w:pPr>
            <w:r>
              <w:rPr>
                <w:color w:val="auto"/>
                <w:highlight w:val="none"/>
              </w:rPr>
              <w:t>生活垃圾</w:t>
            </w:r>
          </w:p>
        </w:tc>
        <w:tc>
          <w:tcPr>
            <w:tcW w:w="1253" w:type="dxa"/>
            <w:vAlign w:val="center"/>
          </w:tcPr>
          <w:p>
            <w:pPr>
              <w:adjustRightInd w:val="0"/>
              <w:snapToGrid w:val="0"/>
              <w:jc w:val="center"/>
              <w:rPr>
                <w:rFonts w:hint="default" w:eastAsia="宋体"/>
                <w:bCs/>
                <w:color w:val="auto"/>
                <w:highlight w:val="none"/>
                <w:lang w:val="en-US" w:eastAsia="zh-CN"/>
              </w:rPr>
            </w:pPr>
            <w:r>
              <w:rPr>
                <w:rFonts w:hint="eastAsia"/>
                <w:bCs/>
                <w:color w:val="auto"/>
                <w:highlight w:val="none"/>
                <w:lang w:val="en-US" w:eastAsia="zh-CN"/>
              </w:rPr>
              <w:t>0.9</w:t>
            </w:r>
          </w:p>
        </w:tc>
        <w:tc>
          <w:tcPr>
            <w:tcW w:w="1216" w:type="dxa"/>
            <w:vAlign w:val="center"/>
          </w:tcPr>
          <w:p>
            <w:pPr>
              <w:adjustRightInd w:val="0"/>
              <w:snapToGrid w:val="0"/>
              <w:jc w:val="center"/>
              <w:rPr>
                <w:bCs/>
                <w:color w:val="auto"/>
                <w:highlight w:val="none"/>
              </w:rPr>
            </w:pPr>
            <w:r>
              <w:rPr>
                <w:rFonts w:hint="eastAsia"/>
                <w:bCs/>
                <w:color w:val="auto"/>
                <w:highlight w:val="none"/>
              </w:rPr>
              <w:t>/</w:t>
            </w:r>
          </w:p>
        </w:tc>
        <w:tc>
          <w:tcPr>
            <w:tcW w:w="1066" w:type="dxa"/>
            <w:vAlign w:val="center"/>
          </w:tcPr>
          <w:p>
            <w:pPr>
              <w:adjustRightInd w:val="0"/>
              <w:snapToGrid w:val="0"/>
              <w:jc w:val="center"/>
              <w:rPr>
                <w:rFonts w:hint="eastAsia" w:eastAsia="宋体"/>
                <w:bCs/>
                <w:color w:val="auto"/>
                <w:highlight w:val="none"/>
                <w:lang w:val="en-US" w:eastAsia="zh-CN"/>
              </w:rPr>
            </w:pPr>
            <w:r>
              <w:rPr>
                <w:rFonts w:hint="eastAsia"/>
                <w:bCs/>
                <w:color w:val="auto"/>
                <w:highlight w:val="none"/>
                <w:lang w:val="en-US" w:eastAsia="zh-CN"/>
              </w:rPr>
              <w:t>0</w:t>
            </w:r>
          </w:p>
        </w:tc>
        <w:tc>
          <w:tcPr>
            <w:tcW w:w="1125" w:type="dxa"/>
            <w:vAlign w:val="center"/>
          </w:tcPr>
          <w:p>
            <w:pPr>
              <w:jc w:val="center"/>
              <w:rPr>
                <w:rFonts w:hint="eastAsia"/>
                <w:bCs/>
                <w:color w:val="auto"/>
                <w:highlight w:val="none"/>
              </w:rPr>
            </w:pPr>
            <w:r>
              <w:rPr>
                <w:rFonts w:hint="eastAsia"/>
                <w:bCs/>
                <w:color w:val="auto"/>
                <w:highlight w:val="none"/>
              </w:rPr>
              <w:t>/</w:t>
            </w:r>
          </w:p>
        </w:tc>
        <w:tc>
          <w:tcPr>
            <w:tcW w:w="4155" w:type="dxa"/>
            <w:vAlign w:val="center"/>
          </w:tcPr>
          <w:p>
            <w:pPr>
              <w:jc w:val="center"/>
              <w:rPr>
                <w:bCs/>
                <w:color w:val="auto"/>
                <w:highlight w:val="none"/>
              </w:rPr>
            </w:pPr>
            <w:r>
              <w:rPr>
                <w:color w:val="auto"/>
                <w:szCs w:val="21"/>
                <w:highlight w:val="none"/>
              </w:rPr>
              <w:t>统一收集及时清运至指定地点由环卫部门集中处置</w:t>
            </w:r>
          </w:p>
        </w:tc>
      </w:tr>
    </w:tbl>
    <w:p>
      <w:pPr>
        <w:keepNext/>
        <w:keepLines/>
        <w:tabs>
          <w:tab w:val="left" w:pos="4140"/>
        </w:tabs>
        <w:spacing w:line="360" w:lineRule="auto"/>
        <w:textAlignment w:val="baseline"/>
        <w:outlineLvl w:val="0"/>
        <w:rPr>
          <w:b/>
          <w:bCs/>
          <w:color w:val="auto"/>
          <w:kern w:val="44"/>
          <w:sz w:val="32"/>
          <w:szCs w:val="44"/>
          <w:highlight w:val="none"/>
        </w:rPr>
        <w:sectPr>
          <w:type w:val="continuous"/>
          <w:pgSz w:w="16838" w:h="11900" w:orient="landscape"/>
          <w:pgMar w:top="1800" w:right="1440" w:bottom="1800" w:left="1440" w:header="0" w:footer="0" w:gutter="0"/>
          <w:pgBorders>
            <w:top w:val="none" w:sz="0" w:space="0"/>
            <w:left w:val="none" w:sz="0" w:space="0"/>
            <w:bottom w:val="none" w:sz="0" w:space="0"/>
            <w:right w:val="none" w:sz="0" w:space="0"/>
          </w:pgBorders>
          <w:pgNumType w:fmt="decimal"/>
          <w:cols w:space="720" w:num="1"/>
          <w:docGrid w:type="linesAndChars" w:linePitch="363" w:charSpace="614"/>
        </w:sectPr>
      </w:pPr>
      <w:bookmarkStart w:id="468" w:name="_Toc272301393"/>
      <w:bookmarkStart w:id="469" w:name="_Toc367282079"/>
      <w:bookmarkStart w:id="470" w:name="_Toc75908682"/>
      <w:bookmarkStart w:id="471" w:name="_Toc367281496"/>
      <w:bookmarkStart w:id="472" w:name="_Toc283831039"/>
      <w:bookmarkStart w:id="473" w:name="_Toc341369460"/>
    </w:p>
    <w:p>
      <w:pPr>
        <w:keepNext/>
        <w:keepLines/>
        <w:tabs>
          <w:tab w:val="left" w:pos="4140"/>
        </w:tabs>
        <w:spacing w:line="360" w:lineRule="auto"/>
        <w:textAlignment w:val="baseline"/>
        <w:outlineLvl w:val="0"/>
        <w:rPr>
          <w:b/>
          <w:bCs/>
          <w:color w:val="auto"/>
          <w:kern w:val="44"/>
          <w:sz w:val="32"/>
          <w:szCs w:val="44"/>
          <w:highlight w:val="none"/>
        </w:rPr>
      </w:pPr>
      <w:bookmarkStart w:id="474" w:name="_Toc23883"/>
      <w:r>
        <w:rPr>
          <w:b/>
          <w:bCs/>
          <w:color w:val="auto"/>
          <w:kern w:val="44"/>
          <w:sz w:val="32"/>
          <w:szCs w:val="44"/>
          <w:highlight w:val="none"/>
        </w:rPr>
        <w:t>4、环境现状调查与评价</w:t>
      </w:r>
      <w:bookmarkEnd w:id="468"/>
      <w:bookmarkEnd w:id="469"/>
      <w:bookmarkEnd w:id="470"/>
      <w:bookmarkEnd w:id="471"/>
      <w:bookmarkEnd w:id="472"/>
      <w:bookmarkEnd w:id="473"/>
      <w:bookmarkEnd w:id="474"/>
    </w:p>
    <w:p>
      <w:pPr>
        <w:spacing w:line="360" w:lineRule="auto"/>
        <w:outlineLvl w:val="1"/>
        <w:rPr>
          <w:b/>
          <w:color w:val="auto"/>
          <w:sz w:val="30"/>
          <w:szCs w:val="30"/>
          <w:highlight w:val="none"/>
        </w:rPr>
      </w:pPr>
      <w:bookmarkStart w:id="475" w:name="_Toc15907942"/>
      <w:bookmarkStart w:id="476" w:name="_Toc5287"/>
      <w:bookmarkStart w:id="477" w:name="_Toc26360"/>
      <w:bookmarkStart w:id="478" w:name="_Toc26070"/>
      <w:bookmarkStart w:id="479" w:name="_Toc275730435"/>
      <w:bookmarkStart w:id="480" w:name="_Toc275002111"/>
      <w:bookmarkStart w:id="481" w:name="_Toc275002071"/>
      <w:bookmarkStart w:id="482" w:name="_Toc346698446"/>
      <w:bookmarkStart w:id="483" w:name="_Toc367282116"/>
      <w:bookmarkStart w:id="484" w:name="_Toc367281533"/>
      <w:r>
        <w:rPr>
          <w:b/>
          <w:color w:val="auto"/>
          <w:sz w:val="30"/>
          <w:szCs w:val="30"/>
          <w:highlight w:val="none"/>
        </w:rPr>
        <w:t>4.1自然环境概况</w:t>
      </w:r>
      <w:bookmarkEnd w:id="475"/>
      <w:bookmarkEnd w:id="476"/>
      <w:bookmarkEnd w:id="477"/>
      <w:bookmarkEnd w:id="478"/>
    </w:p>
    <w:p>
      <w:pPr>
        <w:spacing w:line="360" w:lineRule="auto"/>
        <w:outlineLvl w:val="2"/>
        <w:rPr>
          <w:b/>
          <w:color w:val="auto"/>
          <w:sz w:val="28"/>
          <w:szCs w:val="28"/>
          <w:highlight w:val="none"/>
        </w:rPr>
      </w:pPr>
      <w:bookmarkStart w:id="485" w:name="_Toc20242"/>
      <w:bookmarkStart w:id="486" w:name="_Toc15907943"/>
      <w:bookmarkStart w:id="487" w:name="_Toc19499"/>
      <w:bookmarkStart w:id="488" w:name="_Toc29149"/>
      <w:r>
        <w:rPr>
          <w:b/>
          <w:color w:val="auto"/>
          <w:sz w:val="28"/>
          <w:szCs w:val="28"/>
          <w:highlight w:val="none"/>
        </w:rPr>
        <w:t>4.1.1地理位置及交通</w:t>
      </w:r>
      <w:bookmarkEnd w:id="485"/>
      <w:bookmarkEnd w:id="486"/>
      <w:bookmarkEnd w:id="487"/>
      <w:bookmarkEnd w:id="488"/>
    </w:p>
    <w:p>
      <w:pPr>
        <w:pageBreakBefore w:val="0"/>
        <w:widowControl w:val="0"/>
        <w:kinsoku/>
        <w:wordWrap/>
        <w:overflowPunct/>
        <w:topLinePunct w:val="0"/>
        <w:autoSpaceDE/>
        <w:autoSpaceDN/>
        <w:bidi w:val="0"/>
        <w:adjustRightInd/>
        <w:snapToGrid/>
        <w:spacing w:beforeAutospacing="0" w:afterAutospacing="0" w:line="360" w:lineRule="auto"/>
        <w:ind w:firstLine="484" w:firstLineChars="200"/>
        <w:textAlignment w:val="auto"/>
        <w:rPr>
          <w:rFonts w:hint="default" w:ascii="Times New Roman" w:hAnsi="Times New Roman" w:cs="Times New Roman"/>
          <w:color w:val="auto"/>
          <w:sz w:val="24"/>
          <w:szCs w:val="24"/>
          <w:highlight w:val="none"/>
          <w:lang w:val="en-US"/>
        </w:rPr>
      </w:pPr>
      <w:bookmarkStart w:id="489" w:name="_Toc30212"/>
      <w:bookmarkStart w:id="490" w:name="_Toc15907944"/>
      <w:r>
        <w:rPr>
          <w:rFonts w:hint="default" w:ascii="Times New Roman" w:hAnsi="Times New Roman" w:cs="Times New Roman"/>
          <w:color w:val="auto"/>
          <w:sz w:val="24"/>
          <w:szCs w:val="24"/>
          <w:highlight w:val="none"/>
          <w:lang w:val="en-US"/>
        </w:rPr>
        <w:t>寻甸县地处滇东高原中部，属昆明市辖县，位于东经102°41′～103°33′，北纬25°20′～26°01′之间，东临马龙、沾益、会泽；西和富民，禄劝毗邻；北与东川接壤；南接嵩明。境内地势西北高，东南低，呈向东南倾斜阶梯状，以走向北东－南西或近南北向的乌蒙山、梁王山、小海梁子等山脉为主，山间点缀着低凹谷地或湖盆。东西横距84.5公里，南北绵延75公里，幅员面积3598平方公里。最高点花石子（巨龙梁子）海拔3294.8米，最低点金源河谷的小树棵海拔1445米。</w:t>
      </w:r>
    </w:p>
    <w:p>
      <w:pPr>
        <w:pageBreakBefore w:val="0"/>
        <w:widowControl w:val="0"/>
        <w:kinsoku/>
        <w:wordWrap/>
        <w:overflowPunct/>
        <w:topLinePunct w:val="0"/>
        <w:autoSpaceDE/>
        <w:autoSpaceDN/>
        <w:bidi w:val="0"/>
        <w:adjustRightInd/>
        <w:snapToGrid/>
        <w:spacing w:beforeAutospacing="0" w:afterAutospacing="0" w:line="360" w:lineRule="auto"/>
        <w:ind w:firstLine="484" w:firstLineChars="200"/>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寻甸县县域横跨金沙江、南盘江两流域之间，东与马龙县、</w:t>
      </w:r>
      <w:r>
        <w:rPr>
          <w:rFonts w:hint="default" w:ascii="Times New Roman" w:hAnsi="Times New Roman" w:cs="Times New Roman"/>
          <w:color w:val="auto"/>
          <w:sz w:val="24"/>
          <w:szCs w:val="24"/>
          <w:highlight w:val="none"/>
          <w:lang w:val="en-US" w:eastAsia="zh-CN"/>
        </w:rPr>
        <w:t>沾益区</w:t>
      </w:r>
      <w:r>
        <w:rPr>
          <w:rFonts w:hint="default" w:ascii="Times New Roman" w:hAnsi="Times New Roman" w:cs="Times New Roman"/>
          <w:color w:val="auto"/>
          <w:sz w:val="24"/>
          <w:szCs w:val="24"/>
          <w:highlight w:val="none"/>
          <w:lang w:val="en-US"/>
        </w:rPr>
        <w:t xml:space="preserve">、会泽县毗邻，西与富民县、禄劝县相依，北连东川区，南接嵩明县。西南距昆明市区90公里，东北距曲靖市区80公里。 </w:t>
      </w:r>
    </w:p>
    <w:p>
      <w:pPr>
        <w:pStyle w:val="502"/>
        <w:shd w:val="clear" w:color="auto" w:fill="auto"/>
        <w:tabs>
          <w:tab w:val="left" w:pos="6162"/>
        </w:tabs>
        <w:spacing w:line="360" w:lineRule="auto"/>
        <w:ind w:firstLine="524" w:firstLineChars="200"/>
        <w:jc w:val="both"/>
        <w:rPr>
          <w:rFonts w:ascii="Times New Roman" w:hAnsi="Times New Roman" w:eastAsia="宋体" w:cs="Times New Roman"/>
          <w:color w:val="auto"/>
          <w:spacing w:val="0"/>
          <w:kern w:val="2"/>
          <w:sz w:val="24"/>
          <w:szCs w:val="24"/>
          <w:highlight w:val="none"/>
          <w:lang w:val="en-US"/>
        </w:rPr>
      </w:pPr>
      <w:r>
        <w:rPr>
          <w:rFonts w:hint="eastAsia" w:ascii="Times New Roman" w:hAnsi="Times New Roman"/>
          <w:color w:val="auto"/>
          <w:sz w:val="24"/>
          <w:highlight w:val="none"/>
        </w:rPr>
        <w:t>本项目位于云南省昆明市</w:t>
      </w:r>
      <w:r>
        <w:rPr>
          <w:rFonts w:hint="eastAsia" w:ascii="Times New Roman" w:hAnsi="Times New Roman" w:eastAsia="宋体"/>
          <w:color w:val="auto"/>
          <w:sz w:val="24"/>
          <w:highlight w:val="none"/>
          <w:lang w:val="en-US" w:eastAsia="zh-CN"/>
        </w:rPr>
        <w:t>寻甸县仁德街道建设社区三月三村</w:t>
      </w:r>
      <w:r>
        <w:rPr>
          <w:rFonts w:ascii="Times New Roman" w:hAnsi="Times New Roman" w:eastAsia="宋体" w:cs="Times New Roman"/>
          <w:color w:val="auto"/>
          <w:spacing w:val="0"/>
          <w:kern w:val="2"/>
          <w:sz w:val="24"/>
          <w:szCs w:val="24"/>
          <w:highlight w:val="none"/>
          <w:lang w:val="en-US"/>
        </w:rPr>
        <w:t>，项目地理坐标为东经103°</w:t>
      </w:r>
      <w:r>
        <w:rPr>
          <w:rFonts w:hint="eastAsia" w:ascii="Times New Roman" w:hAnsi="Times New Roman" w:eastAsia="宋体" w:cs="Times New Roman"/>
          <w:color w:val="auto"/>
          <w:spacing w:val="0"/>
          <w:kern w:val="2"/>
          <w:sz w:val="24"/>
          <w:szCs w:val="24"/>
          <w:highlight w:val="none"/>
          <w:lang w:val="en-US" w:eastAsia="zh-CN"/>
        </w:rPr>
        <w:t>13</w:t>
      </w:r>
      <w:r>
        <w:rPr>
          <w:rFonts w:ascii="Times New Roman" w:hAnsi="Times New Roman" w:eastAsia="宋体" w:cs="Times New Roman"/>
          <w:color w:val="auto"/>
          <w:spacing w:val="0"/>
          <w:kern w:val="2"/>
          <w:sz w:val="24"/>
          <w:szCs w:val="24"/>
          <w:highlight w:val="none"/>
          <w:lang w:val="en-US"/>
        </w:rPr>
        <w:t>′</w:t>
      </w:r>
      <w:r>
        <w:rPr>
          <w:rFonts w:hint="eastAsia" w:ascii="Times New Roman" w:hAnsi="Times New Roman" w:eastAsia="宋体" w:cs="Times New Roman"/>
          <w:color w:val="auto"/>
          <w:spacing w:val="0"/>
          <w:kern w:val="2"/>
          <w:sz w:val="24"/>
          <w:szCs w:val="24"/>
          <w:highlight w:val="none"/>
          <w:lang w:val="en-US" w:eastAsia="zh-CN"/>
        </w:rPr>
        <w:t>46.275</w:t>
      </w:r>
      <w:r>
        <w:rPr>
          <w:rFonts w:ascii="Times New Roman" w:hAnsi="Times New Roman" w:eastAsia="宋体" w:cs="Times New Roman"/>
          <w:color w:val="auto"/>
          <w:spacing w:val="0"/>
          <w:kern w:val="2"/>
          <w:sz w:val="24"/>
          <w:szCs w:val="24"/>
          <w:highlight w:val="none"/>
          <w:lang w:val="en-US"/>
        </w:rPr>
        <w:t>″，北纬25°</w:t>
      </w:r>
      <w:r>
        <w:rPr>
          <w:rFonts w:hint="eastAsia" w:ascii="Times New Roman" w:hAnsi="Times New Roman" w:eastAsia="宋体" w:cs="Times New Roman"/>
          <w:color w:val="auto"/>
          <w:spacing w:val="0"/>
          <w:kern w:val="2"/>
          <w:sz w:val="24"/>
          <w:szCs w:val="24"/>
          <w:highlight w:val="none"/>
          <w:lang w:val="en-US" w:eastAsia="zh-CN"/>
        </w:rPr>
        <w:t>32</w:t>
      </w:r>
      <w:r>
        <w:rPr>
          <w:rFonts w:ascii="Times New Roman" w:hAnsi="Times New Roman" w:eastAsia="宋体" w:cs="Times New Roman"/>
          <w:color w:val="auto"/>
          <w:spacing w:val="0"/>
          <w:kern w:val="2"/>
          <w:sz w:val="24"/>
          <w:szCs w:val="24"/>
          <w:highlight w:val="none"/>
          <w:lang w:val="en-US"/>
        </w:rPr>
        <w:t>′</w:t>
      </w:r>
      <w:r>
        <w:rPr>
          <w:rFonts w:hint="eastAsia" w:ascii="Times New Roman" w:hAnsi="Times New Roman" w:eastAsia="宋体" w:cs="Times New Roman"/>
          <w:color w:val="auto"/>
          <w:spacing w:val="0"/>
          <w:kern w:val="2"/>
          <w:sz w:val="24"/>
          <w:szCs w:val="24"/>
          <w:highlight w:val="none"/>
          <w:lang w:val="en-US" w:eastAsia="zh-CN"/>
        </w:rPr>
        <w:t>39.159</w:t>
      </w:r>
      <w:r>
        <w:rPr>
          <w:rFonts w:ascii="Times New Roman" w:hAnsi="Times New Roman" w:eastAsia="宋体" w:cs="Times New Roman"/>
          <w:color w:val="auto"/>
          <w:spacing w:val="0"/>
          <w:kern w:val="2"/>
          <w:sz w:val="24"/>
          <w:szCs w:val="24"/>
          <w:highlight w:val="none"/>
          <w:lang w:val="en-US"/>
        </w:rPr>
        <w:t>″。项目地理位置图详见附图</w:t>
      </w:r>
      <w:r>
        <w:rPr>
          <w:rFonts w:hint="eastAsia" w:ascii="Times New Roman" w:hAnsi="Times New Roman" w:eastAsia="宋体" w:cs="Times New Roman"/>
          <w:color w:val="auto"/>
          <w:spacing w:val="0"/>
          <w:kern w:val="2"/>
          <w:sz w:val="24"/>
          <w:szCs w:val="24"/>
          <w:highlight w:val="none"/>
          <w:lang w:val="en-US"/>
        </w:rPr>
        <w:t>1</w:t>
      </w:r>
      <w:r>
        <w:rPr>
          <w:rFonts w:ascii="Times New Roman" w:hAnsi="Times New Roman" w:eastAsia="宋体" w:cs="Times New Roman"/>
          <w:color w:val="auto"/>
          <w:spacing w:val="0"/>
          <w:kern w:val="2"/>
          <w:sz w:val="24"/>
          <w:szCs w:val="24"/>
          <w:highlight w:val="none"/>
          <w:lang w:val="en-US"/>
        </w:rPr>
        <w:t>。</w:t>
      </w:r>
    </w:p>
    <w:p>
      <w:pPr>
        <w:spacing w:line="360" w:lineRule="auto"/>
        <w:outlineLvl w:val="2"/>
        <w:rPr>
          <w:b/>
          <w:color w:val="auto"/>
          <w:sz w:val="28"/>
          <w:szCs w:val="28"/>
          <w:highlight w:val="none"/>
        </w:rPr>
      </w:pPr>
      <w:bookmarkStart w:id="491" w:name="_Toc425"/>
      <w:bookmarkStart w:id="492" w:name="_Toc25660"/>
      <w:r>
        <w:rPr>
          <w:b/>
          <w:color w:val="auto"/>
          <w:sz w:val="28"/>
          <w:szCs w:val="28"/>
          <w:highlight w:val="none"/>
        </w:rPr>
        <w:t>4.1.2地形、地貌</w:t>
      </w:r>
      <w:bookmarkEnd w:id="489"/>
      <w:bookmarkEnd w:id="490"/>
      <w:bookmarkEnd w:id="491"/>
      <w:bookmarkEnd w:id="492"/>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color w:val="auto"/>
          <w:sz w:val="24"/>
          <w:szCs w:val="24"/>
          <w:highlight w:val="none"/>
        </w:rPr>
      </w:pPr>
      <w:bookmarkStart w:id="493" w:name="_Toc26480"/>
      <w:bookmarkStart w:id="494" w:name="_Toc3362"/>
      <w:bookmarkStart w:id="495" w:name="_Toc15907945"/>
      <w:r>
        <w:rPr>
          <w:rFonts w:hint="default" w:ascii="Times New Roman" w:hAnsi="Times New Roman" w:cs="Times New Roman"/>
          <w:color w:val="auto"/>
          <w:sz w:val="24"/>
          <w:szCs w:val="24"/>
          <w:highlight w:val="none"/>
        </w:rPr>
        <w:t>寻甸县属中山—高原地貌，境内地势西北高，东南低，呈西北向东南倾斜阶梯状，高原湖盆及岩溶丘原复合地貌形成丰富的自然景观是寻甸县地形地貌的主要特点。县内地貌景观差异明显，形成于第三纪至第四纪。主要受构造、侵蚀、剥蚀、岩溶及堆积作用控制。可分为构造侵蚀地貌，构造侵蚀、岩溶地貌，堆积地貌，岩溶地貌等4种成因类型。县域以乌蒙山系的梁王山、小海梁子等山脉为主，山间点缀着低凹谷地或湖盆。北部受金沙江水系的河流强烈切割，河谷深切，山势陡峻；中部地势略高，山顶浑圆平坦；东南部低中山丘原之间散布各类大小不等的山间盆地。县内大部分地方在海拔1800～2600m之间，最高点在金源与东川交界的花石头（巨龙梁子），主峰海拔3294.8m，金源河谷的小树棵最低，海拔1445m，县内最大高差1849.8m。</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全县总面积3598km³，山区、高寒山区占87.5%，海拔在2300～2800m的山峰有120座，在2800m以上的山峰有35座。全县呈现出山原峡谷交替，逶迤连绵的宏伟地貌景观。</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color w:val="auto"/>
          <w:kern w:val="0"/>
          <w:sz w:val="24"/>
          <w:highlight w:val="none"/>
        </w:rPr>
      </w:pPr>
      <w:r>
        <w:rPr>
          <w:rFonts w:hint="default" w:ascii="Times New Roman" w:hAnsi="Times New Roman" w:cs="Times New Roman"/>
          <w:color w:val="auto"/>
          <w:sz w:val="24"/>
          <w:szCs w:val="24"/>
          <w:highlight w:val="none"/>
        </w:rPr>
        <w:t>寻甸县境内的地质构造属昆明凹陷金沙江断裂带范围，普渡河深大断裂带，构成县境西部的地质边界，小江深大断裂带在境内中部南北贯穿，属径向构造体系。经过地质史上的多次构造变动，使海底形成陆地，造山皱褶断裂并形成盆地。经过长期构造运动，陆海变迁及岩相变化，使得境内地层发育比较齐全，地质</w:t>
      </w:r>
      <w:r>
        <w:rPr>
          <w:rFonts w:hint="default" w:ascii="Times New Roman" w:hAnsi="Times New Roman" w:cs="Times New Roman"/>
          <w:color w:val="auto"/>
          <w:sz w:val="24"/>
          <w:szCs w:val="24"/>
          <w:highlight w:val="none"/>
          <w:lang w:eastAsia="zh-CN"/>
        </w:rPr>
        <w:t>从远古</w:t>
      </w:r>
      <w:r>
        <w:rPr>
          <w:rFonts w:hint="default" w:ascii="Times New Roman" w:hAnsi="Times New Roman" w:cs="Times New Roman"/>
          <w:color w:val="auto"/>
          <w:sz w:val="24"/>
          <w:szCs w:val="24"/>
          <w:highlight w:val="none"/>
        </w:rPr>
        <w:t>至新生界均有出露，沉积岩占全县的60%左右，火山岩占40%左右，元古界厚大于3813m，为昆阳群大黑山头组、震旦系上统；古生界厚5409m，有寒武系、志留系、泥盆系和二叠系；中生界厚2732m，在三叠系、中下侏罗统；新生界厚300m，其中以二叠系分布最广。</w:t>
      </w:r>
    </w:p>
    <w:p>
      <w:pPr>
        <w:spacing w:line="360" w:lineRule="auto"/>
        <w:outlineLvl w:val="2"/>
        <w:rPr>
          <w:b/>
          <w:color w:val="auto"/>
          <w:sz w:val="28"/>
          <w:szCs w:val="28"/>
          <w:highlight w:val="none"/>
        </w:rPr>
      </w:pPr>
      <w:bookmarkStart w:id="496" w:name="_Toc75908686"/>
      <w:bookmarkStart w:id="497" w:name="_Toc6671"/>
      <w:r>
        <w:rPr>
          <w:b/>
          <w:color w:val="auto"/>
          <w:sz w:val="28"/>
          <w:szCs w:val="28"/>
          <w:highlight w:val="none"/>
        </w:rPr>
        <w:t>4.1.3 地质</w:t>
      </w:r>
      <w:bookmarkEnd w:id="496"/>
      <w:bookmarkEnd w:id="497"/>
    </w:p>
    <w:p>
      <w:pPr>
        <w:widowControl/>
        <w:spacing w:line="360" w:lineRule="auto"/>
        <w:ind w:firstLine="484" w:firstLineChars="200"/>
        <w:rPr>
          <w:color w:val="auto"/>
          <w:kern w:val="0"/>
          <w:sz w:val="24"/>
          <w:highlight w:val="none"/>
        </w:rPr>
      </w:pPr>
      <w:r>
        <w:rPr>
          <w:color w:val="auto"/>
          <w:kern w:val="0"/>
          <w:sz w:val="24"/>
          <w:highlight w:val="none"/>
        </w:rPr>
        <w:t>寻甸县从元古界到新生界底层均有出露。沉积岩面积占全县面积的60%左右，火山岩占40%左右，元古界厚大千3813m，为昆阳群大黑山头组，鹅山头组，震旦系上统；古生界厚大千5409m，又寒武系、志留系、泥盆系、石炭系河二叠系；中生界厚2732m，又三叠系中、下侁罗系；新生界厚300m。其中以二叠系分布最广。</w:t>
      </w:r>
    </w:p>
    <w:p>
      <w:pPr>
        <w:widowControl/>
        <w:spacing w:line="360" w:lineRule="auto"/>
        <w:ind w:firstLine="484" w:firstLineChars="200"/>
        <w:rPr>
          <w:color w:val="auto"/>
          <w:kern w:val="0"/>
          <w:sz w:val="24"/>
          <w:highlight w:val="none"/>
        </w:rPr>
      </w:pPr>
      <w:r>
        <w:rPr>
          <w:color w:val="auto"/>
          <w:kern w:val="0"/>
          <w:sz w:val="24"/>
          <w:highlight w:val="none"/>
        </w:rPr>
        <w:t>根据《区域地质调查报告》（曲靖幅1：200000）资料：拟建项目选址</w:t>
      </w:r>
      <w:r>
        <w:rPr>
          <w:rFonts w:hint="eastAsia"/>
          <w:color w:val="auto"/>
          <w:kern w:val="0"/>
          <w:sz w:val="24"/>
          <w:highlight w:val="none"/>
          <w:lang w:eastAsia="zh-CN"/>
        </w:rPr>
        <w:t>位于</w:t>
      </w:r>
      <w:r>
        <w:rPr>
          <w:color w:val="auto"/>
          <w:kern w:val="0"/>
          <w:sz w:val="24"/>
          <w:highlight w:val="none"/>
        </w:rPr>
        <w:t>寻甸—功山断裂（属小江断裂带的东支断裂带）东侧，推测与其平均距离约600m。该断裂沿线普遍存在破碎带、角砾岩、糜棱岩，般宽达数百米。从古地理岩相分析，该断裂已控制了震旦系上统灯影组Z</w:t>
      </w:r>
      <w:r>
        <w:rPr>
          <w:color w:val="auto"/>
          <w:kern w:val="0"/>
          <w:sz w:val="24"/>
          <w:highlight w:val="none"/>
          <w:vertAlign w:val="subscript"/>
        </w:rPr>
        <w:t>b</w:t>
      </w:r>
      <w:r>
        <w:rPr>
          <w:color w:val="auto"/>
          <w:kern w:val="0"/>
          <w:sz w:val="24"/>
          <w:highlight w:val="none"/>
        </w:rPr>
        <w:t>dn以后的地层沉积，断裂性质以压扭性为主，并具左旋扭性。该断裂时代老，多期活动延伸长度大，车湖、寻甸以北地段，断裂面西倾、倾角在42°~80°之间。</w:t>
      </w:r>
    </w:p>
    <w:p>
      <w:pPr>
        <w:spacing w:line="360" w:lineRule="auto"/>
        <w:outlineLvl w:val="2"/>
        <w:rPr>
          <w:b/>
          <w:color w:val="auto"/>
          <w:sz w:val="28"/>
          <w:szCs w:val="28"/>
          <w:highlight w:val="none"/>
        </w:rPr>
      </w:pPr>
      <w:bookmarkStart w:id="498" w:name="_Toc8434"/>
      <w:r>
        <w:rPr>
          <w:b/>
          <w:color w:val="auto"/>
          <w:sz w:val="28"/>
          <w:szCs w:val="28"/>
          <w:highlight w:val="none"/>
        </w:rPr>
        <w:t>4.1.4 气候、气象</w:t>
      </w:r>
      <w:bookmarkEnd w:id="493"/>
      <w:bookmarkEnd w:id="494"/>
      <w:bookmarkEnd w:id="495"/>
      <w:bookmarkEnd w:id="498"/>
    </w:p>
    <w:p>
      <w:pPr>
        <w:spacing w:line="360" w:lineRule="auto"/>
        <w:ind w:firstLine="480"/>
        <w:rPr>
          <w:color w:val="auto"/>
          <w:sz w:val="24"/>
          <w:highlight w:val="none"/>
        </w:rPr>
      </w:pPr>
      <w:bookmarkStart w:id="499" w:name="_Toc15907946"/>
      <w:bookmarkStart w:id="500" w:name="_Toc26332"/>
      <w:r>
        <w:rPr>
          <w:color w:val="auto"/>
          <w:sz w:val="24"/>
          <w:highlight w:val="none"/>
        </w:rPr>
        <w:t>寻甸气候属低纬高原季风气候，冬春两季受平直西风环流控制，大陆季风气候明显，干旱少雨；夏秋季主要受太平洋西南或印度洋东南暖湿气流控制，海洋季风突出，多雨，凉爽潮湿。5～10月为雨季，11月至次年4月为旱季。年平均日照时数2079.3小时，年平均温度14～15.2℃，极端高温34.6℃，极端低温-13.9℃，年无霜期229天。平均降雨量为1045mm，年际间及年内各月降雨量分布不均，多年平均蒸发量1957.5mm，雨季占全年降水量的80%以上，是地下水补给的旺盛期。冬春两季干旱少雨，同时也是风季，定时最大风速24m/s，一般在3～6m/s，寻甸县20年一遇最大日降雨量为120.8mm，6小时暴雨量为92.0mm，20年一遇的1小时暴雨量为50.12mm。一年中以西南风为主，年均风速为2.9~3.0m/s。</w:t>
      </w:r>
    </w:p>
    <w:p>
      <w:pPr>
        <w:spacing w:line="360" w:lineRule="auto"/>
        <w:outlineLvl w:val="2"/>
        <w:rPr>
          <w:b/>
          <w:color w:val="auto"/>
          <w:sz w:val="28"/>
          <w:szCs w:val="28"/>
          <w:highlight w:val="none"/>
        </w:rPr>
      </w:pPr>
      <w:bookmarkStart w:id="501" w:name="_Toc5191"/>
      <w:bookmarkStart w:id="502" w:name="_Toc27614"/>
      <w:r>
        <w:rPr>
          <w:b/>
          <w:color w:val="auto"/>
          <w:sz w:val="28"/>
          <w:szCs w:val="28"/>
          <w:highlight w:val="none"/>
        </w:rPr>
        <w:t xml:space="preserve">4.1.5 </w:t>
      </w:r>
      <w:bookmarkEnd w:id="499"/>
      <w:r>
        <w:rPr>
          <w:b/>
          <w:color w:val="auto"/>
          <w:sz w:val="28"/>
          <w:szCs w:val="28"/>
          <w:highlight w:val="none"/>
        </w:rPr>
        <w:t>水文、水系</w:t>
      </w:r>
      <w:bookmarkEnd w:id="500"/>
      <w:bookmarkEnd w:id="501"/>
      <w:bookmarkEnd w:id="502"/>
    </w:p>
    <w:p>
      <w:pPr>
        <w:tabs>
          <w:tab w:val="left" w:pos="56"/>
        </w:tabs>
        <w:spacing w:line="360" w:lineRule="auto"/>
        <w:ind w:firstLine="480"/>
        <w:rPr>
          <w:color w:val="auto"/>
          <w:sz w:val="24"/>
          <w:highlight w:val="none"/>
        </w:rPr>
      </w:pPr>
      <w:bookmarkStart w:id="503" w:name="_Toc29600"/>
      <w:bookmarkStart w:id="504" w:name="_Toc15907947"/>
      <w:r>
        <w:rPr>
          <w:color w:val="auto"/>
          <w:sz w:val="24"/>
          <w:highlight w:val="none"/>
        </w:rPr>
        <w:t>寻甸地处长江流域地区，境内河流属金沙江水系。境内水利资源极为丰富，有大小河流20多条，较大的为牛栏江，属金沙江水系（包括：果马河、马龙河、尹武河等）；小江水系（包括金源河、功山河等）和普渡河水系（包括牛街河、马街河、鸡街河、柯渡河、可郎河）。寻甸县多年平均水资源总量24.606亿m</w:t>
      </w:r>
      <w:r>
        <w:rPr>
          <w:color w:val="auto"/>
          <w:sz w:val="24"/>
          <w:highlight w:val="none"/>
          <w:vertAlign w:val="superscript"/>
        </w:rPr>
        <w:t>3</w:t>
      </w:r>
      <w:r>
        <w:rPr>
          <w:color w:val="auto"/>
          <w:sz w:val="24"/>
          <w:highlight w:val="none"/>
        </w:rPr>
        <w:t>，径流量47.5万m</w:t>
      </w:r>
      <w:r>
        <w:rPr>
          <w:color w:val="auto"/>
          <w:sz w:val="24"/>
          <w:highlight w:val="none"/>
          <w:vertAlign w:val="superscript"/>
        </w:rPr>
        <w:t>3</w:t>
      </w:r>
      <w:r>
        <w:rPr>
          <w:color w:val="auto"/>
          <w:sz w:val="24"/>
          <w:highlight w:val="none"/>
        </w:rPr>
        <w:t>/km</w:t>
      </w:r>
      <w:r>
        <w:rPr>
          <w:color w:val="auto"/>
          <w:sz w:val="24"/>
          <w:highlight w:val="none"/>
          <w:vertAlign w:val="superscript"/>
        </w:rPr>
        <w:t>2</w:t>
      </w:r>
      <w:r>
        <w:rPr>
          <w:color w:val="auto"/>
          <w:sz w:val="24"/>
          <w:highlight w:val="none"/>
        </w:rPr>
        <w:t>，</w:t>
      </w:r>
      <w:r>
        <w:rPr>
          <w:rFonts w:hint="eastAsia"/>
          <w:color w:val="auto"/>
          <w:sz w:val="24"/>
          <w:highlight w:val="none"/>
          <w:lang w:eastAsia="zh-CN"/>
        </w:rPr>
        <w:t>折合</w:t>
      </w:r>
      <w:r>
        <w:rPr>
          <w:color w:val="auto"/>
          <w:sz w:val="24"/>
          <w:highlight w:val="none"/>
        </w:rPr>
        <w:t>径流深448mm。主要湖泊清水海，位于县城西北部20公里处，属长江流域金沙江水系小江干流。径流总面积84.6平方公里。其中，本区径流33.1平方公里，引入部分径流面积51.5平方公里。全县共有水利设施3570件，其中，中小型水库81座，总库容17861万m</w:t>
      </w:r>
      <w:r>
        <w:rPr>
          <w:color w:val="auto"/>
          <w:sz w:val="24"/>
          <w:highlight w:val="none"/>
          <w:vertAlign w:val="superscript"/>
        </w:rPr>
        <w:t>3</w:t>
      </w:r>
      <w:r>
        <w:rPr>
          <w:color w:val="auto"/>
          <w:sz w:val="24"/>
          <w:highlight w:val="none"/>
        </w:rPr>
        <w:t>，其中：中型水库库容13816万m</w:t>
      </w:r>
      <w:r>
        <w:rPr>
          <w:color w:val="auto"/>
          <w:sz w:val="24"/>
          <w:highlight w:val="none"/>
          <w:vertAlign w:val="superscript"/>
        </w:rPr>
        <w:t>3</w:t>
      </w:r>
      <w:r>
        <w:rPr>
          <w:color w:val="auto"/>
          <w:sz w:val="24"/>
          <w:highlight w:val="none"/>
        </w:rPr>
        <w:t>，小型水库库容4045万m</w:t>
      </w:r>
      <w:r>
        <w:rPr>
          <w:color w:val="auto"/>
          <w:sz w:val="24"/>
          <w:highlight w:val="none"/>
          <w:vertAlign w:val="superscript"/>
        </w:rPr>
        <w:t>3</w:t>
      </w:r>
      <w:r>
        <w:rPr>
          <w:color w:val="auto"/>
          <w:sz w:val="24"/>
          <w:highlight w:val="none"/>
        </w:rPr>
        <w:t>，坝塘库容392万m</w:t>
      </w:r>
      <w:r>
        <w:rPr>
          <w:color w:val="auto"/>
          <w:sz w:val="24"/>
          <w:highlight w:val="none"/>
          <w:vertAlign w:val="superscript"/>
        </w:rPr>
        <w:t>3</w:t>
      </w:r>
      <w:r>
        <w:rPr>
          <w:color w:val="auto"/>
          <w:sz w:val="24"/>
          <w:highlight w:val="none"/>
        </w:rPr>
        <w:t>，有效灌溉面积18.36千公顷，水利化程度达54%。一年的水资源总量24亿m</w:t>
      </w:r>
      <w:r>
        <w:rPr>
          <w:color w:val="auto"/>
          <w:sz w:val="24"/>
          <w:highlight w:val="none"/>
          <w:vertAlign w:val="superscript"/>
        </w:rPr>
        <w:t>3</w:t>
      </w:r>
      <w:r>
        <w:rPr>
          <w:color w:val="auto"/>
          <w:sz w:val="24"/>
          <w:highlight w:val="none"/>
        </w:rPr>
        <w:t>。</w:t>
      </w:r>
    </w:p>
    <w:p>
      <w:pPr>
        <w:tabs>
          <w:tab w:val="left" w:pos="56"/>
        </w:tabs>
        <w:spacing w:line="360" w:lineRule="auto"/>
        <w:ind w:firstLine="480"/>
        <w:rPr>
          <w:rFonts w:hint="default" w:eastAsia="宋体"/>
          <w:color w:val="auto"/>
          <w:sz w:val="24"/>
          <w:highlight w:val="none"/>
          <w:lang w:val="en-US" w:eastAsia="zh-CN"/>
        </w:rPr>
      </w:pPr>
      <w:r>
        <w:rPr>
          <w:color w:val="auto"/>
          <w:sz w:val="24"/>
          <w:highlight w:val="none"/>
        </w:rPr>
        <w:t>全县境内河流均属金沙江水系，有牛栏江、小江和普渡河为主干流的20余条河流和天然湖泊清水海。项目所在地属于牛栏江流域，牛栏江属金沙江水系（包括：果马河、马龙河、尹武河等）中的小江水系（包括金源河、功山河等）和普渡河水系（包括牛街河、马街河、鸡街河、柯渡河、可郎河）。</w:t>
      </w:r>
      <w:r>
        <w:rPr>
          <w:rFonts w:hint="eastAsia"/>
          <w:color w:val="auto"/>
          <w:sz w:val="24"/>
          <w:highlight w:val="none"/>
          <w:lang w:val="en-US" w:eastAsia="zh-CN"/>
        </w:rPr>
        <w:t>牛栏江是金沙江右岸一级支流，发源于昆明市寻甸县，流域面积13672平方公里，其余云南省境内流域面积11408平方公里；多年平均径流量49.5亿立方米，其中云南省境内43.5亿立方米；干流全长440km。</w:t>
      </w:r>
    </w:p>
    <w:p>
      <w:pPr>
        <w:tabs>
          <w:tab w:val="left" w:pos="56"/>
        </w:tabs>
        <w:spacing w:line="360" w:lineRule="auto"/>
        <w:ind w:firstLine="48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项目区最近地表水为</w:t>
      </w:r>
      <w:r>
        <w:rPr>
          <w:rFonts w:hint="eastAsia" w:ascii="Times New Roman" w:hAnsi="Times New Roman" w:eastAsia="宋体" w:cs="Times New Roman"/>
          <w:color w:val="auto"/>
          <w:sz w:val="24"/>
          <w:highlight w:val="none"/>
          <w:lang w:val="en-US" w:eastAsia="zh-CN"/>
        </w:rPr>
        <w:t>东侧约1035</w:t>
      </w:r>
      <w:r>
        <w:rPr>
          <w:rFonts w:hint="default" w:ascii="Times New Roman" w:hAnsi="Times New Roman" w:eastAsia="宋体" w:cs="Times New Roman"/>
          <w:color w:val="auto"/>
          <w:sz w:val="24"/>
          <w:highlight w:val="none"/>
          <w:lang w:val="en-US" w:eastAsia="zh-CN"/>
        </w:rPr>
        <w:t>m处的三月三水库及东侧</w:t>
      </w:r>
      <w:r>
        <w:rPr>
          <w:rFonts w:hint="eastAsia" w:ascii="Times New Roman" w:hAnsi="Times New Roman" w:eastAsia="宋体" w:cs="Times New Roman"/>
          <w:color w:val="auto"/>
          <w:sz w:val="24"/>
          <w:highlight w:val="none"/>
          <w:lang w:val="en-US" w:eastAsia="zh-CN"/>
        </w:rPr>
        <w:t>2470</w:t>
      </w:r>
      <w:r>
        <w:rPr>
          <w:rFonts w:hint="default" w:ascii="Times New Roman" w:hAnsi="Times New Roman" w:eastAsia="宋体" w:cs="Times New Roman"/>
          <w:color w:val="auto"/>
          <w:sz w:val="24"/>
          <w:highlight w:val="none"/>
          <w:lang w:val="en-US" w:eastAsia="zh-CN"/>
        </w:rPr>
        <w:t>m处的前进河。</w:t>
      </w:r>
      <w:r>
        <w:rPr>
          <w:rFonts w:hint="eastAsia" w:ascii="Times New Roman" w:hAnsi="Times New Roman" w:eastAsia="宋体" w:cs="Times New Roman"/>
          <w:color w:val="auto"/>
          <w:sz w:val="24"/>
          <w:highlight w:val="none"/>
          <w:lang w:val="en-US" w:eastAsia="zh-CN"/>
        </w:rPr>
        <w:t>三月三水库是一座小型纯公益性水库，属于小（Ⅰ）型水库，总库容</w:t>
      </w:r>
      <w:r>
        <w:rPr>
          <w:rFonts w:hint="eastAsia" w:cs="Times New Roman"/>
          <w:color w:val="auto"/>
          <w:sz w:val="24"/>
          <w:highlight w:val="none"/>
          <w:lang w:val="en-US" w:eastAsia="zh-CN"/>
        </w:rPr>
        <w:t>302</w:t>
      </w:r>
      <w:r>
        <w:rPr>
          <w:rFonts w:hint="eastAsia" w:ascii="Times New Roman" w:hAnsi="Times New Roman" w:eastAsia="宋体" w:cs="Times New Roman"/>
          <w:color w:val="auto"/>
          <w:sz w:val="24"/>
          <w:highlight w:val="none"/>
          <w:lang w:val="en-US" w:eastAsia="zh-CN"/>
        </w:rPr>
        <w:t>万立方米，是寻甸县城重要的防洪、灌溉枢纽。三月三水库自西向东汇入前进河，前进河属于牛栏江支流，根据</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昆明市和滇中产业新区水功能区划</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eastAsia" w:cs="Times New Roman"/>
          <w:color w:val="auto"/>
          <w:sz w:val="24"/>
          <w:highlight w:val="none"/>
          <w:lang w:val="en-US" w:eastAsia="zh-CN"/>
        </w:rPr>
        <w:t>2010~2030年</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三月三水库起始至入牛栏江口，河长度10.7km，属前进河中下游段，主要流经仁德街道办事处，其中三月三小（一）型水库总库容302万m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，设计年供水量605万m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，主要为沿途两岸农田提供农灌用水，现状水质为Ⅳ类，2030规划水平年水质保护目标为Ⅲ类。</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项</w:t>
      </w:r>
      <w:r>
        <w:rPr>
          <w:rFonts w:hint="default" w:ascii="Times New Roman" w:hAnsi="Times New Roman" w:cs="Times New Roman"/>
          <w:color w:val="auto"/>
          <w:sz w:val="24"/>
          <w:szCs w:val="24"/>
          <w:highlight w:val="none"/>
        </w:rPr>
        <w:t>目区域水系图详见附图2。</w:t>
      </w:r>
    </w:p>
    <w:p>
      <w:pPr>
        <w:spacing w:line="360" w:lineRule="auto"/>
        <w:outlineLvl w:val="2"/>
        <w:rPr>
          <w:rFonts w:hint="default" w:eastAsia="宋体"/>
          <w:b/>
          <w:color w:val="auto"/>
          <w:sz w:val="28"/>
          <w:szCs w:val="28"/>
          <w:highlight w:val="none"/>
          <w:lang w:val="en-US" w:eastAsia="zh-CN"/>
        </w:rPr>
      </w:pPr>
      <w:bookmarkStart w:id="505" w:name="_Toc23083"/>
      <w:bookmarkStart w:id="506" w:name="_Toc8781"/>
      <w:r>
        <w:rPr>
          <w:b/>
          <w:color w:val="auto"/>
          <w:sz w:val="28"/>
          <w:szCs w:val="28"/>
          <w:highlight w:val="none"/>
        </w:rPr>
        <w:t>4.1.</w:t>
      </w:r>
      <w:bookmarkEnd w:id="503"/>
      <w:bookmarkEnd w:id="505"/>
      <w:r>
        <w:rPr>
          <w:b/>
          <w:color w:val="auto"/>
          <w:sz w:val="28"/>
          <w:szCs w:val="28"/>
          <w:highlight w:val="none"/>
        </w:rPr>
        <w:t>6</w:t>
      </w:r>
      <w:r>
        <w:rPr>
          <w:rFonts w:hint="eastAsia"/>
          <w:b/>
          <w:color w:val="auto"/>
          <w:sz w:val="28"/>
          <w:szCs w:val="28"/>
          <w:highlight w:val="none"/>
          <w:lang w:val="en-US" w:eastAsia="zh-CN"/>
        </w:rPr>
        <w:t>水文特征</w:t>
      </w:r>
      <w:bookmarkEnd w:id="506"/>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bookmarkStart w:id="507" w:name="_Toc11892"/>
      <w:bookmarkStart w:id="508" w:name="_Toc23018"/>
      <w:r>
        <w:rPr>
          <w:rFonts w:hint="default" w:ascii="Times New Roman" w:hAnsi="Times New Roman" w:cs="Times New Roman"/>
          <w:color w:val="auto"/>
          <w:kern w:val="0"/>
          <w:sz w:val="24"/>
          <w:highlight w:val="none"/>
        </w:rPr>
        <w:t>境内地下水以岩性为基础，并根据地下水的赋存空间、埋藏条件，将县内地下水划分为三大类型。</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1、松散堆积层孔隙水</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松散堆积层孔隙水分布在仁德、金所、羊街、功山等盆地。仁德系冲湖积成，第四系厚度43米，</w:t>
      </w:r>
      <w:r>
        <w:rPr>
          <w:rFonts w:hint="eastAsia" w:cs="Times New Roman"/>
          <w:color w:val="auto"/>
          <w:kern w:val="0"/>
          <w:sz w:val="24"/>
          <w:highlight w:val="none"/>
          <w:lang w:eastAsia="zh-CN"/>
        </w:rPr>
        <w:t>单井</w:t>
      </w:r>
      <w:r>
        <w:rPr>
          <w:rFonts w:hint="default" w:ascii="Times New Roman" w:hAnsi="Times New Roman" w:cs="Times New Roman"/>
          <w:color w:val="auto"/>
          <w:kern w:val="0"/>
          <w:sz w:val="24"/>
          <w:highlight w:val="none"/>
        </w:rPr>
        <w:t>滴水量小于100立方米/昼夜，富水级别弱：金所系冲湖积成，第四系厚度2.5~14.4米，水位埋深0.67~1.9米，富水级别弱至中等：羊街系冲湖积成，第四系厚度小于14米，水位埋深2.8~l7米，单井涌水量178~l440立方米/昼夜，富水级别中等：马街系冲积成，第四系厚度43米，含水层厚度5～53米，水位埋深1~2米，</w:t>
      </w:r>
      <w:r>
        <w:rPr>
          <w:rFonts w:hint="eastAsia" w:cs="Times New Roman"/>
          <w:color w:val="auto"/>
          <w:kern w:val="0"/>
          <w:sz w:val="24"/>
          <w:highlight w:val="none"/>
          <w:lang w:eastAsia="zh-CN"/>
        </w:rPr>
        <w:t>单位涌水量</w:t>
      </w:r>
      <w:r>
        <w:rPr>
          <w:rFonts w:hint="default" w:ascii="Times New Roman" w:hAnsi="Times New Roman" w:cs="Times New Roman"/>
          <w:color w:val="auto"/>
          <w:kern w:val="0"/>
          <w:sz w:val="24"/>
          <w:highlight w:val="none"/>
        </w:rPr>
        <w:t>小于100立方米/昼夜，富水级别弱至中等；可郎街系冲积成，第四系厚度小于40米，含水层厚度5~10米，水位埋深小于2米，单井涌水量大于100/夜，富水级别中等：柯渡街系冲积成，第四系厚度20~30米，含水层厚度5.l0米，水位埋深小于2米，单井涵水量大于100立方米/昼夜，富水级别中等：鸡街系冲积成，第四系厚度543米，含水层厚度22米，水位埋深2l7米，单井涌水量500~1000立方米/昼夜，富水级别中等。</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2、基岩裂隙水</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eastAsia="zh-CN"/>
        </w:rPr>
        <w:t>碎屑岩裂隙水</w:t>
      </w:r>
      <w:r>
        <w:rPr>
          <w:rFonts w:hint="default" w:ascii="Times New Roman" w:hAnsi="Times New Roman" w:cs="Times New Roman"/>
          <w:color w:val="auto"/>
          <w:kern w:val="0"/>
          <w:sz w:val="24"/>
          <w:highlight w:val="none"/>
        </w:rPr>
        <w:t>有侏罗系下统（J1）及中统（J2）、三叠系上统（T3）及下统飞仙关组（T1f）、二叠系上统宣威组（P22）及下统梁山组（P1 L）、泥盆系下统（D1）、寒武系下统沧浪铺组（∈11）及筇竹寺组（∈11）为泥岩、</w:t>
      </w:r>
      <w:r>
        <w:rPr>
          <w:rFonts w:hint="eastAsia" w:cs="Times New Roman"/>
          <w:color w:val="auto"/>
          <w:kern w:val="0"/>
          <w:sz w:val="24"/>
          <w:highlight w:val="none"/>
          <w:lang w:eastAsia="zh-CN"/>
        </w:rPr>
        <w:t>砂岩</w:t>
      </w:r>
      <w:r>
        <w:rPr>
          <w:rFonts w:hint="default" w:ascii="Times New Roman" w:hAnsi="Times New Roman" w:cs="Times New Roman"/>
          <w:color w:val="auto"/>
          <w:kern w:val="0"/>
          <w:sz w:val="24"/>
          <w:highlight w:val="none"/>
        </w:rPr>
        <w:t>、粉砂岩组成，含弱裂隙水。各含水层（组）中较厚的砂岩富水性稍好。地表泉水流量多小于0.1升/秒。</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火成岩裂隙水  二叠系玄武岩广泛出露，火成岩裂隙水主要分布在四甲河、甸沙河以西。县内玄武岩柱状节理比较发育，含风化裂隙水，富水性中等，地表泉水枯季流量常见值0.01~0.5升/秒，此外玄武岩风化层厚度及所处的构造部位不同，富水性差异悬殊，泉水流量可达100升/秒以上。</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变质岩裂隙水昆阳群额头厂组（ZJe）、黑山头组（ZCHs）分布在先锋乡及柯渡镇局部地区。以板岩为主，夹粉砂岩、白云岩，含微量裂隙水。白云岩富水性稍好地表水出露少。</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3、碳酸盐岩岩溶水</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碳酸盐岩岩溶水有二叠系下统栖霞、茅口组（P1q+m），石炭系（C），泥盆系上统（D3），震旦系灯影组（Zbdn）石灰岩、白云岩、岩溶发育，含丰富的岩溶地下水、大泉流量100~1264升/秒。泥盆系及震旦系灰岩岩溶发育中等，泉水流量大者可达100升/秒以上。</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碳酸盐岩与非碳酸盐岩层间（互层及夹层）岩溶水。三叠系永宁镇组（T）、泥盆系中统（D2）、志留系（S）、寒武系双龙源组（∈11）、陡坡寺组（∈11）、龙王庙组（∈11），呈条带状分布于中部及东部。为白云岩、灰岩、粉砂岩、泥灰岩互层，含岩溶裂隙水，富水不均一，其富水性受构造制约明显。在断裂发育地段，岩溶裂隙发育，也有大泉水出露。</w:t>
      </w:r>
    </w:p>
    <w:p>
      <w:pPr>
        <w:keepNext w:val="0"/>
        <w:keepLines w:val="0"/>
        <w:pageBreakBefore w:val="0"/>
        <w:kinsoku/>
        <w:wordWrap/>
        <w:overflowPunct/>
        <w:topLinePunct w:val="0"/>
        <w:autoSpaceDE/>
        <w:autoSpaceDN/>
        <w:bidi w:val="0"/>
        <w:spacing w:line="360" w:lineRule="auto"/>
        <w:ind w:firstLine="564" w:firstLineChars="200"/>
        <w:textAlignment w:val="auto"/>
        <w:outlineLvl w:val="2"/>
        <w:rPr>
          <w:b/>
          <w:color w:val="auto"/>
          <w:sz w:val="28"/>
          <w:szCs w:val="28"/>
          <w:highlight w:val="none"/>
        </w:rPr>
      </w:pPr>
      <w:bookmarkStart w:id="509" w:name="_Toc22427"/>
      <w:r>
        <w:rPr>
          <w:b/>
          <w:color w:val="auto"/>
          <w:sz w:val="28"/>
          <w:szCs w:val="28"/>
          <w:highlight w:val="none"/>
        </w:rPr>
        <w:t xml:space="preserve">4.1.7 </w:t>
      </w:r>
      <w:bookmarkEnd w:id="504"/>
      <w:bookmarkEnd w:id="507"/>
      <w:bookmarkEnd w:id="508"/>
      <w:r>
        <w:rPr>
          <w:b/>
          <w:color w:val="auto"/>
          <w:sz w:val="28"/>
          <w:szCs w:val="28"/>
          <w:highlight w:val="none"/>
        </w:rPr>
        <w:t>动植物及生物多样性</w:t>
      </w:r>
      <w:bookmarkEnd w:id="509"/>
    </w:p>
    <w:p>
      <w:pPr>
        <w:spacing w:line="360" w:lineRule="auto"/>
        <w:ind w:firstLine="484" w:firstLineChars="200"/>
        <w:rPr>
          <w:color w:val="auto"/>
          <w:sz w:val="24"/>
          <w:highlight w:val="none"/>
        </w:rPr>
      </w:pPr>
      <w:bookmarkStart w:id="510" w:name="_Toc15907948"/>
      <w:bookmarkStart w:id="511" w:name="_Toc24106"/>
      <w:bookmarkStart w:id="512" w:name="_Toc12798"/>
      <w:r>
        <w:rPr>
          <w:color w:val="auto"/>
          <w:sz w:val="24"/>
          <w:highlight w:val="none"/>
        </w:rPr>
        <w:t>寻甸县原来生物资源较多，境内的地带植被属于亚热带半湿润常绿阔叶林以及次生的云南松林类型。由于历史原因和人类活动的影响，原存植被保存已较少，现代植被为次生叶林、灌木。</w:t>
      </w:r>
    </w:p>
    <w:p>
      <w:pPr>
        <w:keepNext w:val="0"/>
        <w:keepLines w:val="0"/>
        <w:pageBreakBefore w:val="0"/>
        <w:widowControl w:val="0"/>
        <w:kinsoku/>
        <w:wordWrap/>
        <w:overflowPunct/>
        <w:topLinePunct w:val="0"/>
        <w:autoSpaceDE/>
        <w:autoSpaceDN/>
        <w:bidi w:val="0"/>
        <w:spacing w:line="360" w:lineRule="auto"/>
        <w:ind w:firstLine="484" w:firstLineChars="200"/>
        <w:textAlignment w:val="auto"/>
        <w:rPr>
          <w:color w:val="auto"/>
          <w:sz w:val="24"/>
          <w:highlight w:val="none"/>
        </w:rPr>
      </w:pPr>
      <w:r>
        <w:rPr>
          <w:color w:val="auto"/>
          <w:sz w:val="24"/>
          <w:highlight w:val="none"/>
        </w:rPr>
        <w:t>县境内森林以天然森林为主，占森林面积的96.5%，常见的林木类型为华山松林—云南松林，云南油杉—云南松林，</w:t>
      </w:r>
      <w:r>
        <w:rPr>
          <w:rFonts w:hint="eastAsia"/>
          <w:color w:val="auto"/>
          <w:sz w:val="24"/>
          <w:highlight w:val="none"/>
          <w:lang w:eastAsia="zh-CN"/>
        </w:rPr>
        <w:t>杉木</w:t>
      </w:r>
      <w:r>
        <w:rPr>
          <w:color w:val="auto"/>
          <w:sz w:val="24"/>
          <w:highlight w:val="none"/>
        </w:rPr>
        <w:t>—云南松林，麻栎、栓皮栎—云南松林，黄毛青冈—云南松林，灌木—云南松林等针叶和针阔混交林，森林覆盖率为41.6%。其中常见的灌木有金丝桃、地盘松、矮杨梅、木姜子、山茶、悬钩子、坡柳、余甘子、厚皮香、牛筋条、乌饭、多种杜鹃、鸡脚黄连等，野生灌果类有中华猕猴桃、滇杨梅、鸡嗦子、橄榄、火把果等，在乔木和灌木下有各种草类、蕨类植物和菌类。牧草地有天然草场和改良草场、人工草场三类。其中20万亩以上草场分布在功山、凤仪一带，20万亩草场分布在倘甸、河口、柯渡镇一带。主要草种有刺芒、野古草、画眉草、尽草、狗牙草等，人工草场有红三叶、白三叶、黑麦草等类。</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4" w:firstLineChars="200"/>
        <w:jc w:val="both"/>
        <w:textAlignment w:val="auto"/>
        <w:rPr>
          <w:color w:val="auto"/>
          <w:sz w:val="24"/>
          <w:highlight w:val="none"/>
        </w:rPr>
      </w:pPr>
      <w:r>
        <w:rPr>
          <w:rFonts w:hint="eastAsia"/>
          <w:color w:val="auto"/>
          <w:sz w:val="24"/>
          <w:highlight w:val="none"/>
          <w:lang w:val="en-US" w:eastAsia="zh-CN"/>
        </w:rPr>
        <w:t>根据现场踏勘，</w:t>
      </w:r>
      <w:r>
        <w:rPr>
          <w:rFonts w:hint="default" w:ascii="Times New Roman" w:hAnsi="Times New Roman" w:cs="Times New Roman"/>
          <w:color w:val="auto"/>
          <w:sz w:val="24"/>
          <w:highlight w:val="none"/>
        </w:rPr>
        <w:t>项目区周边主要为人工绿化植被。项目区域内由于人类活动频繁，动物为常见种，主要有麻雀、老鼠等。用地范围内及用地周边无国家和省级珍稀、濒危生物物种分布。项目用地范围内有少量鸟类及啮齿类动物活动，无国家珍稀濒危保护物种、国家重点保护野生植物和云南省级重点保护动物，也没有发现特有种类存在。</w:t>
      </w:r>
    </w:p>
    <w:p>
      <w:pPr>
        <w:spacing w:line="360" w:lineRule="auto"/>
        <w:outlineLvl w:val="2"/>
        <w:rPr>
          <w:b/>
          <w:color w:val="auto"/>
          <w:sz w:val="28"/>
          <w:szCs w:val="28"/>
          <w:highlight w:val="none"/>
        </w:rPr>
      </w:pPr>
      <w:bookmarkStart w:id="513" w:name="_Toc4945"/>
      <w:r>
        <w:rPr>
          <w:b/>
          <w:color w:val="auto"/>
          <w:sz w:val="28"/>
          <w:szCs w:val="28"/>
          <w:highlight w:val="none"/>
        </w:rPr>
        <w:t>4.1.8 土壤</w:t>
      </w:r>
      <w:bookmarkEnd w:id="510"/>
      <w:bookmarkEnd w:id="511"/>
      <w:bookmarkEnd w:id="512"/>
      <w:bookmarkEnd w:id="513"/>
    </w:p>
    <w:p>
      <w:pPr>
        <w:spacing w:line="360" w:lineRule="auto"/>
        <w:ind w:firstLine="484" w:firstLineChars="200"/>
        <w:rPr>
          <w:color w:val="auto"/>
          <w:sz w:val="24"/>
          <w:highlight w:val="none"/>
        </w:rPr>
      </w:pPr>
      <w:bookmarkStart w:id="514" w:name="_Toc15907952"/>
      <w:bookmarkStart w:id="515" w:name="_Toc14042"/>
      <w:bookmarkStart w:id="516" w:name="_Toc11781"/>
      <w:r>
        <w:rPr>
          <w:color w:val="auto"/>
          <w:sz w:val="24"/>
          <w:highlight w:val="none"/>
        </w:rPr>
        <w:t>寻甸县属于华南亚热带森林土壤区，常绿阔叶林红壤和砖红壤化地带的滇东高原砖红化壤县，全县土壤分为10个土类，15个亚类，36个土属，96个土种。土壤主要类型有亚高山草甸土，面积2.11万亩，占总面积的0.43%；暗棕壤，面积1.38万亩，占总面积的0.3%；棕壤，面积44.45万亩，占总面积的9.12%；黄棕壤，面积47.57万亩，占总面积的9.76%；红壤，面积338.51万亩，占总面积的69.4%；冲积土，面积3.31万亩，占总面积的0.68%；紫色土，面积27.79万亩，占总面积的5.7%；水稻土，面积22.09万亩，占总面积的4.53%。</w:t>
      </w:r>
    </w:p>
    <w:p>
      <w:pPr>
        <w:spacing w:line="360" w:lineRule="auto"/>
        <w:ind w:firstLine="480"/>
        <w:rPr>
          <w:color w:val="auto"/>
          <w:sz w:val="24"/>
          <w:highlight w:val="none"/>
        </w:rPr>
      </w:pPr>
      <w:r>
        <w:rPr>
          <w:color w:val="auto"/>
          <w:sz w:val="24"/>
          <w:highlight w:val="none"/>
        </w:rPr>
        <w:t>根据现场调查，项目区土壤主要为</w:t>
      </w:r>
      <w:r>
        <w:rPr>
          <w:rFonts w:hint="eastAsia"/>
          <w:color w:val="auto"/>
          <w:sz w:val="24"/>
          <w:highlight w:val="none"/>
          <w:lang w:val="en-US" w:eastAsia="zh-CN"/>
        </w:rPr>
        <w:t>水稻土</w:t>
      </w:r>
      <w:r>
        <w:rPr>
          <w:color w:val="auto"/>
          <w:sz w:val="24"/>
          <w:highlight w:val="none"/>
        </w:rPr>
        <w:t>。</w:t>
      </w:r>
    </w:p>
    <w:p>
      <w:pPr>
        <w:spacing w:line="360" w:lineRule="auto"/>
        <w:outlineLvl w:val="1"/>
        <w:rPr>
          <w:b/>
          <w:color w:val="auto"/>
          <w:sz w:val="30"/>
          <w:szCs w:val="30"/>
          <w:highlight w:val="none"/>
        </w:rPr>
      </w:pPr>
      <w:bookmarkStart w:id="517" w:name="_Toc23807"/>
      <w:r>
        <w:rPr>
          <w:b/>
          <w:color w:val="auto"/>
          <w:sz w:val="30"/>
          <w:szCs w:val="30"/>
          <w:highlight w:val="none"/>
        </w:rPr>
        <w:t>4.2环境</w:t>
      </w:r>
      <w:bookmarkEnd w:id="514"/>
      <w:r>
        <w:rPr>
          <w:b/>
          <w:color w:val="auto"/>
          <w:sz w:val="30"/>
          <w:szCs w:val="30"/>
          <w:highlight w:val="none"/>
        </w:rPr>
        <w:t>现状调查与评价</w:t>
      </w:r>
      <w:bookmarkEnd w:id="515"/>
      <w:bookmarkEnd w:id="516"/>
      <w:bookmarkEnd w:id="517"/>
    </w:p>
    <w:p>
      <w:pPr>
        <w:spacing w:line="360" w:lineRule="auto"/>
        <w:outlineLvl w:val="2"/>
        <w:rPr>
          <w:b/>
          <w:color w:val="auto"/>
          <w:sz w:val="28"/>
          <w:szCs w:val="28"/>
          <w:highlight w:val="none"/>
        </w:rPr>
      </w:pPr>
      <w:bookmarkStart w:id="518" w:name="_Toc13170"/>
      <w:bookmarkStart w:id="519" w:name="_Toc14126"/>
      <w:bookmarkStart w:id="520" w:name="_Toc6773"/>
      <w:bookmarkStart w:id="521" w:name="_Toc15907953"/>
      <w:r>
        <w:rPr>
          <w:b/>
          <w:color w:val="auto"/>
          <w:sz w:val="28"/>
          <w:szCs w:val="28"/>
          <w:highlight w:val="none"/>
        </w:rPr>
        <w:t>4.2.1 环境空气质量现状</w:t>
      </w:r>
      <w:bookmarkEnd w:id="518"/>
      <w:bookmarkEnd w:id="519"/>
      <w:bookmarkEnd w:id="520"/>
      <w:bookmarkEnd w:id="521"/>
    </w:p>
    <w:p>
      <w:pPr>
        <w:pStyle w:val="21"/>
        <w:spacing w:after="0" w:line="360" w:lineRule="auto"/>
        <w:ind w:firstLine="482"/>
        <w:rPr>
          <w:b/>
          <w:bCs/>
          <w:color w:val="auto"/>
          <w:sz w:val="24"/>
          <w:highlight w:val="none"/>
        </w:rPr>
      </w:pPr>
      <w:r>
        <w:rPr>
          <w:b/>
          <w:bCs/>
          <w:color w:val="auto"/>
          <w:sz w:val="24"/>
          <w:highlight w:val="none"/>
        </w:rPr>
        <w:t>（1）基本污染物环境质量现状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根据《环境影响评价技术导则大气环境》(HJ2.2-2018)，项目所在区域达标区的判定，优先采用国家或地方生态环境主管部门公开发布的评价基准年环境质量公告或环境质量报告中的数据或结论。</w:t>
      </w:r>
      <w:r>
        <w:rPr>
          <w:rFonts w:hint="default" w:ascii="Times New Roman" w:hAnsi="Times New Roman" w:eastAsia="宋体" w:cs="Times New Roman"/>
          <w:color w:val="auto"/>
          <w:sz w:val="24"/>
          <w:szCs w:val="24"/>
          <w:highlight w:val="none"/>
          <w:lang w:val="en-US" w:eastAsia="zh-CN"/>
        </w:rPr>
        <w:t>根据《2022年昆明市生态环境状况公报》，</w:t>
      </w:r>
      <w:r>
        <w:rPr>
          <w:rFonts w:hint="eastAsia" w:ascii="Times New Roman" w:hAnsi="Times New Roman" w:eastAsia="宋体" w:cs="Times New Roman"/>
          <w:color w:val="auto"/>
          <w:sz w:val="24"/>
          <w:szCs w:val="24"/>
          <w:highlight w:val="none"/>
          <w:lang w:val="en-US" w:eastAsia="zh-CN"/>
        </w:rPr>
        <w:t>昆明市主城区环境空气优良率达100%，其中优246天、良119天。与2021年相比，优级天数增加37天，环境空气污染综合指数降低13.68%，空气质量大幅度改善。</w:t>
      </w:r>
      <w:r>
        <w:rPr>
          <w:rFonts w:hint="default" w:ascii="Times New Roman" w:hAnsi="Times New Roman" w:eastAsia="宋体" w:cs="Times New Roman"/>
          <w:color w:val="auto"/>
          <w:sz w:val="24"/>
          <w:szCs w:val="24"/>
          <w:highlight w:val="none"/>
          <w:lang w:val="en-US" w:eastAsia="zh-CN"/>
        </w:rPr>
        <w:t>各县(市)区环境空气质量总体保持良好。与2021年相比，安宁市、禄劝县、石林县、嵩明县、富民县、宜良县、寻甸县环境空气综合污染指数有所下降，东川区环境空气综合污染指数有所上升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4"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根据寻甸县人民政府发布的《202</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年寻甸县监测站空气质量1-1</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月月报》，对寻甸县环境空气质量达标情况进行分析。统计分析结果见下表</w:t>
      </w:r>
      <w:r>
        <w:rPr>
          <w:rFonts w:hint="eastAsia" w:ascii="Times New Roman" w:hAnsi="Times New Roman" w:eastAsia="宋体" w:cs="Times New Roman"/>
          <w:color w:val="auto"/>
          <w:sz w:val="24"/>
          <w:szCs w:val="24"/>
          <w:highlight w:val="none"/>
          <w:lang w:val="en-US" w:eastAsia="zh-CN"/>
        </w:rPr>
        <w:t>4.2</w:t>
      </w:r>
      <w:r>
        <w:rPr>
          <w:rFonts w:hint="eastAsia" w:ascii="Times New Roman" w:hAnsi="Times New Roman" w:eastAsia="宋体" w:cs="Times New Roman"/>
          <w:color w:val="auto"/>
          <w:sz w:val="24"/>
          <w:szCs w:val="24"/>
          <w:highlight w:val="none"/>
        </w:rPr>
        <w:t>-1。</w:t>
      </w:r>
    </w:p>
    <w:p>
      <w:pPr>
        <w:pStyle w:val="349"/>
        <w:tabs>
          <w:tab w:val="left" w:pos="360"/>
        </w:tabs>
        <w:adjustRightInd w:val="0"/>
        <w:snapToGrid w:val="0"/>
        <w:spacing w:before="0" w:beforeLines="0" w:after="0" w:afterLines="0" w:line="360" w:lineRule="auto"/>
        <w:rPr>
          <w:color w:val="auto"/>
          <w:sz w:val="24"/>
          <w:szCs w:val="24"/>
          <w:highlight w:val="none"/>
        </w:rPr>
      </w:pPr>
      <w:r>
        <w:rPr>
          <w:color w:val="auto"/>
          <w:sz w:val="24"/>
          <w:szCs w:val="24"/>
          <w:highlight w:val="none"/>
        </w:rPr>
        <w:t>表</w:t>
      </w:r>
      <w:r>
        <w:rPr>
          <w:rFonts w:hint="eastAsia"/>
          <w:color w:val="auto"/>
          <w:sz w:val="24"/>
          <w:szCs w:val="24"/>
          <w:highlight w:val="none"/>
          <w:lang w:val="en-US" w:eastAsia="zh-CN"/>
        </w:rPr>
        <w:t>4.2-1</w:t>
      </w:r>
      <w:r>
        <w:rPr>
          <w:color w:val="auto"/>
          <w:sz w:val="24"/>
          <w:szCs w:val="24"/>
          <w:highlight w:val="none"/>
        </w:rPr>
        <w:t xml:space="preserve">   环境空气质量标准</w:t>
      </w:r>
    </w:p>
    <w:tbl>
      <w:tblPr>
        <w:tblStyle w:val="55"/>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314"/>
        <w:gridCol w:w="1255"/>
        <w:gridCol w:w="1255"/>
        <w:gridCol w:w="1193"/>
        <w:gridCol w:w="1070"/>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Cs w:val="21"/>
                <w:highlight w:val="none"/>
              </w:rPr>
            </w:pPr>
            <w:r>
              <w:rPr>
                <w:rFonts w:hint="default" w:ascii="Times New Roman" w:hAnsi="Times New Roman"/>
                <w:b/>
                <w:bCs/>
                <w:color w:val="auto"/>
                <w:szCs w:val="21"/>
                <w:highlight w:val="none"/>
              </w:rPr>
              <w:t>污染物</w:t>
            </w: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Cs w:val="21"/>
                <w:highlight w:val="none"/>
              </w:rPr>
            </w:pPr>
            <w:r>
              <w:rPr>
                <w:rFonts w:hint="default" w:ascii="Times New Roman" w:hAnsi="Times New Roman"/>
                <w:b/>
                <w:bCs/>
                <w:color w:val="auto"/>
                <w:szCs w:val="21"/>
                <w:highlight w:val="none"/>
              </w:rPr>
              <w:t>评价指标</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Cs w:val="21"/>
                <w:highlight w:val="none"/>
              </w:rPr>
            </w:pPr>
            <w:r>
              <w:rPr>
                <w:rFonts w:hint="default" w:ascii="Times New Roman" w:hAnsi="Times New Roman"/>
                <w:b/>
                <w:bCs/>
                <w:color w:val="auto"/>
                <w:szCs w:val="21"/>
                <w:highlight w:val="none"/>
              </w:rPr>
              <w:t>现状浓度（μg/m</w:t>
            </w:r>
            <w:r>
              <w:rPr>
                <w:rFonts w:hint="default" w:ascii="Times New Roman" w:hAnsi="Times New Roman"/>
                <w:b/>
                <w:bCs/>
                <w:color w:val="auto"/>
                <w:szCs w:val="21"/>
                <w:highlight w:val="none"/>
                <w:vertAlign w:val="superscript"/>
              </w:rPr>
              <w:t>3</w:t>
            </w:r>
            <w:r>
              <w:rPr>
                <w:rFonts w:hint="default" w:ascii="Times New Roman" w:hAnsi="Times New Roman"/>
                <w:b/>
                <w:bCs/>
                <w:color w:val="auto"/>
                <w:szCs w:val="21"/>
                <w:highlight w:val="none"/>
              </w:rPr>
              <w:t>）</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Cs w:val="21"/>
                <w:highlight w:val="none"/>
              </w:rPr>
            </w:pPr>
            <w:r>
              <w:rPr>
                <w:rFonts w:hint="default" w:ascii="Times New Roman" w:hAnsi="Times New Roman"/>
                <w:b/>
                <w:bCs/>
                <w:color w:val="auto"/>
                <w:szCs w:val="21"/>
                <w:highlight w:val="none"/>
              </w:rPr>
              <w:t>评价标准（μg/m</w:t>
            </w:r>
            <w:r>
              <w:rPr>
                <w:rFonts w:hint="default" w:ascii="Times New Roman" w:hAnsi="Times New Roman"/>
                <w:b/>
                <w:bCs/>
                <w:color w:val="auto"/>
                <w:szCs w:val="21"/>
                <w:highlight w:val="none"/>
                <w:vertAlign w:val="superscript"/>
              </w:rPr>
              <w:t>3</w:t>
            </w:r>
            <w:r>
              <w:rPr>
                <w:rFonts w:hint="default" w:ascii="Times New Roman" w:hAnsi="Times New Roman"/>
                <w:b/>
                <w:bCs/>
                <w:color w:val="auto"/>
                <w:szCs w:val="21"/>
                <w:highlight w:val="none"/>
              </w:rPr>
              <w:t>）</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Cs w:val="21"/>
                <w:highlight w:val="none"/>
              </w:rPr>
            </w:pPr>
            <w:r>
              <w:rPr>
                <w:rFonts w:hint="default" w:ascii="Times New Roman" w:hAnsi="Times New Roman"/>
                <w:b/>
                <w:bCs/>
                <w:color w:val="auto"/>
                <w:szCs w:val="21"/>
                <w:highlight w:val="none"/>
              </w:rPr>
              <w:t>浓度占标率（%）</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Cs w:val="21"/>
                <w:highlight w:val="none"/>
              </w:rPr>
            </w:pPr>
            <w:r>
              <w:rPr>
                <w:rFonts w:hint="default" w:ascii="Times New Roman" w:hAnsi="Times New Roman"/>
                <w:b/>
                <w:bCs/>
                <w:color w:val="auto"/>
                <w:szCs w:val="21"/>
                <w:highlight w:val="none"/>
              </w:rPr>
              <w:t>超标频率（%）</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Cs w:val="21"/>
                <w:highlight w:val="none"/>
              </w:rPr>
            </w:pPr>
            <w:r>
              <w:rPr>
                <w:rFonts w:hint="default" w:ascii="Times New Roman" w:hAnsi="Times New Roman"/>
                <w:b/>
                <w:bCs/>
                <w:color w:val="auto"/>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SO</w:t>
            </w:r>
            <w:r>
              <w:rPr>
                <w:rFonts w:hint="default" w:ascii="Times New Roman" w:hAnsi="Times New Roman"/>
                <w:color w:val="auto"/>
                <w:szCs w:val="21"/>
                <w:highlight w:val="none"/>
                <w:vertAlign w:val="subscript"/>
              </w:rPr>
              <w:t>2</w:t>
            </w: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24小时平均第98位百分数</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9</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150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6</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olor w:val="auto"/>
                <w:szCs w:val="21"/>
                <w:highlight w:val="none"/>
              </w:rPr>
            </w:pP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年平均质量浓度</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7.636</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60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12.726</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NO</w:t>
            </w:r>
            <w:r>
              <w:rPr>
                <w:rFonts w:hint="default" w:ascii="Times New Roman" w:hAnsi="Times New Roman"/>
                <w:color w:val="auto"/>
                <w:szCs w:val="21"/>
                <w:highlight w:val="none"/>
                <w:vertAlign w:val="subscript"/>
              </w:rPr>
              <w:t>2</w:t>
            </w: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24小时平均第98位百分数</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20</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80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25</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olor w:val="auto"/>
                <w:szCs w:val="21"/>
                <w:highlight w:val="none"/>
              </w:rPr>
            </w:pP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年平均质量浓度</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12.36</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40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30.9</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PM</w:t>
            </w:r>
            <w:r>
              <w:rPr>
                <w:rFonts w:hint="default" w:ascii="Times New Roman" w:hAnsi="Times New Roman"/>
                <w:color w:val="auto"/>
                <w:szCs w:val="21"/>
                <w:highlight w:val="none"/>
                <w:vertAlign w:val="subscript"/>
              </w:rPr>
              <w:t>10</w:t>
            </w: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24小时平均第95位百分数</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34</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150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22.67</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olor w:val="auto"/>
                <w:szCs w:val="21"/>
                <w:highlight w:val="none"/>
              </w:rPr>
            </w:pP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年平均质量浓度</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31.636</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70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45.19</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PM</w:t>
            </w:r>
            <w:r>
              <w:rPr>
                <w:rFonts w:hint="default" w:ascii="Times New Roman" w:hAnsi="Times New Roman"/>
                <w:color w:val="auto"/>
                <w:szCs w:val="21"/>
                <w:highlight w:val="none"/>
                <w:vertAlign w:val="subscript"/>
              </w:rPr>
              <w:t>2.5</w:t>
            </w: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24小时平均第95位百分数</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14</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75</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18.67</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olor w:val="auto"/>
                <w:szCs w:val="21"/>
                <w:highlight w:val="none"/>
              </w:rPr>
            </w:pP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年平均质量浓度</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eastAsia" w:ascii="Times New Roman" w:hAnsi="Times New Roman"/>
                <w:color w:val="auto"/>
                <w:szCs w:val="21"/>
                <w:highlight w:val="none"/>
                <w:lang w:val="en-US" w:eastAsia="zh-CN"/>
              </w:rPr>
              <w:t>17.545</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35</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50.128</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CO</w:t>
            </w: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24小时平均第95位百分数</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eastAsia" w:ascii="Times New Roman" w:hAnsi="Times New Roman"/>
                <w:color w:val="auto"/>
                <w:szCs w:val="21"/>
                <w:highlight w:val="none"/>
                <w:lang w:val="en-US" w:eastAsia="zh-CN"/>
              </w:rPr>
              <w:t>0.8</w:t>
            </w:r>
            <w:r>
              <w:rPr>
                <w:rFonts w:hint="default" w:ascii="Times New Roman" w:hAnsi="Times New Roman"/>
                <w:color w:val="auto"/>
                <w:szCs w:val="21"/>
                <w:highlight w:val="none"/>
              </w:rPr>
              <w:t>mg/m</w:t>
            </w:r>
            <w:r>
              <w:rPr>
                <w:rFonts w:hint="default" w:ascii="Times New Roman" w:hAnsi="Times New Roman"/>
                <w:color w:val="auto"/>
                <w:szCs w:val="21"/>
                <w:highlight w:val="none"/>
                <w:vertAlign w:val="superscript"/>
              </w:rPr>
              <w:t>3</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4mg/m</w:t>
            </w:r>
            <w:r>
              <w:rPr>
                <w:rFonts w:hint="default" w:ascii="Times New Roman" w:hAnsi="Times New Roman"/>
                <w:color w:val="auto"/>
                <w:szCs w:val="21"/>
                <w:highlight w:val="none"/>
                <w:vertAlign w:val="superscript"/>
              </w:rPr>
              <w:t>3</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20</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olor w:val="auto"/>
                <w:szCs w:val="21"/>
                <w:highlight w:val="none"/>
              </w:rPr>
            </w:pP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年平均质量浓度</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0.7</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O</w:t>
            </w:r>
            <w:r>
              <w:rPr>
                <w:rFonts w:hint="default" w:ascii="Times New Roman" w:hAnsi="Times New Roman"/>
                <w:color w:val="auto"/>
                <w:szCs w:val="21"/>
                <w:highlight w:val="none"/>
                <w:vertAlign w:val="subscript"/>
              </w:rPr>
              <w:t>3</w:t>
            </w: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日最大8小时滑动平均值的第90位百分数</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53</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200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26.5</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olor w:val="auto"/>
                <w:szCs w:val="21"/>
                <w:highlight w:val="none"/>
              </w:rPr>
            </w:pPr>
          </w:p>
        </w:tc>
        <w:tc>
          <w:tcPr>
            <w:tcW w:w="231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年均最大8小时滑动平均</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eastAsia" w:ascii="Times New Roman" w:hAnsi="Times New Roman"/>
                <w:color w:val="auto"/>
                <w:szCs w:val="21"/>
                <w:highlight w:val="none"/>
                <w:lang w:val="en-US" w:eastAsia="zh-CN"/>
              </w:rPr>
              <w:t>75.909</w:t>
            </w:r>
          </w:p>
        </w:tc>
        <w:tc>
          <w:tcPr>
            <w:tcW w:w="125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160</w:t>
            </w:r>
          </w:p>
        </w:tc>
        <w:tc>
          <w:tcPr>
            <w:tcW w:w="119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47.44</w:t>
            </w:r>
          </w:p>
        </w:tc>
        <w:tc>
          <w:tcPr>
            <w:tcW w:w="107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0</w:t>
            </w:r>
          </w:p>
        </w:tc>
        <w:tc>
          <w:tcPr>
            <w:tcW w:w="70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highlight w:val="none"/>
              </w:rPr>
            </w:pPr>
            <w:r>
              <w:rPr>
                <w:rFonts w:hint="default" w:ascii="Times New Roman" w:hAnsi="Times New Roman"/>
                <w:color w:val="auto"/>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0"/>
          <w:sz w:val="24"/>
          <w:szCs w:val="24"/>
          <w:highlight w:val="none"/>
        </w:rPr>
        <w:t>根据上表，项目区SO</w:t>
      </w:r>
      <w:r>
        <w:rPr>
          <w:rFonts w:hint="default" w:ascii="Times New Roman" w:hAnsi="Times New Roman" w:cs="Times New Roman"/>
          <w:color w:val="auto"/>
          <w:kern w:val="0"/>
          <w:sz w:val="24"/>
          <w:szCs w:val="24"/>
          <w:highlight w:val="none"/>
          <w:vertAlign w:val="subscript"/>
        </w:rPr>
        <w:t>2</w:t>
      </w:r>
      <w:r>
        <w:rPr>
          <w:rFonts w:hint="default" w:ascii="Times New Roman" w:hAnsi="Times New Roman" w:cs="Times New Roman"/>
          <w:color w:val="auto"/>
          <w:kern w:val="0"/>
          <w:sz w:val="24"/>
          <w:szCs w:val="24"/>
          <w:highlight w:val="none"/>
        </w:rPr>
        <w:t>24h平均第98位百分数浓度为</w:t>
      </w:r>
      <w:r>
        <w:rPr>
          <w:rFonts w:hint="eastAsia" w:ascii="Times New Roman" w:hAnsi="Times New Roman" w:cs="Times New Roman"/>
          <w:color w:val="auto"/>
          <w:kern w:val="0"/>
          <w:sz w:val="24"/>
          <w:szCs w:val="24"/>
          <w:highlight w:val="none"/>
          <w:lang w:val="en-US" w:eastAsia="zh-CN"/>
        </w:rPr>
        <w:t>9</w:t>
      </w:r>
      <w:r>
        <w:rPr>
          <w:rFonts w:hint="default" w:ascii="Times New Roman" w:hAnsi="Times New Roman" w:cs="Times New Roman"/>
          <w:color w:val="auto"/>
          <w:kern w:val="0"/>
          <w:sz w:val="24"/>
          <w:szCs w:val="24"/>
          <w:highlight w:val="none"/>
        </w:rPr>
        <w:t>μg/m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，NO</w:t>
      </w:r>
      <w:r>
        <w:rPr>
          <w:rFonts w:hint="default" w:ascii="Times New Roman" w:hAnsi="Times New Roman" w:cs="Times New Roman"/>
          <w:color w:val="auto"/>
          <w:kern w:val="0"/>
          <w:sz w:val="24"/>
          <w:szCs w:val="24"/>
          <w:highlight w:val="none"/>
          <w:vertAlign w:val="subscript"/>
        </w:rPr>
        <w:t>2</w:t>
      </w:r>
      <w:r>
        <w:rPr>
          <w:rFonts w:hint="default" w:ascii="Times New Roman" w:hAnsi="Times New Roman" w:cs="Times New Roman"/>
          <w:color w:val="auto"/>
          <w:kern w:val="0"/>
          <w:sz w:val="24"/>
          <w:szCs w:val="24"/>
          <w:highlight w:val="none"/>
        </w:rPr>
        <w:t>24h平均第98位百分数浓度为</w:t>
      </w:r>
      <w:r>
        <w:rPr>
          <w:rFonts w:hint="eastAsia" w:ascii="Times New Roman" w:hAnsi="Times New Roman" w:cs="Times New Roman"/>
          <w:color w:val="auto"/>
          <w:kern w:val="0"/>
          <w:sz w:val="24"/>
          <w:szCs w:val="24"/>
          <w:highlight w:val="none"/>
          <w:lang w:val="en-US" w:eastAsia="zh-CN"/>
        </w:rPr>
        <w:t>20</w:t>
      </w:r>
      <w:r>
        <w:rPr>
          <w:rFonts w:hint="default" w:ascii="Times New Roman" w:hAnsi="Times New Roman" w:cs="Times New Roman"/>
          <w:color w:val="auto"/>
          <w:kern w:val="0"/>
          <w:sz w:val="24"/>
          <w:szCs w:val="24"/>
          <w:highlight w:val="none"/>
        </w:rPr>
        <w:t>μg/m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，PM</w:t>
      </w:r>
      <w:r>
        <w:rPr>
          <w:rFonts w:hint="default" w:ascii="Times New Roman" w:hAnsi="Times New Roman" w:cs="Times New Roman"/>
          <w:color w:val="auto"/>
          <w:kern w:val="0"/>
          <w:sz w:val="24"/>
          <w:szCs w:val="24"/>
          <w:highlight w:val="none"/>
          <w:vertAlign w:val="subscript"/>
        </w:rPr>
        <w:t>10</w:t>
      </w:r>
      <w:r>
        <w:rPr>
          <w:rFonts w:hint="default" w:ascii="Times New Roman" w:hAnsi="Times New Roman" w:cs="Times New Roman"/>
          <w:color w:val="auto"/>
          <w:kern w:val="0"/>
          <w:sz w:val="24"/>
          <w:szCs w:val="24"/>
          <w:highlight w:val="none"/>
        </w:rPr>
        <w:t>24h平均第95位百分数浓度为</w:t>
      </w:r>
      <w:r>
        <w:rPr>
          <w:rFonts w:hint="eastAsia" w:ascii="Times New Roman" w:hAnsi="Times New Roman" w:cs="Times New Roman"/>
          <w:color w:val="auto"/>
          <w:kern w:val="0"/>
          <w:sz w:val="24"/>
          <w:szCs w:val="24"/>
          <w:highlight w:val="none"/>
          <w:lang w:val="en-US" w:eastAsia="zh-CN"/>
        </w:rPr>
        <w:t>34</w:t>
      </w:r>
      <w:r>
        <w:rPr>
          <w:rFonts w:hint="default" w:ascii="Times New Roman" w:hAnsi="Times New Roman" w:cs="Times New Roman"/>
          <w:color w:val="auto"/>
          <w:kern w:val="0"/>
          <w:sz w:val="24"/>
          <w:szCs w:val="24"/>
          <w:highlight w:val="none"/>
        </w:rPr>
        <w:t>μg/m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，PM</w:t>
      </w:r>
      <w:r>
        <w:rPr>
          <w:rFonts w:hint="default" w:ascii="Times New Roman" w:hAnsi="Times New Roman" w:cs="Times New Roman"/>
          <w:color w:val="auto"/>
          <w:kern w:val="0"/>
          <w:sz w:val="24"/>
          <w:szCs w:val="24"/>
          <w:highlight w:val="none"/>
          <w:vertAlign w:val="subscript"/>
        </w:rPr>
        <w:t>2.5</w:t>
      </w:r>
      <w:r>
        <w:rPr>
          <w:rFonts w:hint="default" w:ascii="Times New Roman" w:hAnsi="Times New Roman" w:cs="Times New Roman"/>
          <w:color w:val="auto"/>
          <w:kern w:val="0"/>
          <w:sz w:val="24"/>
          <w:szCs w:val="24"/>
          <w:highlight w:val="none"/>
        </w:rPr>
        <w:t>24h平均第95位百分数浓度为</w:t>
      </w:r>
      <w:r>
        <w:rPr>
          <w:rFonts w:hint="eastAsia" w:ascii="Times New Roman" w:hAnsi="Times New Roman" w:cs="Times New Roman"/>
          <w:color w:val="auto"/>
          <w:kern w:val="0"/>
          <w:sz w:val="24"/>
          <w:szCs w:val="24"/>
          <w:highlight w:val="none"/>
          <w:lang w:val="en-US" w:eastAsia="zh-CN"/>
        </w:rPr>
        <w:t>14</w:t>
      </w:r>
      <w:r>
        <w:rPr>
          <w:rFonts w:hint="default" w:ascii="Times New Roman" w:hAnsi="Times New Roman" w:cs="Times New Roman"/>
          <w:color w:val="auto"/>
          <w:kern w:val="0"/>
          <w:sz w:val="24"/>
          <w:szCs w:val="24"/>
          <w:highlight w:val="none"/>
        </w:rPr>
        <w:t>μg/m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，CO24h平均第95位百分数浓度为</w:t>
      </w:r>
      <w:r>
        <w:rPr>
          <w:rFonts w:hint="eastAsia" w:ascii="Times New Roman" w:hAnsi="Times New Roman" w:cs="Times New Roman"/>
          <w:color w:val="auto"/>
          <w:kern w:val="0"/>
          <w:sz w:val="24"/>
          <w:szCs w:val="24"/>
          <w:highlight w:val="none"/>
          <w:lang w:val="en-US" w:eastAsia="zh-CN"/>
        </w:rPr>
        <w:t>0.8</w:t>
      </w:r>
      <w:r>
        <w:rPr>
          <w:rFonts w:hint="default" w:ascii="Times New Roman" w:hAnsi="Times New Roman" w:cs="Times New Roman"/>
          <w:color w:val="auto"/>
          <w:kern w:val="0"/>
          <w:sz w:val="24"/>
          <w:szCs w:val="24"/>
          <w:highlight w:val="none"/>
        </w:rPr>
        <w:t>0mg/m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，O</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color w:val="auto"/>
          <w:kern w:val="0"/>
          <w:sz w:val="24"/>
          <w:szCs w:val="24"/>
          <w:highlight w:val="none"/>
        </w:rPr>
        <w:t>日最大8h滑动平均值的第90位百分数浓度为</w:t>
      </w:r>
      <w:r>
        <w:rPr>
          <w:rFonts w:hint="eastAsia" w:ascii="Times New Roman" w:hAnsi="Times New Roman" w:cs="Times New Roman"/>
          <w:color w:val="auto"/>
          <w:kern w:val="0"/>
          <w:sz w:val="24"/>
          <w:szCs w:val="24"/>
          <w:highlight w:val="none"/>
          <w:lang w:val="en-US" w:eastAsia="zh-CN"/>
        </w:rPr>
        <w:t>53</w:t>
      </w:r>
      <w:r>
        <w:rPr>
          <w:rFonts w:hint="default" w:ascii="Times New Roman" w:hAnsi="Times New Roman" w:cs="Times New Roman"/>
          <w:color w:val="auto"/>
          <w:kern w:val="0"/>
          <w:sz w:val="24"/>
          <w:szCs w:val="24"/>
          <w:highlight w:val="none"/>
        </w:rPr>
        <w:t>μg/m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，均能满足《环境空气质量标准》（GB3095－2012）中二级标准要求。</w:t>
      </w:r>
    </w:p>
    <w:p>
      <w:pPr>
        <w:spacing w:line="360" w:lineRule="auto"/>
        <w:ind w:firstLine="482"/>
        <w:rPr>
          <w:b/>
          <w:bCs/>
          <w:color w:val="auto"/>
          <w:sz w:val="24"/>
          <w:highlight w:val="none"/>
        </w:rPr>
      </w:pPr>
      <w:r>
        <w:rPr>
          <w:b/>
          <w:bCs/>
          <w:color w:val="auto"/>
          <w:sz w:val="24"/>
          <w:highlight w:val="none"/>
        </w:rPr>
        <w:t>（2）环境空气质量状况补充监测</w:t>
      </w:r>
    </w:p>
    <w:p>
      <w:pPr>
        <w:adjustRightInd w:val="0"/>
        <w:snapToGrid w:val="0"/>
        <w:spacing w:line="360" w:lineRule="auto"/>
        <w:ind w:firstLine="484" w:firstLineChars="200"/>
        <w:rPr>
          <w:color w:val="auto"/>
          <w:sz w:val="24"/>
          <w:highlight w:val="none"/>
        </w:rPr>
      </w:pPr>
      <w:bookmarkStart w:id="522" w:name="_Toc20068"/>
      <w:bookmarkStart w:id="523" w:name="_Toc9959"/>
      <w:bookmarkStart w:id="524" w:name="_Toc15907955"/>
      <w:r>
        <w:rPr>
          <w:rFonts w:hint="eastAsia"/>
          <w:color w:val="auto"/>
          <w:sz w:val="24"/>
          <w:highlight w:val="none"/>
        </w:rPr>
        <w:t>根据工程分析，本项目特征污染物为挥发性有机废气、颗粒物，针对项目所在区域内T</w:t>
      </w:r>
      <w:r>
        <w:rPr>
          <w:color w:val="auto"/>
          <w:sz w:val="24"/>
          <w:highlight w:val="none"/>
        </w:rPr>
        <w:t>VOC</w:t>
      </w:r>
      <w:r>
        <w:rPr>
          <w:rFonts w:hint="eastAsia"/>
          <w:color w:val="auto"/>
          <w:sz w:val="24"/>
          <w:highlight w:val="none"/>
        </w:rPr>
        <w:t>、非甲烷总烃、颗粒物的环境质量现状，本次评价委托云南鼎祺检测有限公司对本项目大气特征因子T</w:t>
      </w:r>
      <w:r>
        <w:rPr>
          <w:color w:val="auto"/>
          <w:sz w:val="24"/>
          <w:highlight w:val="none"/>
        </w:rPr>
        <w:t>VOC</w:t>
      </w:r>
      <w:r>
        <w:rPr>
          <w:rFonts w:hint="eastAsia"/>
          <w:color w:val="auto"/>
          <w:sz w:val="24"/>
          <w:highlight w:val="none"/>
        </w:rPr>
        <w:t>、非甲烷总烃和TSP进行现状质量监测。</w:t>
      </w:r>
    </w:p>
    <w:p>
      <w:pPr>
        <w:adjustRightInd w:val="0"/>
        <w:snapToGrid w:val="0"/>
        <w:spacing w:line="360" w:lineRule="auto"/>
        <w:ind w:firstLine="484" w:firstLineChars="200"/>
        <w:rPr>
          <w:color w:val="auto"/>
          <w:sz w:val="24"/>
          <w:highlight w:val="none"/>
        </w:rPr>
      </w:pPr>
      <w:r>
        <w:rPr>
          <w:rFonts w:hint="eastAsia"/>
          <w:color w:val="auto"/>
          <w:sz w:val="24"/>
          <w:highlight w:val="none"/>
        </w:rPr>
        <w:t>（1）监测点位与监测项目</w:t>
      </w:r>
    </w:p>
    <w:p>
      <w:pPr>
        <w:adjustRightInd w:val="0"/>
        <w:snapToGrid w:val="0"/>
        <w:spacing w:line="360" w:lineRule="auto"/>
        <w:ind w:firstLine="484" w:firstLineChars="200"/>
        <w:rPr>
          <w:color w:val="auto"/>
          <w:sz w:val="24"/>
          <w:highlight w:val="none"/>
        </w:rPr>
      </w:pPr>
      <w:r>
        <w:rPr>
          <w:rFonts w:hint="eastAsia"/>
          <w:color w:val="auto"/>
          <w:sz w:val="24"/>
          <w:highlight w:val="none"/>
        </w:rPr>
        <w:t>监测点位：</w:t>
      </w:r>
      <w:r>
        <w:rPr>
          <w:bCs/>
          <w:color w:val="auto"/>
          <w:sz w:val="24"/>
          <w:highlight w:val="none"/>
        </w:rPr>
        <w:t>大气特征污染物环境质量现状监测布设2个监测点，</w:t>
      </w:r>
      <w:r>
        <w:rPr>
          <w:rFonts w:hint="eastAsia"/>
          <w:bCs/>
          <w:color w:val="auto"/>
          <w:sz w:val="24"/>
          <w:highlight w:val="none"/>
        </w:rPr>
        <w:t>1#：位于项目区内，2#：项目下风向</w:t>
      </w:r>
      <w:r>
        <w:rPr>
          <w:rFonts w:hint="eastAsia"/>
          <w:bCs/>
          <w:color w:val="auto"/>
          <w:sz w:val="24"/>
          <w:highlight w:val="none"/>
          <w:lang w:val="en-US" w:eastAsia="zh-CN"/>
        </w:rPr>
        <w:t>三月三村</w:t>
      </w:r>
      <w:r>
        <w:rPr>
          <w:rFonts w:hint="eastAsia"/>
          <w:bCs/>
          <w:color w:val="auto"/>
          <w:sz w:val="24"/>
          <w:highlight w:val="none"/>
        </w:rPr>
        <w:t>，监测点位详见附图5</w:t>
      </w:r>
      <w:r>
        <w:rPr>
          <w:color w:val="auto"/>
          <w:sz w:val="24"/>
          <w:highlight w:val="none"/>
        </w:rPr>
        <w:t>。</w:t>
      </w:r>
    </w:p>
    <w:p>
      <w:pPr>
        <w:adjustRightInd w:val="0"/>
        <w:snapToGrid w:val="0"/>
        <w:spacing w:line="360" w:lineRule="auto"/>
        <w:ind w:firstLine="484" w:firstLineChars="200"/>
        <w:rPr>
          <w:color w:val="auto"/>
          <w:sz w:val="24"/>
          <w:highlight w:val="none"/>
        </w:rPr>
      </w:pPr>
      <w:r>
        <w:rPr>
          <w:rFonts w:hint="eastAsia"/>
          <w:color w:val="auto"/>
          <w:sz w:val="24"/>
          <w:highlight w:val="none"/>
        </w:rPr>
        <w:t>根据HJ2.2-2018《环境影响评价技术导则 大气环境》中“6</w:t>
      </w:r>
      <w:r>
        <w:rPr>
          <w:color w:val="auto"/>
          <w:sz w:val="24"/>
          <w:highlight w:val="none"/>
        </w:rPr>
        <w:t>.3</w:t>
      </w:r>
      <w:r>
        <w:rPr>
          <w:rFonts w:hint="eastAsia"/>
          <w:color w:val="auto"/>
          <w:sz w:val="24"/>
          <w:highlight w:val="none"/>
        </w:rPr>
        <w:t>补充监测”监测布点原则：“已近2</w:t>
      </w:r>
      <w:r>
        <w:rPr>
          <w:color w:val="auto"/>
          <w:sz w:val="24"/>
          <w:highlight w:val="none"/>
        </w:rPr>
        <w:t>0</w:t>
      </w:r>
      <w:r>
        <w:rPr>
          <w:rFonts w:hint="eastAsia"/>
          <w:color w:val="auto"/>
          <w:sz w:val="24"/>
          <w:highlight w:val="none"/>
        </w:rPr>
        <w:t>年统计的当地主导方向为轴向，在厂址及主导风向下风向5</w:t>
      </w:r>
      <w:r>
        <w:rPr>
          <w:color w:val="auto"/>
          <w:sz w:val="24"/>
          <w:highlight w:val="none"/>
        </w:rPr>
        <w:t>km</w:t>
      </w:r>
      <w:r>
        <w:rPr>
          <w:rFonts w:hint="eastAsia"/>
          <w:color w:val="auto"/>
          <w:sz w:val="24"/>
          <w:highlight w:val="none"/>
        </w:rPr>
        <w:t>范围内设置1~</w:t>
      </w:r>
      <w:r>
        <w:rPr>
          <w:color w:val="auto"/>
          <w:sz w:val="24"/>
          <w:highlight w:val="none"/>
        </w:rPr>
        <w:t>2</w:t>
      </w:r>
      <w:r>
        <w:rPr>
          <w:rFonts w:hint="eastAsia"/>
          <w:color w:val="auto"/>
          <w:sz w:val="24"/>
          <w:highlight w:val="none"/>
        </w:rPr>
        <w:t>个监测点。如需在一类区进行补充监测，监测点应设置在不受人为活动影响的区域”，本次环评针对项目特征污染物补充监测点设置于项目区及项目区下风向</w:t>
      </w:r>
      <w:r>
        <w:rPr>
          <w:rFonts w:hint="eastAsia"/>
          <w:bCs/>
          <w:color w:val="auto"/>
          <w:sz w:val="24"/>
          <w:highlight w:val="none"/>
          <w:lang w:val="en-US" w:eastAsia="zh-CN"/>
        </w:rPr>
        <w:t>三月三</w:t>
      </w:r>
      <w:r>
        <w:rPr>
          <w:rFonts w:hint="eastAsia"/>
          <w:bCs/>
          <w:color w:val="auto"/>
          <w:sz w:val="24"/>
          <w:highlight w:val="none"/>
        </w:rPr>
        <w:t>村处</w:t>
      </w:r>
      <w:r>
        <w:rPr>
          <w:rFonts w:hint="eastAsia"/>
          <w:color w:val="auto"/>
          <w:sz w:val="24"/>
          <w:highlight w:val="none"/>
        </w:rPr>
        <w:t>，作为项目特征污染物</w:t>
      </w:r>
      <w:r>
        <w:rPr>
          <w:color w:val="auto"/>
          <w:sz w:val="24"/>
          <w:highlight w:val="none"/>
        </w:rPr>
        <w:t>TVOC</w:t>
      </w:r>
      <w:r>
        <w:rPr>
          <w:rFonts w:hint="eastAsia"/>
          <w:color w:val="auto"/>
          <w:sz w:val="24"/>
          <w:highlight w:val="none"/>
        </w:rPr>
        <w:t>、非甲烷总烃和颗粒物的环境质量现状。</w:t>
      </w:r>
    </w:p>
    <w:p>
      <w:pPr>
        <w:adjustRightInd w:val="0"/>
        <w:snapToGrid w:val="0"/>
        <w:spacing w:line="360" w:lineRule="auto"/>
        <w:ind w:firstLine="484" w:firstLineChars="200"/>
        <w:rPr>
          <w:color w:val="auto"/>
          <w:sz w:val="24"/>
          <w:highlight w:val="none"/>
        </w:rPr>
      </w:pPr>
      <w:r>
        <w:rPr>
          <w:rFonts w:hint="eastAsia"/>
          <w:color w:val="auto"/>
          <w:sz w:val="24"/>
          <w:highlight w:val="none"/>
        </w:rPr>
        <w:t>项目区常年主导风向为西南风，本次环评补充监测的</w:t>
      </w:r>
      <w:r>
        <w:rPr>
          <w:rFonts w:hint="eastAsia"/>
          <w:color w:val="auto"/>
          <w:sz w:val="24"/>
          <w:highlight w:val="none"/>
          <w:lang w:val="en-US" w:eastAsia="zh-CN"/>
        </w:rPr>
        <w:t>三月三</w:t>
      </w:r>
      <w:r>
        <w:rPr>
          <w:rFonts w:hint="eastAsia"/>
          <w:color w:val="auto"/>
          <w:sz w:val="24"/>
          <w:highlight w:val="none"/>
        </w:rPr>
        <w:t>村居民点监测点位于本项目大气环境影响评价范围内且为主导风向的下风向5</w:t>
      </w:r>
      <w:r>
        <w:rPr>
          <w:color w:val="auto"/>
          <w:sz w:val="24"/>
          <w:highlight w:val="none"/>
        </w:rPr>
        <w:t>km</w:t>
      </w:r>
      <w:r>
        <w:rPr>
          <w:rFonts w:hint="eastAsia"/>
          <w:color w:val="auto"/>
          <w:sz w:val="24"/>
          <w:highlight w:val="none"/>
        </w:rPr>
        <w:t>范围内。根据导则布点原则，本次环评补充监测点位符合导则要求，具有代表性，监测数据能代表项目所在区域环境质量现状。</w:t>
      </w:r>
    </w:p>
    <w:p>
      <w:pPr>
        <w:adjustRightInd w:val="0"/>
        <w:snapToGrid w:val="0"/>
        <w:spacing w:line="360" w:lineRule="auto"/>
        <w:ind w:firstLine="484" w:firstLineChars="200"/>
        <w:rPr>
          <w:color w:val="auto"/>
          <w:sz w:val="24"/>
          <w:highlight w:val="none"/>
        </w:rPr>
      </w:pPr>
      <w:r>
        <w:rPr>
          <w:rFonts w:hint="eastAsia"/>
          <w:color w:val="auto"/>
          <w:sz w:val="24"/>
          <w:highlight w:val="none"/>
        </w:rPr>
        <w:t>监测项目：非甲烷总烃、TSP、</w:t>
      </w:r>
      <w:r>
        <w:rPr>
          <w:color w:val="auto"/>
          <w:sz w:val="24"/>
          <w:highlight w:val="none"/>
        </w:rPr>
        <w:t>TVOC</w:t>
      </w:r>
    </w:p>
    <w:p>
      <w:pPr>
        <w:adjustRightInd w:val="0"/>
        <w:snapToGrid w:val="0"/>
        <w:spacing w:line="360" w:lineRule="auto"/>
        <w:ind w:firstLine="484" w:firstLineChars="200"/>
        <w:rPr>
          <w:color w:val="auto"/>
          <w:sz w:val="24"/>
          <w:highlight w:val="none"/>
        </w:rPr>
      </w:pPr>
      <w:r>
        <w:rPr>
          <w:rFonts w:hint="eastAsia"/>
          <w:color w:val="auto"/>
          <w:sz w:val="24"/>
          <w:highlight w:val="none"/>
        </w:rPr>
        <w:t>（2）监测时间和监测频率</w:t>
      </w:r>
    </w:p>
    <w:p>
      <w:pPr>
        <w:adjustRightInd w:val="0"/>
        <w:snapToGrid w:val="0"/>
        <w:spacing w:line="360" w:lineRule="auto"/>
        <w:ind w:firstLine="484" w:firstLineChars="200"/>
        <w:rPr>
          <w:color w:val="auto"/>
          <w:sz w:val="24"/>
          <w:highlight w:val="none"/>
        </w:rPr>
      </w:pPr>
      <w:r>
        <w:rPr>
          <w:rFonts w:hint="eastAsia"/>
          <w:color w:val="auto"/>
          <w:sz w:val="24"/>
          <w:highlight w:val="none"/>
        </w:rPr>
        <w:t>监测时间：202</w:t>
      </w:r>
      <w:r>
        <w:rPr>
          <w:rFonts w:hint="eastAsia"/>
          <w:color w:val="auto"/>
          <w:sz w:val="24"/>
          <w:highlight w:val="none"/>
          <w:lang w:val="en-US" w:eastAsia="zh-CN"/>
        </w:rPr>
        <w:t>3</w:t>
      </w:r>
      <w:r>
        <w:rPr>
          <w:rFonts w:hint="eastAsia"/>
          <w:color w:val="auto"/>
          <w:sz w:val="24"/>
          <w:highlight w:val="none"/>
        </w:rPr>
        <w:t>年</w:t>
      </w:r>
      <w:r>
        <w:rPr>
          <w:rFonts w:hint="eastAsia"/>
          <w:color w:val="auto"/>
          <w:sz w:val="24"/>
          <w:highlight w:val="none"/>
          <w:lang w:val="en-US" w:eastAsia="zh-CN"/>
        </w:rPr>
        <w:t>12</w:t>
      </w:r>
      <w:r>
        <w:rPr>
          <w:rFonts w:hint="eastAsia"/>
          <w:color w:val="auto"/>
          <w:sz w:val="24"/>
          <w:highlight w:val="none"/>
        </w:rPr>
        <w:t>月</w:t>
      </w:r>
      <w:r>
        <w:rPr>
          <w:rFonts w:hint="eastAsia"/>
          <w:color w:val="auto"/>
          <w:sz w:val="24"/>
          <w:highlight w:val="none"/>
          <w:lang w:val="en-US" w:eastAsia="zh-CN"/>
        </w:rPr>
        <w:t>2</w:t>
      </w:r>
      <w:r>
        <w:rPr>
          <w:rFonts w:hint="eastAsia"/>
          <w:color w:val="auto"/>
          <w:sz w:val="24"/>
          <w:highlight w:val="none"/>
        </w:rPr>
        <w:t>7日—202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val="en-US" w:eastAsia="zh-CN"/>
        </w:rPr>
        <w:t>1</w:t>
      </w:r>
      <w:r>
        <w:rPr>
          <w:rFonts w:hint="eastAsia"/>
          <w:color w:val="auto"/>
          <w:sz w:val="24"/>
          <w:highlight w:val="none"/>
        </w:rPr>
        <w:t>月2日，连续监测7天。</w:t>
      </w:r>
    </w:p>
    <w:p>
      <w:pPr>
        <w:pStyle w:val="485"/>
        <w:rPr>
          <w:b/>
          <w:bCs/>
          <w:color w:val="auto"/>
          <w:highlight w:val="none"/>
        </w:rPr>
      </w:pPr>
      <w:r>
        <w:rPr>
          <w:rFonts w:hint="eastAsia"/>
          <w:color w:val="auto"/>
          <w:highlight w:val="none"/>
        </w:rPr>
        <w:t>监测频率：</w:t>
      </w:r>
    </w:p>
    <w:p>
      <w:pPr>
        <w:pStyle w:val="485"/>
        <w:ind w:firstLine="0" w:firstLineChars="0"/>
        <w:jc w:val="center"/>
        <w:rPr>
          <w:b/>
          <w:bCs/>
          <w:color w:val="auto"/>
          <w:highlight w:val="none"/>
        </w:rPr>
      </w:pPr>
      <w:r>
        <w:rPr>
          <w:rFonts w:hint="eastAsia"/>
          <w:b/>
          <w:bCs/>
          <w:color w:val="auto"/>
          <w:highlight w:val="none"/>
        </w:rPr>
        <w:t>表4.2-</w:t>
      </w:r>
      <w:r>
        <w:rPr>
          <w:rFonts w:hint="eastAsia"/>
          <w:b/>
          <w:bCs/>
          <w:color w:val="auto"/>
          <w:highlight w:val="none"/>
          <w:lang w:val="en-US" w:eastAsia="zh-CN"/>
        </w:rPr>
        <w:t>2</w:t>
      </w:r>
      <w:r>
        <w:rPr>
          <w:b/>
          <w:bCs/>
          <w:color w:val="auto"/>
          <w:highlight w:val="none"/>
        </w:rPr>
        <w:t xml:space="preserve">  </w:t>
      </w:r>
      <w:r>
        <w:rPr>
          <w:rFonts w:hint="eastAsia"/>
          <w:b/>
          <w:bCs/>
          <w:color w:val="auto"/>
          <w:highlight w:val="none"/>
        </w:rPr>
        <w:t>监测时间及频率</w:t>
      </w:r>
    </w:p>
    <w:tbl>
      <w:tblPr>
        <w:tblStyle w:val="55"/>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453"/>
        <w:gridCol w:w="2862"/>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45" w:type="dxa"/>
            <w:tcBorders>
              <w:tl2br w:val="nil"/>
              <w:tr2bl w:val="nil"/>
            </w:tcBorders>
            <w:vAlign w:val="center"/>
          </w:tcPr>
          <w:p>
            <w:pPr>
              <w:jc w:val="center"/>
              <w:rPr>
                <w:b/>
                <w:color w:val="auto"/>
                <w:highlight w:val="none"/>
              </w:rPr>
            </w:pPr>
            <w:r>
              <w:rPr>
                <w:b/>
                <w:color w:val="auto"/>
                <w:highlight w:val="none"/>
              </w:rPr>
              <w:t>监测项目</w:t>
            </w:r>
          </w:p>
        </w:tc>
        <w:tc>
          <w:tcPr>
            <w:tcW w:w="1453" w:type="dxa"/>
            <w:tcBorders>
              <w:tl2br w:val="nil"/>
              <w:tr2bl w:val="nil"/>
            </w:tcBorders>
            <w:vAlign w:val="center"/>
          </w:tcPr>
          <w:p>
            <w:pPr>
              <w:jc w:val="center"/>
              <w:rPr>
                <w:b/>
                <w:color w:val="auto"/>
                <w:highlight w:val="none"/>
              </w:rPr>
            </w:pPr>
            <w:r>
              <w:rPr>
                <w:b/>
                <w:color w:val="auto"/>
                <w:highlight w:val="none"/>
              </w:rPr>
              <w:t>取值时间</w:t>
            </w:r>
          </w:p>
        </w:tc>
        <w:tc>
          <w:tcPr>
            <w:tcW w:w="2862" w:type="dxa"/>
            <w:tcBorders>
              <w:tl2br w:val="nil"/>
              <w:tr2bl w:val="nil"/>
            </w:tcBorders>
            <w:vAlign w:val="center"/>
          </w:tcPr>
          <w:p>
            <w:pPr>
              <w:jc w:val="center"/>
              <w:rPr>
                <w:b/>
                <w:color w:val="auto"/>
                <w:highlight w:val="none"/>
              </w:rPr>
            </w:pPr>
            <w:r>
              <w:rPr>
                <w:b/>
                <w:color w:val="auto"/>
                <w:highlight w:val="none"/>
              </w:rPr>
              <w:t>监测频率</w:t>
            </w:r>
          </w:p>
        </w:tc>
        <w:tc>
          <w:tcPr>
            <w:tcW w:w="2656" w:type="dxa"/>
            <w:tcBorders>
              <w:tl2br w:val="nil"/>
              <w:tr2bl w:val="nil"/>
            </w:tcBorders>
            <w:vAlign w:val="center"/>
          </w:tcPr>
          <w:p>
            <w:pPr>
              <w:jc w:val="center"/>
              <w:rPr>
                <w:b/>
                <w:color w:val="auto"/>
                <w:highlight w:val="none"/>
              </w:rPr>
            </w:pPr>
            <w:r>
              <w:rPr>
                <w:b/>
                <w:color w:val="auto"/>
                <w:highlight w:val="none"/>
              </w:rPr>
              <w:t>数据有效性规定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545" w:type="dxa"/>
            <w:tcBorders>
              <w:tl2br w:val="nil"/>
              <w:tr2bl w:val="nil"/>
            </w:tcBorders>
            <w:vAlign w:val="center"/>
          </w:tcPr>
          <w:p>
            <w:pPr>
              <w:jc w:val="center"/>
              <w:rPr>
                <w:color w:val="auto"/>
                <w:highlight w:val="none"/>
              </w:rPr>
            </w:pPr>
            <w:r>
              <w:rPr>
                <w:rFonts w:hint="eastAsia"/>
                <w:color w:val="auto"/>
                <w:highlight w:val="none"/>
              </w:rPr>
              <w:t>非甲烷总烃</w:t>
            </w:r>
          </w:p>
        </w:tc>
        <w:tc>
          <w:tcPr>
            <w:tcW w:w="1453" w:type="dxa"/>
            <w:tcBorders>
              <w:tl2br w:val="nil"/>
              <w:tr2bl w:val="nil"/>
            </w:tcBorders>
            <w:vAlign w:val="center"/>
          </w:tcPr>
          <w:p>
            <w:pPr>
              <w:jc w:val="center"/>
              <w:rPr>
                <w:color w:val="auto"/>
                <w:highlight w:val="none"/>
              </w:rPr>
            </w:pPr>
            <w:r>
              <w:rPr>
                <w:color w:val="auto"/>
                <w:highlight w:val="none"/>
              </w:rPr>
              <w:t>1小时平均</w:t>
            </w:r>
          </w:p>
        </w:tc>
        <w:tc>
          <w:tcPr>
            <w:tcW w:w="2862" w:type="dxa"/>
            <w:tcBorders>
              <w:tl2br w:val="nil"/>
              <w:tr2bl w:val="nil"/>
            </w:tcBorders>
            <w:vAlign w:val="center"/>
          </w:tcPr>
          <w:p>
            <w:pPr>
              <w:jc w:val="center"/>
              <w:rPr>
                <w:color w:val="auto"/>
                <w:highlight w:val="none"/>
              </w:rPr>
            </w:pPr>
            <w:r>
              <w:rPr>
                <w:color w:val="auto"/>
                <w:highlight w:val="none"/>
              </w:rPr>
              <w:t>每天采样4次</w:t>
            </w:r>
            <w:r>
              <w:rPr>
                <w:rFonts w:hint="eastAsia"/>
                <w:color w:val="auto"/>
                <w:highlight w:val="none"/>
              </w:rPr>
              <w:t>（瞬时值）</w:t>
            </w:r>
          </w:p>
        </w:tc>
        <w:tc>
          <w:tcPr>
            <w:tcW w:w="2656" w:type="dxa"/>
            <w:tcBorders>
              <w:tl2br w:val="nil"/>
              <w:tr2bl w:val="nil"/>
            </w:tcBorders>
            <w:vAlign w:val="center"/>
          </w:tcPr>
          <w:p>
            <w:pPr>
              <w:jc w:val="center"/>
              <w:rPr>
                <w:color w:val="auto"/>
                <w:highlight w:val="none"/>
              </w:rPr>
            </w:pPr>
            <w:r>
              <w:rPr>
                <w:color w:val="auto"/>
                <w:highlight w:val="none"/>
              </w:rPr>
              <w:t>每次采样至少45min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45" w:type="dxa"/>
            <w:tcBorders>
              <w:tl2br w:val="nil"/>
              <w:tr2bl w:val="nil"/>
            </w:tcBorders>
            <w:vAlign w:val="center"/>
          </w:tcPr>
          <w:p>
            <w:pPr>
              <w:jc w:val="center"/>
              <w:rPr>
                <w:color w:val="auto"/>
                <w:highlight w:val="none"/>
              </w:rPr>
            </w:pPr>
            <w:r>
              <w:rPr>
                <w:color w:val="auto"/>
                <w:highlight w:val="none"/>
              </w:rPr>
              <w:t>TSP</w:t>
            </w:r>
          </w:p>
        </w:tc>
        <w:tc>
          <w:tcPr>
            <w:tcW w:w="1453" w:type="dxa"/>
            <w:tcBorders>
              <w:tl2br w:val="nil"/>
              <w:tr2bl w:val="nil"/>
            </w:tcBorders>
            <w:vAlign w:val="center"/>
          </w:tcPr>
          <w:p>
            <w:pPr>
              <w:jc w:val="center"/>
              <w:rPr>
                <w:color w:val="auto"/>
                <w:highlight w:val="none"/>
              </w:rPr>
            </w:pPr>
            <w:r>
              <w:rPr>
                <w:color w:val="auto"/>
                <w:highlight w:val="none"/>
              </w:rPr>
              <w:t>24小时平均</w:t>
            </w:r>
          </w:p>
        </w:tc>
        <w:tc>
          <w:tcPr>
            <w:tcW w:w="2862" w:type="dxa"/>
            <w:tcBorders>
              <w:tl2br w:val="nil"/>
              <w:tr2bl w:val="nil"/>
            </w:tcBorders>
            <w:vAlign w:val="center"/>
          </w:tcPr>
          <w:p>
            <w:pPr>
              <w:jc w:val="center"/>
              <w:rPr>
                <w:color w:val="auto"/>
                <w:highlight w:val="none"/>
              </w:rPr>
            </w:pPr>
            <w:r>
              <w:rPr>
                <w:color w:val="auto"/>
                <w:highlight w:val="none"/>
              </w:rPr>
              <w:t>每</w:t>
            </w:r>
            <w:r>
              <w:rPr>
                <w:rFonts w:hint="eastAsia"/>
                <w:color w:val="auto"/>
                <w:highlight w:val="none"/>
              </w:rPr>
              <w:t>天采样</w:t>
            </w:r>
            <w:r>
              <w:rPr>
                <w:color w:val="auto"/>
                <w:highlight w:val="none"/>
              </w:rPr>
              <w:t>1次</w:t>
            </w:r>
          </w:p>
        </w:tc>
        <w:tc>
          <w:tcPr>
            <w:tcW w:w="2656" w:type="dxa"/>
            <w:tcBorders>
              <w:tl2br w:val="nil"/>
              <w:tr2bl w:val="nil"/>
            </w:tcBorders>
            <w:vAlign w:val="center"/>
          </w:tcPr>
          <w:p>
            <w:pPr>
              <w:jc w:val="center"/>
              <w:rPr>
                <w:color w:val="auto"/>
                <w:highlight w:val="none"/>
              </w:rPr>
            </w:pPr>
            <w:r>
              <w:rPr>
                <w:color w:val="auto"/>
                <w:highlight w:val="none"/>
              </w:rPr>
              <w:t>每日连续采样24h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45" w:type="dxa"/>
            <w:tcBorders>
              <w:tl2br w:val="nil"/>
              <w:tr2bl w:val="nil"/>
            </w:tcBorders>
            <w:vAlign w:val="center"/>
          </w:tcPr>
          <w:p>
            <w:pPr>
              <w:jc w:val="center"/>
              <w:rPr>
                <w:color w:val="auto"/>
                <w:highlight w:val="none"/>
              </w:rPr>
            </w:pPr>
            <w:r>
              <w:rPr>
                <w:rFonts w:hint="eastAsia"/>
                <w:color w:val="auto"/>
                <w:highlight w:val="none"/>
              </w:rPr>
              <w:t>T</w:t>
            </w:r>
            <w:r>
              <w:rPr>
                <w:color w:val="auto"/>
                <w:highlight w:val="none"/>
              </w:rPr>
              <w:t>VOC</w:t>
            </w:r>
          </w:p>
        </w:tc>
        <w:tc>
          <w:tcPr>
            <w:tcW w:w="1453" w:type="dxa"/>
            <w:tcBorders>
              <w:tl2br w:val="nil"/>
              <w:tr2bl w:val="nil"/>
            </w:tcBorders>
            <w:vAlign w:val="center"/>
          </w:tcPr>
          <w:p>
            <w:pPr>
              <w:jc w:val="center"/>
              <w:rPr>
                <w:color w:val="auto"/>
                <w:highlight w:val="none"/>
              </w:rPr>
            </w:pPr>
            <w:r>
              <w:rPr>
                <w:color w:val="auto"/>
                <w:highlight w:val="none"/>
              </w:rPr>
              <w:t>8</w:t>
            </w:r>
            <w:r>
              <w:rPr>
                <w:rFonts w:hint="eastAsia"/>
                <w:color w:val="auto"/>
                <w:highlight w:val="none"/>
              </w:rPr>
              <w:t>小时平均</w:t>
            </w:r>
          </w:p>
        </w:tc>
        <w:tc>
          <w:tcPr>
            <w:tcW w:w="2862" w:type="dxa"/>
            <w:tcBorders>
              <w:tl2br w:val="nil"/>
              <w:tr2bl w:val="nil"/>
            </w:tcBorders>
            <w:vAlign w:val="center"/>
          </w:tcPr>
          <w:p>
            <w:pPr>
              <w:jc w:val="center"/>
              <w:rPr>
                <w:color w:val="auto"/>
                <w:highlight w:val="none"/>
              </w:rPr>
            </w:pPr>
            <w:r>
              <w:rPr>
                <w:rFonts w:hint="eastAsia"/>
                <w:color w:val="auto"/>
                <w:highlight w:val="none"/>
              </w:rPr>
              <w:t>每天采样1次</w:t>
            </w:r>
          </w:p>
        </w:tc>
        <w:tc>
          <w:tcPr>
            <w:tcW w:w="2656" w:type="dxa"/>
            <w:tcBorders>
              <w:tl2br w:val="nil"/>
              <w:tr2bl w:val="nil"/>
            </w:tcBorders>
            <w:vAlign w:val="center"/>
          </w:tcPr>
          <w:p>
            <w:pPr>
              <w:jc w:val="center"/>
              <w:rPr>
                <w:color w:val="auto"/>
                <w:highlight w:val="none"/>
              </w:rPr>
            </w:pPr>
            <w:r>
              <w:rPr>
                <w:rFonts w:hint="eastAsia"/>
                <w:color w:val="auto"/>
                <w:highlight w:val="none"/>
              </w:rPr>
              <w:t>每次连续采样8</w:t>
            </w:r>
            <w:r>
              <w:rPr>
                <w:color w:val="auto"/>
                <w:highlight w:val="none"/>
              </w:rPr>
              <w:t>h</w:t>
            </w:r>
          </w:p>
        </w:tc>
      </w:tr>
    </w:tbl>
    <w:p>
      <w:pPr>
        <w:pStyle w:val="485"/>
        <w:spacing w:before="156" w:beforeLines="50"/>
        <w:rPr>
          <w:color w:val="auto"/>
          <w:sz w:val="28"/>
          <w:szCs w:val="28"/>
          <w:highlight w:val="none"/>
        </w:rPr>
      </w:pPr>
      <w:r>
        <w:rPr>
          <w:color w:val="auto"/>
          <w:highlight w:val="none"/>
        </w:rPr>
        <w:t>（3）采样和分析方法</w:t>
      </w:r>
    </w:p>
    <w:p>
      <w:pPr>
        <w:spacing w:line="360" w:lineRule="auto"/>
        <w:ind w:firstLine="480"/>
        <w:rPr>
          <w:rFonts w:hAnsi="宋体"/>
          <w:color w:val="auto"/>
          <w:sz w:val="24"/>
          <w:highlight w:val="none"/>
        </w:rPr>
      </w:pPr>
      <w:r>
        <w:rPr>
          <w:rFonts w:hAnsi="宋体"/>
          <w:color w:val="auto"/>
          <w:sz w:val="24"/>
          <w:highlight w:val="none"/>
        </w:rPr>
        <w:t>采样和分析方法按《环境空气</w:t>
      </w:r>
      <w:r>
        <w:rPr>
          <w:rFonts w:hint="eastAsia" w:hAnsi="宋体"/>
          <w:color w:val="auto"/>
          <w:sz w:val="24"/>
          <w:highlight w:val="none"/>
        </w:rPr>
        <w:t>质量</w:t>
      </w:r>
      <w:r>
        <w:rPr>
          <w:rFonts w:hAnsi="宋体"/>
          <w:color w:val="auto"/>
          <w:sz w:val="24"/>
          <w:highlight w:val="none"/>
        </w:rPr>
        <w:t>手工监测技术规范》（</w:t>
      </w:r>
      <w:r>
        <w:rPr>
          <w:color w:val="auto"/>
          <w:sz w:val="24"/>
          <w:highlight w:val="none"/>
        </w:rPr>
        <w:t>HJ/T194-2005</w:t>
      </w:r>
      <w:r>
        <w:rPr>
          <w:rFonts w:hAnsi="宋体"/>
          <w:color w:val="auto"/>
          <w:sz w:val="24"/>
          <w:highlight w:val="none"/>
        </w:rPr>
        <w:t>）、《环境监测技术规范》</w:t>
      </w:r>
      <w:r>
        <w:rPr>
          <w:rFonts w:hint="eastAsia" w:hAnsi="宋体"/>
          <w:color w:val="auto"/>
          <w:sz w:val="24"/>
          <w:highlight w:val="none"/>
        </w:rPr>
        <w:t>、</w:t>
      </w:r>
      <w:r>
        <w:rPr>
          <w:rFonts w:hAnsi="宋体"/>
          <w:color w:val="auto"/>
          <w:sz w:val="24"/>
          <w:highlight w:val="none"/>
        </w:rPr>
        <w:t>《空气和废气监测分析方法》（第四版）和《环境空气质量标准》（</w:t>
      </w:r>
      <w:r>
        <w:rPr>
          <w:color w:val="auto"/>
          <w:sz w:val="24"/>
          <w:highlight w:val="none"/>
        </w:rPr>
        <w:t>GB3095-2012</w:t>
      </w:r>
      <w:r>
        <w:rPr>
          <w:rFonts w:hAnsi="宋体"/>
          <w:color w:val="auto"/>
          <w:sz w:val="24"/>
          <w:highlight w:val="none"/>
        </w:rPr>
        <w:t>）的</w:t>
      </w:r>
      <w:r>
        <w:rPr>
          <w:rFonts w:hint="eastAsia" w:hAnsi="宋体"/>
          <w:color w:val="auto"/>
          <w:sz w:val="24"/>
          <w:highlight w:val="none"/>
        </w:rPr>
        <w:t>有关要求和</w:t>
      </w:r>
      <w:r>
        <w:rPr>
          <w:rFonts w:hAnsi="宋体"/>
          <w:color w:val="auto"/>
          <w:sz w:val="24"/>
          <w:highlight w:val="none"/>
        </w:rPr>
        <w:t>规定进行。</w:t>
      </w:r>
    </w:p>
    <w:p>
      <w:pPr>
        <w:pStyle w:val="21"/>
        <w:spacing w:after="0" w:line="360" w:lineRule="auto"/>
        <w:jc w:val="center"/>
        <w:rPr>
          <w:b/>
          <w:color w:val="auto"/>
          <w:sz w:val="24"/>
          <w:highlight w:val="none"/>
        </w:rPr>
      </w:pPr>
      <w:r>
        <w:rPr>
          <w:rFonts w:hAnsi="宋体"/>
          <w:b/>
          <w:color w:val="auto"/>
          <w:sz w:val="24"/>
          <w:highlight w:val="none"/>
        </w:rPr>
        <w:t>表</w:t>
      </w:r>
      <w:r>
        <w:rPr>
          <w:rFonts w:hint="eastAsia"/>
          <w:b/>
          <w:color w:val="auto"/>
          <w:sz w:val="24"/>
          <w:highlight w:val="none"/>
        </w:rPr>
        <w:t>4.2-</w:t>
      </w:r>
      <w:r>
        <w:rPr>
          <w:rFonts w:hint="eastAsia"/>
          <w:b/>
          <w:color w:val="auto"/>
          <w:sz w:val="24"/>
          <w:highlight w:val="none"/>
          <w:lang w:val="en-US" w:eastAsia="zh-CN"/>
        </w:rPr>
        <w:t>3</w:t>
      </w:r>
      <w:r>
        <w:rPr>
          <w:b/>
          <w:color w:val="auto"/>
          <w:sz w:val="24"/>
          <w:highlight w:val="none"/>
        </w:rPr>
        <w:t xml:space="preserve">  </w:t>
      </w:r>
      <w:r>
        <w:rPr>
          <w:rFonts w:hAnsi="宋体"/>
          <w:b/>
          <w:color w:val="auto"/>
          <w:sz w:val="24"/>
          <w:highlight w:val="none"/>
        </w:rPr>
        <w:t>环境空气监测项目分析方法</w:t>
      </w:r>
    </w:p>
    <w:tbl>
      <w:tblPr>
        <w:tblStyle w:val="55"/>
        <w:tblpPr w:leftFromText="180" w:rightFromText="180" w:vertAnchor="text" w:tblpY="1"/>
        <w:tblOverlap w:val="never"/>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3401"/>
        <w:gridCol w:w="256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5" w:type="dxa"/>
            <w:tcBorders>
              <w:tl2br w:val="nil"/>
              <w:tr2bl w:val="nil"/>
            </w:tcBorders>
            <w:vAlign w:val="center"/>
          </w:tcPr>
          <w:p>
            <w:pPr>
              <w:widowControl/>
              <w:adjustRightInd w:val="0"/>
              <w:snapToGrid w:val="0"/>
              <w:spacing w:line="280" w:lineRule="exact"/>
              <w:jc w:val="center"/>
              <w:rPr>
                <w:b/>
                <w:color w:val="auto"/>
                <w:szCs w:val="21"/>
                <w:highlight w:val="none"/>
              </w:rPr>
            </w:pPr>
            <w:r>
              <w:rPr>
                <w:rFonts w:hint="eastAsia"/>
                <w:b/>
                <w:color w:val="auto"/>
                <w:szCs w:val="21"/>
                <w:highlight w:val="none"/>
              </w:rPr>
              <w:t>检测</w:t>
            </w:r>
            <w:r>
              <w:rPr>
                <w:b/>
                <w:color w:val="auto"/>
                <w:szCs w:val="21"/>
                <w:highlight w:val="none"/>
              </w:rPr>
              <w:t>项目</w:t>
            </w:r>
          </w:p>
        </w:tc>
        <w:tc>
          <w:tcPr>
            <w:tcW w:w="3401" w:type="dxa"/>
            <w:tcBorders>
              <w:tl2br w:val="nil"/>
              <w:tr2bl w:val="nil"/>
            </w:tcBorders>
            <w:vAlign w:val="center"/>
          </w:tcPr>
          <w:p>
            <w:pPr>
              <w:widowControl/>
              <w:adjustRightInd w:val="0"/>
              <w:snapToGrid w:val="0"/>
              <w:spacing w:line="280" w:lineRule="exact"/>
              <w:jc w:val="center"/>
              <w:rPr>
                <w:b/>
                <w:color w:val="auto"/>
                <w:szCs w:val="21"/>
                <w:highlight w:val="none"/>
              </w:rPr>
            </w:pPr>
            <w:r>
              <w:rPr>
                <w:rFonts w:hint="eastAsia"/>
                <w:b/>
                <w:color w:val="auto"/>
                <w:szCs w:val="21"/>
                <w:highlight w:val="none"/>
              </w:rPr>
              <w:t>检测</w:t>
            </w:r>
            <w:r>
              <w:rPr>
                <w:b/>
                <w:color w:val="auto"/>
                <w:szCs w:val="21"/>
                <w:highlight w:val="none"/>
              </w:rPr>
              <w:t>方法</w:t>
            </w:r>
          </w:p>
        </w:tc>
        <w:tc>
          <w:tcPr>
            <w:tcW w:w="2563" w:type="dxa"/>
            <w:tcBorders>
              <w:tl2br w:val="nil"/>
              <w:tr2bl w:val="nil"/>
            </w:tcBorders>
            <w:vAlign w:val="center"/>
          </w:tcPr>
          <w:p>
            <w:pPr>
              <w:widowControl/>
              <w:adjustRightInd w:val="0"/>
              <w:snapToGrid w:val="0"/>
              <w:spacing w:line="280" w:lineRule="exact"/>
              <w:jc w:val="center"/>
              <w:rPr>
                <w:b/>
                <w:color w:val="auto"/>
                <w:szCs w:val="21"/>
                <w:highlight w:val="none"/>
              </w:rPr>
            </w:pPr>
            <w:r>
              <w:rPr>
                <w:rFonts w:hint="eastAsia"/>
                <w:b/>
                <w:color w:val="auto"/>
                <w:szCs w:val="21"/>
                <w:highlight w:val="none"/>
              </w:rPr>
              <w:t>检测仪器及型号</w:t>
            </w:r>
          </w:p>
        </w:tc>
        <w:tc>
          <w:tcPr>
            <w:tcW w:w="1407" w:type="dxa"/>
            <w:tcBorders>
              <w:tl2br w:val="nil"/>
              <w:tr2bl w:val="nil"/>
            </w:tcBorders>
            <w:vAlign w:val="center"/>
          </w:tcPr>
          <w:p>
            <w:pPr>
              <w:widowControl/>
              <w:adjustRightInd w:val="0"/>
              <w:snapToGrid w:val="0"/>
              <w:spacing w:line="280" w:lineRule="exact"/>
              <w:jc w:val="center"/>
              <w:rPr>
                <w:b/>
                <w:color w:val="auto"/>
                <w:szCs w:val="21"/>
                <w:highlight w:val="none"/>
              </w:rPr>
            </w:pPr>
            <w:r>
              <w:rPr>
                <w:b/>
                <w:color w:val="auto"/>
                <w:szCs w:val="21"/>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trPr>
        <w:tc>
          <w:tcPr>
            <w:tcW w:w="1145" w:type="dxa"/>
            <w:vMerge w:val="restart"/>
            <w:tcBorders>
              <w:tl2br w:val="nil"/>
              <w:tr2bl w:val="nil"/>
            </w:tcBorders>
            <w:vAlign w:val="center"/>
          </w:tcPr>
          <w:p>
            <w:pPr>
              <w:widowControl/>
              <w:adjustRightInd w:val="0"/>
              <w:snapToGrid w:val="0"/>
              <w:spacing w:line="280" w:lineRule="exact"/>
              <w:jc w:val="center"/>
              <w:rPr>
                <w:color w:val="auto"/>
                <w:szCs w:val="21"/>
                <w:highlight w:val="none"/>
              </w:rPr>
            </w:pPr>
            <w:r>
              <w:rPr>
                <w:color w:val="auto"/>
                <w:szCs w:val="21"/>
                <w:highlight w:val="none"/>
              </w:rPr>
              <w:t>非甲烷总烃</w:t>
            </w:r>
          </w:p>
        </w:tc>
        <w:tc>
          <w:tcPr>
            <w:tcW w:w="3401" w:type="dxa"/>
            <w:vMerge w:val="restart"/>
            <w:tcBorders>
              <w:tl2br w:val="nil"/>
              <w:tr2bl w:val="nil"/>
            </w:tcBorders>
            <w:vAlign w:val="center"/>
          </w:tcPr>
          <w:p>
            <w:pPr>
              <w:widowControl/>
              <w:adjustRightInd w:val="0"/>
              <w:snapToGrid w:val="0"/>
              <w:spacing w:line="280" w:lineRule="exact"/>
              <w:jc w:val="center"/>
              <w:rPr>
                <w:color w:val="auto"/>
                <w:szCs w:val="21"/>
                <w:highlight w:val="none"/>
              </w:rPr>
            </w:pPr>
            <w:r>
              <w:rPr>
                <w:rFonts w:hint="eastAsia"/>
                <w:color w:val="auto"/>
                <w:szCs w:val="21"/>
                <w:highlight w:val="none"/>
              </w:rPr>
              <w:t>环境空气 总烃、甲烷和非甲烷的测定 直接进样 气相色谱法 HJ604-2017</w:t>
            </w:r>
          </w:p>
        </w:tc>
        <w:tc>
          <w:tcPr>
            <w:tcW w:w="2563" w:type="dxa"/>
            <w:tcBorders>
              <w:tl2br w:val="nil"/>
              <w:tr2bl w:val="nil"/>
            </w:tcBorders>
            <w:vAlign w:val="center"/>
          </w:tcPr>
          <w:p>
            <w:pPr>
              <w:widowControl/>
              <w:adjustRightInd w:val="0"/>
              <w:snapToGrid w:val="0"/>
              <w:spacing w:line="280" w:lineRule="exact"/>
              <w:jc w:val="center"/>
              <w:rPr>
                <w:rFonts w:hint="eastAsia"/>
                <w:color w:val="auto"/>
                <w:szCs w:val="21"/>
                <w:highlight w:val="none"/>
                <w:lang w:val="zh-CN"/>
              </w:rPr>
            </w:pPr>
            <w:r>
              <w:rPr>
                <w:rFonts w:hint="eastAsia"/>
                <w:color w:val="auto"/>
                <w:szCs w:val="21"/>
                <w:highlight w:val="none"/>
              </w:rPr>
              <w:t>崂应2050型环境空气</w:t>
            </w:r>
            <w:r>
              <w:rPr>
                <w:rFonts w:hint="eastAsia"/>
                <w:color w:val="auto"/>
                <w:szCs w:val="21"/>
                <w:highlight w:val="none"/>
                <w:lang w:val="en-US" w:eastAsia="zh-CN"/>
              </w:rPr>
              <w:t>/智能综合采样器（YNDQ/XC-130、YNDQ/XC-131）</w:t>
            </w:r>
          </w:p>
        </w:tc>
        <w:tc>
          <w:tcPr>
            <w:tcW w:w="1407" w:type="dxa"/>
            <w:vMerge w:val="restart"/>
            <w:tcBorders>
              <w:tl2br w:val="nil"/>
              <w:tr2bl w:val="nil"/>
            </w:tcBorders>
            <w:vAlign w:val="center"/>
          </w:tcPr>
          <w:p>
            <w:pPr>
              <w:widowControl/>
              <w:adjustRightInd w:val="0"/>
              <w:snapToGrid w:val="0"/>
              <w:spacing w:line="280" w:lineRule="exact"/>
              <w:jc w:val="center"/>
              <w:rPr>
                <w:color w:val="auto"/>
                <w:szCs w:val="21"/>
                <w:highlight w:val="none"/>
              </w:rPr>
            </w:pPr>
            <w:r>
              <w:rPr>
                <w:color w:val="auto"/>
                <w:szCs w:val="21"/>
                <w:highlight w:val="none"/>
              </w:rPr>
              <w:t>0.07mg/m</w:t>
            </w:r>
            <w:r>
              <w:rPr>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trPr>
        <w:tc>
          <w:tcPr>
            <w:tcW w:w="1145" w:type="dxa"/>
            <w:vMerge w:val="continue"/>
            <w:tcBorders>
              <w:tl2br w:val="nil"/>
              <w:tr2bl w:val="nil"/>
            </w:tcBorders>
            <w:vAlign w:val="center"/>
          </w:tcPr>
          <w:p>
            <w:pPr>
              <w:widowControl/>
              <w:adjustRightInd w:val="0"/>
              <w:snapToGrid w:val="0"/>
              <w:spacing w:line="280" w:lineRule="exact"/>
              <w:jc w:val="center"/>
              <w:rPr>
                <w:color w:val="auto"/>
                <w:highlight w:val="none"/>
              </w:rPr>
            </w:pPr>
          </w:p>
        </w:tc>
        <w:tc>
          <w:tcPr>
            <w:tcW w:w="3401" w:type="dxa"/>
            <w:vMerge w:val="continue"/>
            <w:tcBorders>
              <w:tl2br w:val="nil"/>
              <w:tr2bl w:val="nil"/>
            </w:tcBorders>
            <w:vAlign w:val="center"/>
          </w:tcPr>
          <w:p>
            <w:pPr>
              <w:widowControl/>
              <w:adjustRightInd w:val="0"/>
              <w:snapToGrid w:val="0"/>
              <w:spacing w:line="280" w:lineRule="exact"/>
              <w:jc w:val="center"/>
              <w:rPr>
                <w:color w:val="auto"/>
                <w:highlight w:val="none"/>
              </w:rPr>
            </w:pPr>
          </w:p>
        </w:tc>
        <w:tc>
          <w:tcPr>
            <w:tcW w:w="2563" w:type="dxa"/>
            <w:tcBorders>
              <w:tl2br w:val="nil"/>
              <w:tr2bl w:val="nil"/>
            </w:tcBorders>
            <w:vAlign w:val="center"/>
          </w:tcPr>
          <w:p>
            <w:pPr>
              <w:widowControl/>
              <w:adjustRightInd w:val="0"/>
              <w:snapToGrid w:val="0"/>
              <w:spacing w:line="280" w:lineRule="exact"/>
              <w:jc w:val="center"/>
              <w:rPr>
                <w:color w:val="auto"/>
                <w:szCs w:val="21"/>
                <w:highlight w:val="none"/>
              </w:rPr>
            </w:pPr>
            <w:r>
              <w:rPr>
                <w:rFonts w:hint="eastAsia"/>
                <w:color w:val="auto"/>
                <w:szCs w:val="21"/>
                <w:highlight w:val="none"/>
              </w:rPr>
              <w:t>气相色谱仪9790Ⅱ</w:t>
            </w:r>
          </w:p>
          <w:p>
            <w:pPr>
              <w:widowControl/>
              <w:adjustRightInd w:val="0"/>
              <w:snapToGrid w:val="0"/>
              <w:spacing w:line="280" w:lineRule="exact"/>
              <w:jc w:val="center"/>
              <w:rPr>
                <w:rFonts w:hint="eastAsia"/>
                <w:color w:val="auto"/>
                <w:szCs w:val="21"/>
                <w:highlight w:val="none"/>
                <w:lang w:val="zh-CN"/>
              </w:rPr>
            </w:pPr>
            <w:r>
              <w:rPr>
                <w:rFonts w:hint="eastAsia"/>
                <w:color w:val="auto"/>
                <w:szCs w:val="21"/>
                <w:highlight w:val="none"/>
                <w:lang w:val="zh-CN"/>
              </w:rPr>
              <w:t>（YNDQ/SY-0</w:t>
            </w:r>
            <w:r>
              <w:rPr>
                <w:rFonts w:hint="eastAsia"/>
                <w:color w:val="auto"/>
                <w:szCs w:val="21"/>
                <w:highlight w:val="none"/>
              </w:rPr>
              <w:t>64</w:t>
            </w:r>
            <w:r>
              <w:rPr>
                <w:rFonts w:hint="eastAsia"/>
                <w:color w:val="auto"/>
                <w:szCs w:val="21"/>
                <w:highlight w:val="none"/>
                <w:lang w:val="zh-CN"/>
              </w:rPr>
              <w:t>）</w:t>
            </w:r>
          </w:p>
        </w:tc>
        <w:tc>
          <w:tcPr>
            <w:tcW w:w="1407" w:type="dxa"/>
            <w:vMerge w:val="continue"/>
            <w:tcBorders>
              <w:tl2br w:val="nil"/>
              <w:tr2bl w:val="nil"/>
            </w:tcBorders>
            <w:vAlign w:val="center"/>
          </w:tcPr>
          <w:p>
            <w:pPr>
              <w:widowControl/>
              <w:adjustRightInd w:val="0"/>
              <w:snapToGrid w:val="0"/>
              <w:spacing w:line="280" w:lineRule="exact"/>
              <w:jc w:val="center"/>
              <w:rPr>
                <w:rFonts w:hint="eastAsia"/>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trPr>
        <w:tc>
          <w:tcPr>
            <w:tcW w:w="1145" w:type="dxa"/>
            <w:vMerge w:val="restart"/>
            <w:tcBorders>
              <w:tl2br w:val="nil"/>
              <w:tr2bl w:val="nil"/>
            </w:tcBorders>
            <w:vAlign w:val="center"/>
          </w:tcPr>
          <w:p>
            <w:pPr>
              <w:widowControl/>
              <w:adjustRightInd w:val="0"/>
              <w:snapToGrid w:val="0"/>
              <w:spacing w:line="280" w:lineRule="exact"/>
              <w:jc w:val="center"/>
              <w:rPr>
                <w:color w:val="auto"/>
                <w:szCs w:val="21"/>
                <w:highlight w:val="none"/>
              </w:rPr>
            </w:pPr>
            <w:r>
              <w:rPr>
                <w:color w:val="auto"/>
                <w:szCs w:val="21"/>
                <w:highlight w:val="none"/>
              </w:rPr>
              <w:t>TSP</w:t>
            </w:r>
          </w:p>
        </w:tc>
        <w:tc>
          <w:tcPr>
            <w:tcW w:w="3401" w:type="dxa"/>
            <w:vMerge w:val="restart"/>
            <w:tcBorders>
              <w:tl2br w:val="nil"/>
              <w:tr2bl w:val="nil"/>
            </w:tcBorders>
            <w:vAlign w:val="center"/>
          </w:tcPr>
          <w:p>
            <w:pPr>
              <w:widowControl/>
              <w:adjustRightInd w:val="0"/>
              <w:snapToGrid w:val="0"/>
              <w:spacing w:line="280" w:lineRule="exact"/>
              <w:jc w:val="center"/>
              <w:rPr>
                <w:rFonts w:hint="default" w:eastAsia="宋体"/>
                <w:color w:val="auto"/>
                <w:szCs w:val="21"/>
                <w:highlight w:val="none"/>
                <w:lang w:val="en-US" w:eastAsia="zh-CN"/>
              </w:rPr>
            </w:pPr>
            <w:r>
              <w:rPr>
                <w:color w:val="auto"/>
                <w:szCs w:val="21"/>
                <w:highlight w:val="none"/>
              </w:rPr>
              <w:t>《环境空气总悬浮颗粒物的测定重量法》GB/T</w:t>
            </w:r>
            <w:r>
              <w:rPr>
                <w:rFonts w:hint="eastAsia"/>
                <w:color w:val="auto"/>
                <w:szCs w:val="21"/>
                <w:highlight w:val="none"/>
                <w:lang w:val="en-US" w:eastAsia="zh-CN"/>
              </w:rPr>
              <w:t>1263-2022</w:t>
            </w:r>
          </w:p>
        </w:tc>
        <w:tc>
          <w:tcPr>
            <w:tcW w:w="2563" w:type="dxa"/>
            <w:tcBorders>
              <w:tl2br w:val="nil"/>
              <w:tr2bl w:val="nil"/>
            </w:tcBorders>
            <w:vAlign w:val="center"/>
          </w:tcPr>
          <w:p>
            <w:pPr>
              <w:widowControl/>
              <w:adjustRightInd w:val="0"/>
              <w:snapToGrid w:val="0"/>
              <w:spacing w:line="280" w:lineRule="exact"/>
              <w:jc w:val="center"/>
              <w:rPr>
                <w:rFonts w:hint="default" w:eastAsia="宋体"/>
                <w:color w:val="auto"/>
                <w:szCs w:val="21"/>
                <w:highlight w:val="none"/>
                <w:lang w:val="en-US" w:eastAsia="zh-CN"/>
              </w:rPr>
            </w:pPr>
            <w:r>
              <w:rPr>
                <w:rFonts w:hint="eastAsia"/>
                <w:color w:val="auto"/>
                <w:szCs w:val="21"/>
                <w:highlight w:val="none"/>
              </w:rPr>
              <w:t>崂应2050型环境空气</w:t>
            </w:r>
            <w:r>
              <w:rPr>
                <w:rFonts w:hint="eastAsia"/>
                <w:color w:val="auto"/>
                <w:szCs w:val="21"/>
                <w:highlight w:val="none"/>
                <w:lang w:val="en-US" w:eastAsia="zh-CN"/>
              </w:rPr>
              <w:t>/智能TSP综合采样器（YNDQ/XC-130、YNDQ/XC-131）</w:t>
            </w:r>
          </w:p>
        </w:tc>
        <w:tc>
          <w:tcPr>
            <w:tcW w:w="1407" w:type="dxa"/>
            <w:vMerge w:val="restart"/>
            <w:tcBorders>
              <w:tl2br w:val="nil"/>
              <w:tr2bl w:val="nil"/>
            </w:tcBorders>
            <w:vAlign w:val="center"/>
          </w:tcPr>
          <w:p>
            <w:pPr>
              <w:widowControl/>
              <w:adjustRightInd w:val="0"/>
              <w:snapToGrid w:val="0"/>
              <w:spacing w:line="280" w:lineRule="exact"/>
              <w:jc w:val="center"/>
              <w:rPr>
                <w:color w:val="auto"/>
                <w:szCs w:val="21"/>
                <w:highlight w:val="none"/>
              </w:rPr>
            </w:pPr>
            <w:r>
              <w:rPr>
                <w:rFonts w:hint="eastAsia"/>
                <w:color w:val="auto"/>
                <w:szCs w:val="21"/>
                <w:highlight w:val="none"/>
                <w:lang w:val="en-US" w:eastAsia="zh-CN"/>
              </w:rPr>
              <w:t>7</w:t>
            </w:r>
            <w:r>
              <w:rPr>
                <w:b w:val="0"/>
                <w:bCs/>
                <w:color w:val="auto"/>
                <w:highlight w:val="none"/>
              </w:rPr>
              <w:t>μg/m</w:t>
            </w:r>
            <w:r>
              <w:rPr>
                <w:b w:val="0"/>
                <w:bCs/>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blHeader/>
        </w:trPr>
        <w:tc>
          <w:tcPr>
            <w:tcW w:w="1145" w:type="dxa"/>
            <w:vMerge w:val="continue"/>
            <w:tcBorders>
              <w:tl2br w:val="nil"/>
              <w:tr2bl w:val="nil"/>
            </w:tcBorders>
            <w:vAlign w:val="center"/>
          </w:tcPr>
          <w:p>
            <w:pPr>
              <w:widowControl/>
              <w:adjustRightInd w:val="0"/>
              <w:snapToGrid w:val="0"/>
              <w:spacing w:line="280" w:lineRule="exact"/>
              <w:jc w:val="center"/>
              <w:rPr>
                <w:color w:val="auto"/>
                <w:highlight w:val="none"/>
              </w:rPr>
            </w:pPr>
          </w:p>
        </w:tc>
        <w:tc>
          <w:tcPr>
            <w:tcW w:w="3401" w:type="dxa"/>
            <w:vMerge w:val="continue"/>
            <w:tcBorders>
              <w:tl2br w:val="nil"/>
              <w:tr2bl w:val="nil"/>
            </w:tcBorders>
            <w:vAlign w:val="center"/>
          </w:tcPr>
          <w:p>
            <w:pPr>
              <w:widowControl/>
              <w:adjustRightInd w:val="0"/>
              <w:snapToGrid w:val="0"/>
              <w:spacing w:line="280" w:lineRule="exact"/>
              <w:jc w:val="center"/>
              <w:rPr>
                <w:color w:val="auto"/>
                <w:highlight w:val="none"/>
              </w:rPr>
            </w:pPr>
          </w:p>
        </w:tc>
        <w:tc>
          <w:tcPr>
            <w:tcW w:w="2563" w:type="dxa"/>
            <w:tcBorders>
              <w:tl2br w:val="nil"/>
              <w:tr2bl w:val="nil"/>
            </w:tcBorders>
            <w:vAlign w:val="center"/>
          </w:tcPr>
          <w:p>
            <w:pPr>
              <w:widowControl/>
              <w:adjustRightInd w:val="0"/>
              <w:snapToGrid w:val="0"/>
              <w:spacing w:line="280" w:lineRule="exact"/>
              <w:jc w:val="center"/>
              <w:rPr>
                <w:rFonts w:hint="default" w:eastAsia="宋体"/>
                <w:color w:val="auto"/>
                <w:szCs w:val="21"/>
                <w:highlight w:val="none"/>
                <w:lang w:val="en-US" w:eastAsia="zh-CN"/>
              </w:rPr>
            </w:pPr>
            <w:r>
              <w:rPr>
                <w:rFonts w:hint="eastAsia"/>
                <w:color w:val="auto"/>
                <w:szCs w:val="21"/>
                <w:highlight w:val="none"/>
                <w:lang w:val="en-US" w:eastAsia="zh-CN"/>
              </w:rPr>
              <w:t>AUW120D十万分之一天平（YNDQ/SY-009）</w:t>
            </w:r>
          </w:p>
        </w:tc>
        <w:tc>
          <w:tcPr>
            <w:tcW w:w="1407" w:type="dxa"/>
            <w:vMerge w:val="continue"/>
            <w:tcBorders>
              <w:tl2br w:val="nil"/>
              <w:tr2bl w:val="nil"/>
            </w:tcBorders>
            <w:vAlign w:val="center"/>
          </w:tcPr>
          <w:p>
            <w:pPr>
              <w:widowControl/>
              <w:adjustRightInd w:val="0"/>
              <w:snapToGrid w:val="0"/>
              <w:spacing w:line="280" w:lineRule="exac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blHeader/>
        </w:trPr>
        <w:tc>
          <w:tcPr>
            <w:tcW w:w="1145" w:type="dxa"/>
            <w:vMerge w:val="continue"/>
            <w:tcBorders>
              <w:tl2br w:val="nil"/>
              <w:tr2bl w:val="nil"/>
            </w:tcBorders>
            <w:vAlign w:val="center"/>
          </w:tcPr>
          <w:p>
            <w:pPr>
              <w:widowControl/>
              <w:adjustRightInd w:val="0"/>
              <w:snapToGrid w:val="0"/>
              <w:spacing w:line="280" w:lineRule="exact"/>
              <w:jc w:val="center"/>
              <w:rPr>
                <w:color w:val="auto"/>
                <w:highlight w:val="none"/>
              </w:rPr>
            </w:pPr>
          </w:p>
        </w:tc>
        <w:tc>
          <w:tcPr>
            <w:tcW w:w="3401" w:type="dxa"/>
            <w:vMerge w:val="continue"/>
            <w:tcBorders>
              <w:tl2br w:val="nil"/>
              <w:tr2bl w:val="nil"/>
            </w:tcBorders>
            <w:vAlign w:val="center"/>
          </w:tcPr>
          <w:p>
            <w:pPr>
              <w:widowControl/>
              <w:adjustRightInd w:val="0"/>
              <w:snapToGrid w:val="0"/>
              <w:spacing w:line="280" w:lineRule="exact"/>
              <w:jc w:val="center"/>
              <w:rPr>
                <w:color w:val="auto"/>
                <w:highlight w:val="none"/>
              </w:rPr>
            </w:pPr>
          </w:p>
        </w:tc>
        <w:tc>
          <w:tcPr>
            <w:tcW w:w="2563" w:type="dxa"/>
            <w:tcBorders>
              <w:tl2br w:val="nil"/>
              <w:tr2bl w:val="nil"/>
            </w:tcBorders>
            <w:vAlign w:val="center"/>
          </w:tcPr>
          <w:p>
            <w:pPr>
              <w:widowControl/>
              <w:adjustRightInd w:val="0"/>
              <w:snapToGrid w:val="0"/>
              <w:spacing w:line="280" w:lineRule="exact"/>
              <w:jc w:val="center"/>
              <w:rPr>
                <w:rFonts w:hint="default"/>
                <w:color w:val="auto"/>
                <w:szCs w:val="21"/>
                <w:highlight w:val="none"/>
                <w:lang w:val="en-US" w:eastAsia="zh-CN"/>
              </w:rPr>
            </w:pPr>
            <w:r>
              <w:rPr>
                <w:rFonts w:hint="eastAsia"/>
                <w:color w:val="auto"/>
                <w:szCs w:val="21"/>
                <w:highlight w:val="none"/>
                <w:lang w:val="en-US" w:eastAsia="zh-CN"/>
              </w:rPr>
              <w:t>THCZ恒温恒湿称重系统（YNDQ/SY-080）</w:t>
            </w:r>
          </w:p>
        </w:tc>
        <w:tc>
          <w:tcPr>
            <w:tcW w:w="1407" w:type="dxa"/>
            <w:vMerge w:val="continue"/>
            <w:tcBorders>
              <w:tl2br w:val="nil"/>
              <w:tr2bl w:val="nil"/>
            </w:tcBorders>
            <w:vAlign w:val="center"/>
          </w:tcPr>
          <w:p>
            <w:pPr>
              <w:widowControl/>
              <w:adjustRightInd w:val="0"/>
              <w:snapToGrid w:val="0"/>
              <w:spacing w:line="280" w:lineRule="exact"/>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5" w:type="dxa"/>
            <w:tcBorders>
              <w:tl2br w:val="nil"/>
              <w:tr2bl w:val="nil"/>
            </w:tcBorders>
            <w:vAlign w:val="center"/>
          </w:tcPr>
          <w:p>
            <w:pPr>
              <w:widowControl/>
              <w:adjustRightInd w:val="0"/>
              <w:snapToGrid w:val="0"/>
              <w:spacing w:line="280" w:lineRule="exact"/>
              <w:jc w:val="center"/>
              <w:rPr>
                <w:color w:val="auto"/>
                <w:szCs w:val="21"/>
                <w:highlight w:val="none"/>
              </w:rPr>
            </w:pPr>
            <w:r>
              <w:rPr>
                <w:color w:val="auto"/>
                <w:szCs w:val="21"/>
                <w:highlight w:val="none"/>
              </w:rPr>
              <w:t>TVOC</w:t>
            </w:r>
          </w:p>
        </w:tc>
        <w:tc>
          <w:tcPr>
            <w:tcW w:w="3401" w:type="dxa"/>
            <w:tcBorders>
              <w:tl2br w:val="nil"/>
              <w:tr2bl w:val="nil"/>
            </w:tcBorders>
            <w:vAlign w:val="center"/>
          </w:tcPr>
          <w:p>
            <w:pPr>
              <w:widowControl/>
              <w:adjustRightInd w:val="0"/>
              <w:snapToGrid w:val="0"/>
              <w:spacing w:line="280" w:lineRule="exact"/>
              <w:jc w:val="center"/>
              <w:rPr>
                <w:color w:val="auto"/>
                <w:szCs w:val="21"/>
                <w:highlight w:val="none"/>
              </w:rPr>
            </w:pPr>
            <w:r>
              <w:rPr>
                <w:rFonts w:hint="eastAsia"/>
                <w:color w:val="auto"/>
                <w:szCs w:val="21"/>
                <w:highlight w:val="none"/>
              </w:rPr>
              <w:t>室内空气质量标准</w:t>
            </w:r>
          </w:p>
          <w:p>
            <w:pPr>
              <w:widowControl/>
              <w:adjustRightInd w:val="0"/>
              <w:snapToGrid w:val="0"/>
              <w:spacing w:line="280" w:lineRule="exact"/>
              <w:jc w:val="center"/>
              <w:rPr>
                <w:rFonts w:hint="default" w:eastAsia="宋体"/>
                <w:color w:val="auto"/>
                <w:szCs w:val="21"/>
                <w:highlight w:val="none"/>
                <w:lang w:val="en-US" w:eastAsia="zh-CN"/>
              </w:rPr>
            </w:pPr>
            <w:r>
              <w:rPr>
                <w:rFonts w:hint="eastAsia"/>
                <w:color w:val="auto"/>
                <w:szCs w:val="21"/>
                <w:highlight w:val="none"/>
              </w:rPr>
              <w:t>GB/T 18883-2</w:t>
            </w:r>
            <w:r>
              <w:rPr>
                <w:rFonts w:hint="eastAsia"/>
                <w:color w:val="auto"/>
                <w:szCs w:val="21"/>
                <w:highlight w:val="none"/>
                <w:lang w:val="en-US" w:eastAsia="zh-CN"/>
              </w:rPr>
              <w:t>022</w:t>
            </w:r>
          </w:p>
        </w:tc>
        <w:tc>
          <w:tcPr>
            <w:tcW w:w="2563" w:type="dxa"/>
            <w:tcBorders>
              <w:tl2br w:val="nil"/>
              <w:tr2bl w:val="nil"/>
            </w:tcBorders>
            <w:vAlign w:val="center"/>
          </w:tcPr>
          <w:p>
            <w:pPr>
              <w:widowControl/>
              <w:adjustRightInd w:val="0"/>
              <w:snapToGrid w:val="0"/>
              <w:spacing w:line="280" w:lineRule="exact"/>
              <w:jc w:val="center"/>
              <w:rPr>
                <w:rFonts w:hint="eastAsia"/>
                <w:color w:val="auto"/>
                <w:szCs w:val="21"/>
                <w:highlight w:val="none"/>
                <w:lang w:val="en-US" w:eastAsia="zh-CN"/>
              </w:rPr>
            </w:pPr>
            <w:r>
              <w:rPr>
                <w:rFonts w:hint="eastAsia"/>
                <w:color w:val="auto"/>
                <w:szCs w:val="21"/>
                <w:highlight w:val="none"/>
              </w:rPr>
              <w:t>崂应2050型环境空气</w:t>
            </w:r>
            <w:r>
              <w:rPr>
                <w:rFonts w:hint="eastAsia"/>
                <w:color w:val="auto"/>
                <w:szCs w:val="21"/>
                <w:highlight w:val="none"/>
                <w:lang w:val="en-US" w:eastAsia="zh-CN"/>
              </w:rPr>
              <w:t>/智能综合采样器（YNDQ/XC-130、YNDQ/XC-131）</w:t>
            </w:r>
          </w:p>
          <w:p>
            <w:pPr>
              <w:widowControl/>
              <w:adjustRightInd w:val="0"/>
              <w:snapToGrid w:val="0"/>
              <w:spacing w:line="280" w:lineRule="exact"/>
              <w:jc w:val="center"/>
              <w:rPr>
                <w:color w:val="auto"/>
                <w:szCs w:val="21"/>
                <w:highlight w:val="none"/>
              </w:rPr>
            </w:pPr>
            <w:r>
              <w:rPr>
                <w:rFonts w:hint="eastAsia"/>
                <w:color w:val="auto"/>
                <w:szCs w:val="21"/>
                <w:highlight w:val="none"/>
              </w:rPr>
              <w:t>气相色谱仪9790Ⅱ</w:t>
            </w:r>
          </w:p>
          <w:p>
            <w:pPr>
              <w:widowControl/>
              <w:adjustRightInd w:val="0"/>
              <w:snapToGrid w:val="0"/>
              <w:spacing w:line="280" w:lineRule="exact"/>
              <w:jc w:val="center"/>
              <w:rPr>
                <w:color w:val="auto"/>
                <w:szCs w:val="21"/>
                <w:highlight w:val="none"/>
              </w:rPr>
            </w:pPr>
            <w:r>
              <w:rPr>
                <w:rFonts w:hint="eastAsia"/>
                <w:color w:val="auto"/>
                <w:szCs w:val="21"/>
                <w:highlight w:val="none"/>
                <w:lang w:val="zh-CN"/>
              </w:rPr>
              <w:t>（YNDQ/SY-0</w:t>
            </w:r>
            <w:r>
              <w:rPr>
                <w:rFonts w:hint="eastAsia"/>
                <w:color w:val="auto"/>
                <w:szCs w:val="21"/>
                <w:highlight w:val="none"/>
              </w:rPr>
              <w:t>64</w:t>
            </w:r>
            <w:r>
              <w:rPr>
                <w:rFonts w:hint="eastAsia"/>
                <w:color w:val="auto"/>
                <w:szCs w:val="21"/>
                <w:highlight w:val="none"/>
                <w:lang w:val="zh-CN"/>
              </w:rPr>
              <w:t>）</w:t>
            </w:r>
          </w:p>
        </w:tc>
        <w:tc>
          <w:tcPr>
            <w:tcW w:w="1407" w:type="dxa"/>
            <w:tcBorders>
              <w:tl2br w:val="nil"/>
              <w:tr2bl w:val="nil"/>
            </w:tcBorders>
            <w:vAlign w:val="center"/>
          </w:tcPr>
          <w:p>
            <w:pPr>
              <w:widowControl/>
              <w:adjustRightInd w:val="0"/>
              <w:snapToGrid w:val="0"/>
              <w:spacing w:line="280" w:lineRule="exact"/>
              <w:jc w:val="center"/>
              <w:rPr>
                <w:color w:val="auto"/>
                <w:szCs w:val="21"/>
                <w:highlight w:val="none"/>
              </w:rPr>
            </w:pPr>
            <w:r>
              <w:rPr>
                <w:rFonts w:hint="eastAsia"/>
                <w:color w:val="auto"/>
                <w:szCs w:val="21"/>
                <w:highlight w:val="none"/>
                <w:lang w:val="en-US" w:eastAsia="zh-CN"/>
              </w:rPr>
              <w:t>0.5</w:t>
            </w:r>
            <w:r>
              <w:rPr>
                <w:b w:val="0"/>
                <w:bCs/>
                <w:color w:val="auto"/>
                <w:highlight w:val="none"/>
              </w:rPr>
              <w:t>μ</w:t>
            </w:r>
            <w:r>
              <w:rPr>
                <w:color w:val="auto"/>
                <w:szCs w:val="21"/>
                <w:highlight w:val="none"/>
              </w:rPr>
              <w:t>g/m</w:t>
            </w:r>
            <w:r>
              <w:rPr>
                <w:color w:val="auto"/>
                <w:szCs w:val="21"/>
                <w:highlight w:val="none"/>
                <w:vertAlign w:val="superscript"/>
              </w:rPr>
              <w:t>3</w:t>
            </w:r>
          </w:p>
        </w:tc>
      </w:tr>
    </w:tbl>
    <w:p>
      <w:pPr>
        <w:spacing w:before="156" w:beforeLines="50" w:line="360" w:lineRule="auto"/>
        <w:ind w:firstLine="482"/>
        <w:rPr>
          <w:rFonts w:hAnsi="宋体"/>
          <w:color w:val="auto"/>
          <w:sz w:val="24"/>
          <w:highlight w:val="none"/>
        </w:rPr>
      </w:pPr>
      <w:r>
        <w:rPr>
          <w:rFonts w:hint="eastAsia" w:hAnsi="宋体"/>
          <w:color w:val="auto"/>
          <w:sz w:val="24"/>
          <w:highlight w:val="none"/>
        </w:rPr>
        <w:t>（4）评价标准</w:t>
      </w:r>
    </w:p>
    <w:p>
      <w:pPr>
        <w:pStyle w:val="485"/>
        <w:rPr>
          <w:rFonts w:hAnsi="Times New Roman"/>
          <w:color w:val="auto"/>
          <w:highlight w:val="none"/>
        </w:rPr>
      </w:pPr>
      <w:r>
        <w:rPr>
          <w:rFonts w:hint="eastAsia"/>
          <w:color w:val="auto"/>
          <w:highlight w:val="none"/>
        </w:rPr>
        <w:t>TSP执行《环境空气质量标准》（GB3095-2012）中的二级标准，非甲烷总烃参照执行《大气污染物综合排放标准详解》中规定的2mg/m</w:t>
      </w:r>
      <w:r>
        <w:rPr>
          <w:rFonts w:hint="eastAsia"/>
          <w:color w:val="auto"/>
          <w:highlight w:val="none"/>
          <w:vertAlign w:val="superscript"/>
        </w:rPr>
        <w:t>3</w:t>
      </w:r>
      <w:r>
        <w:rPr>
          <w:rFonts w:hint="eastAsia"/>
          <w:color w:val="auto"/>
          <w:highlight w:val="none"/>
        </w:rPr>
        <w:t>标准限值。T</w:t>
      </w:r>
      <w:r>
        <w:rPr>
          <w:color w:val="auto"/>
          <w:highlight w:val="none"/>
        </w:rPr>
        <w:t>VOC</w:t>
      </w:r>
      <w:r>
        <w:rPr>
          <w:rFonts w:hint="eastAsia"/>
          <w:color w:val="auto"/>
          <w:highlight w:val="none"/>
        </w:rPr>
        <w:t>参照《环境影响评价技术导则大气环境（H</w:t>
      </w:r>
      <w:r>
        <w:rPr>
          <w:color w:val="auto"/>
          <w:highlight w:val="none"/>
        </w:rPr>
        <w:t>J2.2</w:t>
      </w:r>
      <w:r>
        <w:rPr>
          <w:rFonts w:hint="eastAsia"/>
          <w:color w:val="auto"/>
          <w:highlight w:val="none"/>
        </w:rPr>
        <w:t>-</w:t>
      </w:r>
      <w:r>
        <w:rPr>
          <w:color w:val="auto"/>
          <w:highlight w:val="none"/>
        </w:rPr>
        <w:t>2018</w:t>
      </w:r>
      <w:r>
        <w:rPr>
          <w:rFonts w:hint="eastAsia"/>
          <w:color w:val="auto"/>
          <w:highlight w:val="none"/>
        </w:rPr>
        <w:t>）》</w:t>
      </w:r>
      <w:r>
        <w:rPr>
          <w:rFonts w:hAnsi="Times New Roman"/>
          <w:color w:val="auto"/>
          <w:highlight w:val="none"/>
        </w:rPr>
        <w:t>附录D中规定的600μg/m</w:t>
      </w:r>
      <w:r>
        <w:rPr>
          <w:rFonts w:hAnsi="Times New Roman"/>
          <w:color w:val="auto"/>
          <w:highlight w:val="none"/>
          <w:vertAlign w:val="superscript"/>
        </w:rPr>
        <w:t>3</w:t>
      </w:r>
      <w:r>
        <w:rPr>
          <w:rFonts w:hAnsi="Times New Roman"/>
          <w:color w:val="auto"/>
          <w:highlight w:val="none"/>
        </w:rPr>
        <w:t>限值</w:t>
      </w:r>
      <w:r>
        <w:rPr>
          <w:rFonts w:hint="eastAsia" w:hAnsi="Times New Roman"/>
          <w:color w:val="auto"/>
          <w:highlight w:val="none"/>
        </w:rPr>
        <w:t>。</w:t>
      </w:r>
    </w:p>
    <w:p>
      <w:pPr>
        <w:pStyle w:val="485"/>
        <w:rPr>
          <w:rFonts w:hAnsi="Times New Roman"/>
          <w:color w:val="auto"/>
          <w:highlight w:val="none"/>
        </w:rPr>
      </w:pPr>
      <w:r>
        <w:rPr>
          <w:rFonts w:hint="eastAsia" w:hAnsi="Times New Roman"/>
          <w:color w:val="auto"/>
          <w:highlight w:val="none"/>
        </w:rPr>
        <w:t>（</w:t>
      </w:r>
      <w:r>
        <w:rPr>
          <w:rFonts w:hAnsi="Times New Roman"/>
          <w:color w:val="auto"/>
          <w:highlight w:val="none"/>
        </w:rPr>
        <w:t>5</w:t>
      </w:r>
      <w:r>
        <w:rPr>
          <w:rFonts w:hint="eastAsia" w:hAnsi="Times New Roman"/>
          <w:color w:val="auto"/>
          <w:highlight w:val="none"/>
        </w:rPr>
        <w:t>）环境空气质量现状评价方法</w:t>
      </w:r>
    </w:p>
    <w:p>
      <w:pPr>
        <w:pStyle w:val="485"/>
        <w:rPr>
          <w:rFonts w:hAnsi="Times New Roman"/>
          <w:color w:val="auto"/>
          <w:highlight w:val="none"/>
        </w:rPr>
      </w:pPr>
      <w:r>
        <w:rPr>
          <w:rFonts w:hint="eastAsia" w:hAnsi="Times New Roman"/>
          <w:color w:val="auto"/>
          <w:highlight w:val="none"/>
        </w:rPr>
        <w:t>评价采用单项质量指数评价法，计算各污染物的单因子指数。单项指标评价法的表达公式为：</w:t>
      </w:r>
    </w:p>
    <w:p>
      <w:pPr>
        <w:pStyle w:val="485"/>
        <w:ind w:firstLine="0" w:firstLineChars="0"/>
        <w:jc w:val="center"/>
        <w:rPr>
          <w:rFonts w:hAnsi="Times New Roman"/>
          <w:color w:val="auto"/>
          <w:highlight w:val="none"/>
        </w:rPr>
      </w:pPr>
      <w:r>
        <w:rPr>
          <w:rFonts w:hAnsi="Times New Roman"/>
          <w:color w:val="auto"/>
          <w:highlight w:val="none"/>
        </w:rPr>
        <w:t>Pi=Ci/C0i</w:t>
      </w:r>
    </w:p>
    <w:p>
      <w:pPr>
        <w:pStyle w:val="485"/>
        <w:rPr>
          <w:rFonts w:hAnsi="Times New Roman"/>
          <w:color w:val="auto"/>
          <w:highlight w:val="none"/>
        </w:rPr>
      </w:pPr>
      <w:r>
        <w:rPr>
          <w:rFonts w:hint="eastAsia" w:hAnsi="Times New Roman"/>
          <w:color w:val="auto"/>
          <w:highlight w:val="none"/>
        </w:rPr>
        <w:t>式中：Pi—某种污染因子的单因子指数；</w:t>
      </w:r>
    </w:p>
    <w:p>
      <w:pPr>
        <w:pStyle w:val="485"/>
        <w:ind w:firstLine="1210" w:firstLineChars="500"/>
        <w:rPr>
          <w:rFonts w:hAnsi="Times New Roman"/>
          <w:color w:val="auto"/>
          <w:highlight w:val="none"/>
        </w:rPr>
      </w:pPr>
      <w:r>
        <w:rPr>
          <w:rFonts w:hint="eastAsia" w:hAnsi="Times New Roman"/>
          <w:color w:val="auto"/>
          <w:highlight w:val="none"/>
        </w:rPr>
        <w:t>Ci—某种污染因子不同采样时间的实测浓度值（mg/m</w:t>
      </w:r>
      <w:r>
        <w:rPr>
          <w:rFonts w:hint="eastAsia" w:hAnsi="Times New Roman"/>
          <w:color w:val="auto"/>
          <w:highlight w:val="none"/>
          <w:vertAlign w:val="superscript"/>
        </w:rPr>
        <w:t>3</w:t>
      </w:r>
      <w:r>
        <w:rPr>
          <w:rFonts w:hint="eastAsia" w:hAnsi="Times New Roman"/>
          <w:color w:val="auto"/>
          <w:highlight w:val="none"/>
        </w:rPr>
        <w:t>）；</w:t>
      </w:r>
    </w:p>
    <w:p>
      <w:pPr>
        <w:pStyle w:val="485"/>
        <w:ind w:firstLine="1210" w:firstLineChars="500"/>
        <w:rPr>
          <w:rFonts w:hAnsi="Times New Roman"/>
          <w:color w:val="auto"/>
          <w:highlight w:val="none"/>
        </w:rPr>
      </w:pPr>
      <w:r>
        <w:rPr>
          <w:rFonts w:hint="eastAsia" w:hAnsi="Times New Roman"/>
          <w:color w:val="auto"/>
          <w:highlight w:val="none"/>
        </w:rPr>
        <w:t>C0i—某种污染因子的环境空气质量标准浓度（mg/m</w:t>
      </w:r>
      <w:r>
        <w:rPr>
          <w:rFonts w:hint="eastAsia" w:hAnsi="Times New Roman"/>
          <w:color w:val="auto"/>
          <w:highlight w:val="none"/>
          <w:vertAlign w:val="superscript"/>
        </w:rPr>
        <w:t>3</w:t>
      </w:r>
      <w:r>
        <w:rPr>
          <w:rFonts w:hint="eastAsia" w:hAnsi="Times New Roman"/>
          <w:color w:val="auto"/>
          <w:highlight w:val="none"/>
        </w:rPr>
        <w:t>）。</w:t>
      </w:r>
    </w:p>
    <w:p>
      <w:pPr>
        <w:pStyle w:val="485"/>
        <w:ind w:firstLine="1210" w:firstLineChars="500"/>
        <w:rPr>
          <w:rFonts w:hAnsi="Times New Roman"/>
          <w:color w:val="auto"/>
          <w:highlight w:val="none"/>
        </w:rPr>
      </w:pPr>
      <w:r>
        <w:rPr>
          <w:rFonts w:hint="eastAsia" w:hAnsi="Times New Roman"/>
          <w:color w:val="auto"/>
          <w:highlight w:val="none"/>
        </w:rPr>
        <w:t>当Pi＞1.0时，为超标；当Pi≤1时，为不超标。</w:t>
      </w:r>
    </w:p>
    <w:p>
      <w:pPr>
        <w:spacing w:line="360" w:lineRule="auto"/>
        <w:ind w:firstLine="480"/>
        <w:rPr>
          <w:color w:val="auto"/>
          <w:sz w:val="24"/>
          <w:highlight w:val="none"/>
        </w:rPr>
      </w:pPr>
      <w:r>
        <w:rPr>
          <w:rFonts w:hAnsi="宋体"/>
          <w:color w:val="auto"/>
          <w:sz w:val="24"/>
          <w:highlight w:val="none"/>
        </w:rPr>
        <w:t>（6）监测结果</w:t>
      </w:r>
    </w:p>
    <w:p>
      <w:pPr>
        <w:pStyle w:val="485"/>
        <w:rPr>
          <w:color w:val="auto"/>
          <w:highlight w:val="none"/>
        </w:rPr>
      </w:pPr>
      <w:r>
        <w:rPr>
          <w:rFonts w:hint="eastAsia"/>
          <w:color w:val="auto"/>
          <w:highlight w:val="none"/>
        </w:rPr>
        <w:t>环境空气质量现状监测结果见表4.2</w:t>
      </w:r>
      <w:r>
        <w:rPr>
          <w:color w:val="auto"/>
          <w:highlight w:val="none"/>
        </w:rPr>
        <w:t>-</w:t>
      </w:r>
      <w:r>
        <w:rPr>
          <w:rFonts w:hint="eastAsia"/>
          <w:color w:val="auto"/>
          <w:highlight w:val="none"/>
          <w:lang w:val="en-US" w:eastAsia="zh-CN"/>
        </w:rPr>
        <w:t>4~4.2-6</w:t>
      </w:r>
      <w:r>
        <w:rPr>
          <w:rFonts w:hint="eastAsia"/>
          <w:color w:val="auto"/>
          <w:highlight w:val="none"/>
        </w:rPr>
        <w:t>。</w:t>
      </w:r>
    </w:p>
    <w:p>
      <w:pPr>
        <w:pStyle w:val="21"/>
        <w:spacing w:after="0" w:line="360" w:lineRule="auto"/>
        <w:jc w:val="center"/>
        <w:rPr>
          <w:rFonts w:hAnsi="宋体"/>
          <w:b/>
          <w:color w:val="auto"/>
          <w:sz w:val="24"/>
          <w:highlight w:val="none"/>
        </w:rPr>
      </w:pPr>
      <w:r>
        <w:rPr>
          <w:rFonts w:hAnsi="宋体"/>
          <w:b/>
          <w:color w:val="auto"/>
          <w:sz w:val="24"/>
          <w:highlight w:val="none"/>
        </w:rPr>
        <w:t>表</w:t>
      </w:r>
      <w:r>
        <w:rPr>
          <w:rFonts w:hint="eastAsia" w:hAnsi="宋体"/>
          <w:b/>
          <w:color w:val="auto"/>
          <w:sz w:val="24"/>
          <w:highlight w:val="none"/>
        </w:rPr>
        <w:t>4.2-</w:t>
      </w:r>
      <w:r>
        <w:rPr>
          <w:rFonts w:hint="eastAsia" w:hAnsi="宋体"/>
          <w:b/>
          <w:color w:val="auto"/>
          <w:sz w:val="24"/>
          <w:highlight w:val="none"/>
          <w:lang w:val="en-US" w:eastAsia="zh-CN"/>
        </w:rPr>
        <w:t>4</w:t>
      </w:r>
      <w:r>
        <w:rPr>
          <w:rFonts w:hAnsi="宋体"/>
          <w:b/>
          <w:color w:val="auto"/>
          <w:sz w:val="24"/>
          <w:highlight w:val="none"/>
        </w:rPr>
        <w:t xml:space="preserve">  </w:t>
      </w:r>
      <w:r>
        <w:rPr>
          <w:rFonts w:hint="eastAsia" w:hAnsi="宋体"/>
          <w:b/>
          <w:color w:val="auto"/>
          <w:sz w:val="24"/>
          <w:highlight w:val="none"/>
        </w:rPr>
        <w:t>T</w:t>
      </w:r>
      <w:r>
        <w:rPr>
          <w:rFonts w:hAnsi="宋体"/>
          <w:b/>
          <w:color w:val="auto"/>
          <w:sz w:val="24"/>
          <w:highlight w:val="none"/>
        </w:rPr>
        <w:t>SP</w:t>
      </w:r>
      <w:r>
        <w:rPr>
          <w:rFonts w:hint="eastAsia" w:hAnsi="宋体"/>
          <w:b/>
          <w:color w:val="auto"/>
          <w:sz w:val="24"/>
          <w:highlight w:val="none"/>
          <w:lang w:val="en-US" w:eastAsia="zh-CN"/>
        </w:rPr>
        <w:t>日均值</w:t>
      </w:r>
      <w:r>
        <w:rPr>
          <w:rFonts w:hAnsi="宋体"/>
          <w:b/>
          <w:color w:val="auto"/>
          <w:sz w:val="24"/>
          <w:highlight w:val="none"/>
        </w:rPr>
        <w:t>监测结果统计表</w:t>
      </w:r>
    </w:p>
    <w:tbl>
      <w:tblPr>
        <w:tblStyle w:val="55"/>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1852"/>
        <w:gridCol w:w="1271"/>
        <w:gridCol w:w="184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6" w:type="dxa"/>
            <w:vMerge w:val="restart"/>
            <w:tcBorders>
              <w:tl2br w:val="nil"/>
              <w:tr2bl w:val="nil"/>
            </w:tcBorders>
          </w:tcPr>
          <w:p>
            <w:pPr>
              <w:ind w:left="106" w:leftChars="50"/>
              <w:jc w:val="right"/>
              <w:rPr>
                <w:color w:val="auto"/>
                <w:szCs w:val="21"/>
                <w:highlight w:val="none"/>
              </w:rPr>
            </w:pPr>
            <w:r>
              <w:rPr>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5715</wp:posOffset>
                      </wp:positionV>
                      <wp:extent cx="1207770" cy="851535"/>
                      <wp:effectExtent l="2540" t="3810" r="8890" b="20955"/>
                      <wp:wrapNone/>
                      <wp:docPr id="22" name="直接箭头连接符 22"/>
                      <wp:cNvGraphicFramePr/>
                      <a:graphic xmlns:a="http://schemas.openxmlformats.org/drawingml/2006/main">
                        <a:graphicData uri="http://schemas.microsoft.com/office/word/2010/wordprocessingShape">
                          <wps:wsp>
                            <wps:cNvCnPr>
                              <a:cxnSpLocks noChangeShapeType="1"/>
                            </wps:cNvCnPr>
                            <wps:spPr bwMode="auto">
                              <a:xfrm flipH="1" flipV="1">
                                <a:off x="0" y="0"/>
                                <a:ext cx="1207791" cy="851633"/>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4.55pt;margin-top:0.45pt;height:67.05pt;width:95.1pt;z-index:251663360;mso-width-relative:page;mso-height-relative:page;" filled="f" stroked="t" coordsize="21600,21600" o:gfxdata="UEsDBAoAAAAAAIdO4kAAAAAAAAAAAAAAAAAEAAAAZHJzL1BLAwQUAAAACACHTuJA6SyT6tcAAAAH&#10;AQAADwAAAGRycy9kb3ducmV2LnhtbE2OQU/CQBSE7yb+h80z8WJgtyoItVsOJhKIBwMYztvuo23s&#10;vm26C0V+vY+T3mYyk5kvW5xdK07Yh8aThmSsQCCV3jZUafjavY9mIEI0ZE3rCTX8YIBFfnuTmdT6&#10;gTZ42sZK8AiF1GioY+xSKUNZozNh7Dskzg6+dyay7StpezPwuGvlo1JT6UxD/FCbDt9qLL+3R6fh&#10;eborlkOJ6xf5eRnsx2q/XD84re/vEvUKIuI5/pXhis/okDNT4Y9kg2g1jOYJNzXMQVzTWcK2YPE0&#10;USDzTP7nz38BUEsDBBQAAAAIAIdO4kB+8vB2BQIAANkDAAAOAAAAZHJzL2Uyb0RvYy54bWytU81u&#10;EzEQviPxDpbvZJOt0p9VNj0kKhwKRGrL3fF6dy1sj2U72eQleAEkTtATcOqdpynlMRh7Q0rLpQf2&#10;YI09/r755vPs5HSjFVkL5yWYko4GQ0qE4VBJ05T06vLsxTElPjBTMQVGlHQrPD2dPn826WwhcmhB&#10;VcIRJDG+6GxJ2xBskWWet0IzPwArDCZrcJoF3LomqxzrkF2rLB8OD7MOXGUdcOE9ns77JN0xuqcQ&#10;Ql1LLubAV1qY0LM6oVjAlnwrrafTpLauBQ9v69qLQFRJsdOQViyC8TKu2XTCisYx20q+k8CeIuFR&#10;T5pJg0X3VHMWGFk5+Q+VltyBhzoMOOisbyQ5gl2Mho+8uWiZFakXtNrbven+/9HyN+uFI7IqaZ5T&#10;YpjGF7/7ePPzw5e7799uP9/8+vEpxl+vCebRrM76AjEzs3CxXb4xF/Yc+HtPDMxaZhqRRF9uLRKN&#10;IiJ7AIkbb7HksnsNFd5hqwDJuU3tNKmVtK8iMEXvYhTLoE9kkx5tu380sQmE4+EoHx4dnSCCY+54&#10;PDo8OEhlWREZI9o6H14K0CQGJfXBMdm0YQbG4HyA62uw9bkPUe89IIINnEml0pgoQ7qSnozzcRLl&#10;QckqJuM175rlTDmyZnHQ0rdT8eCag5Wp+iLK7LyJdvTGLqHaLtwfz/DFk5rddMaR+nuf0Pd/5PQ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yT6tcAAAAHAQAADwAAAAAAAAABACAAAAAiAAAAZHJz&#10;L2Rvd25yZXYueG1sUEsBAhQAFAAAAAgAh07iQH7y8HYFAgAA2QMAAA4AAAAAAAAAAQAgAAAAJgEA&#10;AGRycy9lMm9Eb2MueG1sUEsFBgAAAAAGAAYAWQEAAJ0FAAAAAA==&#10;">
                      <v:fill on="f" focussize="0,0"/>
                      <v:stroke color="#000000" joinstyle="round"/>
                      <v:imagedata o:title=""/>
                      <o:lock v:ext="edit" aspectratio="f"/>
                    </v:shape>
                  </w:pict>
                </mc:Fallback>
              </mc:AlternateContent>
            </w:r>
            <w:r>
              <w:rPr>
                <w:rFonts w:hint="eastAsia"/>
                <w:color w:val="auto"/>
                <w:szCs w:val="21"/>
                <w:highlight w:val="none"/>
              </w:rPr>
              <w:t>采样项目</w:t>
            </w:r>
          </w:p>
          <w:p>
            <w:pPr>
              <w:ind w:left="106" w:leftChars="50"/>
              <w:jc w:val="right"/>
              <w:rPr>
                <w:color w:val="auto"/>
                <w:szCs w:val="21"/>
                <w:highlight w:val="none"/>
              </w:rPr>
            </w:pPr>
            <w:r>
              <w:rPr>
                <w:rFonts w:hint="eastAsia"/>
                <w:color w:val="auto"/>
                <w:szCs w:val="21"/>
                <w:highlight w:val="none"/>
              </w:rPr>
              <w:t>及地点</w:t>
            </w:r>
          </w:p>
          <w:p>
            <w:pPr>
              <w:ind w:firstLine="212" w:firstLineChars="100"/>
              <w:jc w:val="left"/>
              <w:rPr>
                <w:color w:val="auto"/>
                <w:szCs w:val="21"/>
                <w:highlight w:val="none"/>
              </w:rPr>
            </w:pPr>
            <w:r>
              <w:rPr>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163830</wp:posOffset>
                      </wp:positionV>
                      <wp:extent cx="1211580" cy="347980"/>
                      <wp:effectExtent l="1270" t="4445" r="6350" b="9525"/>
                      <wp:wrapNone/>
                      <wp:docPr id="13" name="直接箭头连接符 13"/>
                      <wp:cNvGraphicFramePr/>
                      <a:graphic xmlns:a="http://schemas.openxmlformats.org/drawingml/2006/main">
                        <a:graphicData uri="http://schemas.microsoft.com/office/word/2010/wordprocessingShape">
                          <wps:wsp>
                            <wps:cNvCnPr>
                              <a:cxnSpLocks noChangeShapeType="1"/>
                            </wps:cNvCnPr>
                            <wps:spPr bwMode="auto">
                              <a:xfrm flipH="1" flipV="1">
                                <a:off x="0" y="0"/>
                                <a:ext cx="1211746" cy="34798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4.95pt;margin-top:12.9pt;height:27.4pt;width:95.4pt;z-index:251662336;mso-width-relative:page;mso-height-relative:page;" filled="f" stroked="t" coordsize="21600,21600" o:gfxdata="UEsDBAoAAAAAAIdO4kAAAAAAAAAAAAAAAAAEAAAAZHJzL1BLAwQUAAAACACHTuJA2OySy9gAAAAI&#10;AQAADwAAAGRycy9kb3ducmV2LnhtbE2PwU7DMBBE75X4B2srcalauxWENMTpAYmKigOiRZydeEmi&#10;xusodpvC17M9wXFnRrNv8s3FdeKMQ2g9aVguFAikytuWag0fh+d5CiJEQ9Z0nlDDNwbYFDeT3GTW&#10;j/SO532sBZdQyIyGJsY+kzJUDToTFr5HYu/LD85EPoda2sGMXO46uVIqkc60xB8a0+NTg9Vxf3Ia&#10;7pJDuR0r3D3It5/Rvr58bnczp/XtdKkeQUS8xL8wXPEZHQpmKv2JbBCdhvl6zUkNq3tecPVTxUKp&#10;IVUJyCKX/wcUv1BLAwQUAAAACACHTuJA8vU7dwYCAADZAwAADgAAAGRycy9lMm9Eb2MueG1srVPN&#10;ctMwEL4zwztodCeO039PnB6SKRwKZKaFuyLLtgZJq5GUOHkJXoAZTpQTcOq9T1PKY7CSQ1rKpQd8&#10;8Ky8+r7d79v1+HStFVkJ5yWYkuaDISXCcKikaUr67vLsxTElPjBTMQVGlHQjPD2dPH827mwhRtCC&#10;qoQjSGJ80dmStiHYIss8b4VmfgBWGEzW4DQLeHRNVjnWIbtW2Wg4PMw6cJV1wIX3+HXWJ+mW0T2F&#10;EOpacjEDvtTChJ7VCcUCSvKttJ5OUrd1LXh4W9deBKJKikpDemMRjBfxnU3GrGgcs63k2xbYU1p4&#10;pEkzabDojmrGAiNLJ/+h0pI78FCHAQed9UKSI6giHz7y5qJlViQtaLW3O9P9/6Plb1ZzR2SFm7BH&#10;iWEaJ3736frnx6u7H99vv1z/uvkc429fCebRrM76AjFTM3dRLl+bC3sO/IMnBqYtM41ITV9uLBLl&#10;EZH9BYkHb7HkonsNFd5hywDJuXXtNKmVtK8iMEXvYxTLoE9knYa22Q1NrAPh+DEf5fnR/iElHHN7&#10;+0cnx2mqGSsiY0Rb58NLAZrEoKQ+OCabNkzBGNwPcH0Ntjr3IfZ7D4hgA2dSqbQmypCupCcHo4PU&#10;lAclq5iM17xrFlPlyIrFRUtPEo+Zh9ccLE3VF1Fm6020ozd2AdVm7v54hhNP3Wy3M67Uw3NC3/+R&#10;k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7JLL2AAAAAgBAAAPAAAAAAAAAAEAIAAAACIAAABk&#10;cnMvZG93bnJldi54bWxQSwECFAAUAAAACACHTuJA8vU7dwYCAADZAwAADgAAAAAAAAABACAAAAAn&#10;AQAAZHJzL2Uyb0RvYy54bWxQSwUGAAAAAAYABgBZAQAAnwUAAAAA&#10;">
                      <v:fill on="f" focussize="0,0"/>
                      <v:stroke color="#000000" joinstyle="round"/>
                      <v:imagedata o:title=""/>
                      <o:lock v:ext="edit" aspectratio="f"/>
                    </v:shape>
                  </w:pict>
                </mc:Fallback>
              </mc:AlternateContent>
            </w:r>
            <w:r>
              <w:rPr>
                <w:rFonts w:hint="eastAsia"/>
                <w:color w:val="auto"/>
                <w:szCs w:val="21"/>
                <w:highlight w:val="none"/>
              </w:rPr>
              <w:t>结果</w:t>
            </w:r>
          </w:p>
          <w:p>
            <w:pPr>
              <w:rPr>
                <w:color w:val="auto"/>
                <w:szCs w:val="21"/>
                <w:highlight w:val="none"/>
              </w:rPr>
            </w:pPr>
          </w:p>
          <w:p>
            <w:pPr>
              <w:rPr>
                <w:rFonts w:hint="eastAsia" w:eastAsia="宋体"/>
                <w:color w:val="auto"/>
                <w:szCs w:val="21"/>
                <w:highlight w:val="none"/>
                <w:lang w:val="en-US" w:eastAsia="zh-CN"/>
              </w:rPr>
            </w:pPr>
            <w:r>
              <w:rPr>
                <w:rFonts w:hint="eastAsia"/>
                <w:color w:val="auto"/>
                <w:szCs w:val="21"/>
                <w:highlight w:val="none"/>
              </w:rPr>
              <w:t>采样</w:t>
            </w:r>
            <w:r>
              <w:rPr>
                <w:rFonts w:hint="eastAsia"/>
                <w:color w:val="auto"/>
                <w:szCs w:val="21"/>
                <w:highlight w:val="none"/>
                <w:lang w:val="en-US" w:eastAsia="zh-CN"/>
              </w:rPr>
              <w:t>日期</w:t>
            </w:r>
          </w:p>
        </w:tc>
        <w:tc>
          <w:tcPr>
            <w:tcW w:w="6510" w:type="dxa"/>
            <w:gridSpan w:val="4"/>
            <w:tcBorders>
              <w:tl2br w:val="nil"/>
              <w:tr2bl w:val="nil"/>
            </w:tcBorders>
            <w:vAlign w:val="center"/>
          </w:tcPr>
          <w:p>
            <w:pPr>
              <w:jc w:val="center"/>
              <w:rPr>
                <w:bCs/>
                <w:color w:val="auto"/>
                <w:szCs w:val="21"/>
                <w:highlight w:val="none"/>
                <w:lang w:val="en-GB"/>
              </w:rPr>
            </w:pPr>
            <w:r>
              <w:rPr>
                <w:rFonts w:hint="eastAsia"/>
                <w:bCs/>
                <w:color w:val="auto"/>
                <w:szCs w:val="21"/>
                <w:highlight w:val="none"/>
                <w:lang w:val="en-GB"/>
              </w:rPr>
              <w:t>TSP（</w:t>
            </w:r>
            <w:r>
              <w:rPr>
                <w:b w:val="0"/>
                <w:bCs/>
                <w:color w:val="auto"/>
                <w:highlight w:val="none"/>
              </w:rPr>
              <w:t>μg/m</w:t>
            </w:r>
            <w:r>
              <w:rPr>
                <w:b w:val="0"/>
                <w:bCs/>
                <w:color w:val="auto"/>
                <w:highlight w:val="none"/>
                <w:vertAlign w:val="superscript"/>
              </w:rPr>
              <w:t>3</w:t>
            </w:r>
            <w:r>
              <w:rPr>
                <w:rFonts w:hint="eastAsia"/>
                <w:bCs/>
                <w:color w:val="auto"/>
                <w:szCs w:val="21"/>
                <w:highlight w:val="none"/>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006" w:type="dxa"/>
            <w:vMerge w:val="continue"/>
            <w:tcBorders>
              <w:tl2br w:val="nil"/>
              <w:tr2bl w:val="nil"/>
            </w:tcBorders>
          </w:tcPr>
          <w:p>
            <w:pPr>
              <w:ind w:left="636" w:leftChars="250" w:hanging="106" w:hangingChars="50"/>
              <w:jc w:val="right"/>
              <w:rPr>
                <w:color w:val="auto"/>
                <w:szCs w:val="21"/>
                <w:highlight w:val="none"/>
              </w:rPr>
            </w:pPr>
          </w:p>
        </w:tc>
        <w:tc>
          <w:tcPr>
            <w:tcW w:w="1852" w:type="dxa"/>
            <w:tcBorders>
              <w:tl2br w:val="nil"/>
              <w:tr2bl w:val="nil"/>
            </w:tcBorders>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采样时间</w:t>
            </w:r>
          </w:p>
        </w:tc>
        <w:tc>
          <w:tcPr>
            <w:tcW w:w="1271" w:type="dxa"/>
            <w:tcBorders>
              <w:tl2br w:val="nil"/>
              <w:tr2bl w:val="nil"/>
            </w:tcBorders>
            <w:vAlign w:val="center"/>
          </w:tcPr>
          <w:p>
            <w:pPr>
              <w:jc w:val="center"/>
              <w:rPr>
                <w:bCs/>
                <w:color w:val="auto"/>
                <w:szCs w:val="21"/>
                <w:highlight w:val="none"/>
                <w:lang w:val="en-GB"/>
              </w:rPr>
            </w:pPr>
            <w:r>
              <w:rPr>
                <w:rFonts w:hint="eastAsia"/>
                <w:bCs/>
                <w:color w:val="auto"/>
                <w:szCs w:val="21"/>
                <w:highlight w:val="none"/>
                <w:lang w:val="en-GB"/>
              </w:rPr>
              <w:t>1#：项目区内</w:t>
            </w:r>
          </w:p>
        </w:tc>
        <w:tc>
          <w:tcPr>
            <w:tcW w:w="1847" w:type="dxa"/>
            <w:tcBorders>
              <w:tl2br w:val="nil"/>
              <w:tr2bl w:val="nil"/>
            </w:tcBorders>
            <w:vAlign w:val="center"/>
          </w:tcPr>
          <w:p>
            <w:pPr>
              <w:jc w:val="center"/>
              <w:rPr>
                <w:bCs/>
                <w:color w:val="auto"/>
                <w:szCs w:val="21"/>
                <w:highlight w:val="none"/>
              </w:rPr>
            </w:pPr>
            <w:r>
              <w:rPr>
                <w:rFonts w:hint="eastAsia"/>
                <w:bCs/>
                <w:color w:val="auto"/>
                <w:szCs w:val="21"/>
                <w:highlight w:val="none"/>
                <w:lang w:val="en-US" w:eastAsia="zh-CN"/>
              </w:rPr>
              <w:t>采样时间</w:t>
            </w:r>
          </w:p>
        </w:tc>
        <w:tc>
          <w:tcPr>
            <w:tcW w:w="1540" w:type="dxa"/>
            <w:tcBorders>
              <w:tl2br w:val="nil"/>
              <w:tr2bl w:val="nil"/>
            </w:tcBorders>
            <w:vAlign w:val="bottom"/>
          </w:tcPr>
          <w:p>
            <w:pPr>
              <w:jc w:val="center"/>
              <w:rPr>
                <w:rFonts w:hint="default" w:eastAsia="宋体"/>
                <w:bCs/>
                <w:color w:val="auto"/>
                <w:szCs w:val="21"/>
                <w:highlight w:val="none"/>
                <w:lang w:val="en-US" w:eastAsia="zh-CN"/>
              </w:rPr>
            </w:pPr>
            <w:r>
              <w:rPr>
                <w:rFonts w:hint="eastAsia"/>
                <w:bCs/>
                <w:color w:val="auto"/>
                <w:szCs w:val="21"/>
                <w:highlight w:val="none"/>
                <w:lang w:val="en-GB"/>
              </w:rPr>
              <w:t>2#：项目区下风向</w:t>
            </w:r>
            <w:r>
              <w:rPr>
                <w:rFonts w:hint="eastAsia"/>
                <w:bCs/>
                <w:color w:val="auto"/>
                <w:szCs w:val="21"/>
                <w:highlight w:val="none"/>
                <w:lang w:val="en-US" w:eastAsia="zh-CN"/>
              </w:rPr>
              <w:t>三月三村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20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2023年12月27日</w:t>
            </w:r>
          </w:p>
        </w:tc>
        <w:tc>
          <w:tcPr>
            <w:tcW w:w="185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10:30~次日10:30</w:t>
            </w:r>
          </w:p>
        </w:tc>
        <w:tc>
          <w:tcPr>
            <w:tcW w:w="127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204</w:t>
            </w:r>
          </w:p>
        </w:tc>
        <w:tc>
          <w:tcPr>
            <w:tcW w:w="1847"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10:30~次日10:30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00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2023年12月28日</w:t>
            </w:r>
          </w:p>
        </w:tc>
        <w:tc>
          <w:tcPr>
            <w:tcW w:w="185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10:45~次日10:45</w:t>
            </w:r>
          </w:p>
        </w:tc>
        <w:tc>
          <w:tcPr>
            <w:tcW w:w="127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197</w:t>
            </w:r>
          </w:p>
        </w:tc>
        <w:tc>
          <w:tcPr>
            <w:tcW w:w="1847"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10:45~次日10:45</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0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2023年12月29日</w:t>
            </w:r>
          </w:p>
        </w:tc>
        <w:tc>
          <w:tcPr>
            <w:tcW w:w="185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11:00~次日11:00</w:t>
            </w:r>
          </w:p>
        </w:tc>
        <w:tc>
          <w:tcPr>
            <w:tcW w:w="127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215</w:t>
            </w:r>
          </w:p>
        </w:tc>
        <w:tc>
          <w:tcPr>
            <w:tcW w:w="1847"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11:00~次日11:00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00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2023年12月30日</w:t>
            </w:r>
          </w:p>
        </w:tc>
        <w:tc>
          <w:tcPr>
            <w:tcW w:w="185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11:15~次日11:15</w:t>
            </w:r>
          </w:p>
        </w:tc>
        <w:tc>
          <w:tcPr>
            <w:tcW w:w="127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220</w:t>
            </w:r>
          </w:p>
        </w:tc>
        <w:tc>
          <w:tcPr>
            <w:tcW w:w="1847"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11:15~次日11:15</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00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2023年12月31日</w:t>
            </w:r>
          </w:p>
        </w:tc>
        <w:tc>
          <w:tcPr>
            <w:tcW w:w="185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11:30~次日11:30</w:t>
            </w:r>
          </w:p>
        </w:tc>
        <w:tc>
          <w:tcPr>
            <w:tcW w:w="127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206</w:t>
            </w:r>
          </w:p>
        </w:tc>
        <w:tc>
          <w:tcPr>
            <w:tcW w:w="1847"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11:30~次日11:30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00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2024年01月01日</w:t>
            </w:r>
          </w:p>
        </w:tc>
        <w:tc>
          <w:tcPr>
            <w:tcW w:w="185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11:45~次日11:45</w:t>
            </w:r>
          </w:p>
        </w:tc>
        <w:tc>
          <w:tcPr>
            <w:tcW w:w="127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211</w:t>
            </w:r>
          </w:p>
        </w:tc>
        <w:tc>
          <w:tcPr>
            <w:tcW w:w="1847"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11:45~次日11:45</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00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2024年01月02日</w:t>
            </w:r>
          </w:p>
        </w:tc>
        <w:tc>
          <w:tcPr>
            <w:tcW w:w="185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12:00~次日12:00</w:t>
            </w:r>
          </w:p>
        </w:tc>
        <w:tc>
          <w:tcPr>
            <w:tcW w:w="127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189</w:t>
            </w:r>
          </w:p>
        </w:tc>
        <w:tc>
          <w:tcPr>
            <w:tcW w:w="1847"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12:00~次日12:00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6" w:type="dxa"/>
            <w:tcBorders>
              <w:tl2br w:val="nil"/>
              <w:tr2bl w:val="nil"/>
            </w:tcBorders>
            <w:vAlign w:val="center"/>
          </w:tcPr>
          <w:p>
            <w:pPr>
              <w:jc w:val="center"/>
              <w:rPr>
                <w:color w:val="auto"/>
                <w:szCs w:val="21"/>
                <w:highlight w:val="none"/>
              </w:rPr>
            </w:pPr>
            <w:r>
              <w:rPr>
                <w:rFonts w:hint="eastAsia"/>
                <w:color w:val="auto"/>
                <w:szCs w:val="21"/>
                <w:highlight w:val="none"/>
              </w:rPr>
              <w:t>备注</w:t>
            </w:r>
          </w:p>
        </w:tc>
        <w:tc>
          <w:tcPr>
            <w:tcW w:w="6510" w:type="dxa"/>
            <w:gridSpan w:val="4"/>
            <w:tcBorders>
              <w:tl2br w:val="nil"/>
              <w:tr2bl w:val="nil"/>
            </w:tcBorders>
            <w:vAlign w:val="center"/>
          </w:tcPr>
          <w:p>
            <w:pPr>
              <w:jc w:val="left"/>
              <w:rPr>
                <w:color w:val="auto"/>
                <w:szCs w:val="21"/>
                <w:highlight w:val="none"/>
              </w:rPr>
            </w:pPr>
            <w:r>
              <w:rPr>
                <w:rFonts w:hint="eastAsia"/>
                <w:color w:val="auto"/>
                <w:szCs w:val="21"/>
                <w:highlight w:val="none"/>
              </w:rPr>
              <w:t>注：1.</w:t>
            </w:r>
            <w:r>
              <w:rPr>
                <w:rFonts w:hint="eastAsia"/>
                <w:color w:val="auto"/>
                <w:szCs w:val="21"/>
                <w:highlight w:val="none"/>
                <w:lang w:val="en-GB"/>
              </w:rPr>
              <w:t>检测结果低于方法检出限时，该项检测结果以“＜</w:t>
            </w:r>
            <w:r>
              <w:rPr>
                <w:rFonts w:hint="eastAsia"/>
                <w:color w:val="auto"/>
                <w:szCs w:val="21"/>
                <w:highlight w:val="none"/>
              </w:rPr>
              <w:t>检出限</w:t>
            </w:r>
            <w:r>
              <w:rPr>
                <w:rFonts w:hint="eastAsia"/>
                <w:color w:val="auto"/>
                <w:szCs w:val="21"/>
                <w:highlight w:val="none"/>
                <w:lang w:val="en-GB"/>
              </w:rPr>
              <w:t>”表示；</w:t>
            </w:r>
          </w:p>
        </w:tc>
      </w:tr>
    </w:tbl>
    <w:p>
      <w:pPr>
        <w:pStyle w:val="21"/>
        <w:spacing w:before="156" w:beforeLines="50" w:after="0" w:line="360" w:lineRule="auto"/>
        <w:jc w:val="center"/>
        <w:rPr>
          <w:rFonts w:hAnsi="宋体"/>
          <w:b/>
          <w:color w:val="auto"/>
          <w:sz w:val="24"/>
          <w:highlight w:val="none"/>
        </w:rPr>
      </w:pPr>
      <w:r>
        <w:rPr>
          <w:rFonts w:hAnsi="宋体"/>
          <w:b/>
          <w:color w:val="auto"/>
          <w:sz w:val="24"/>
          <w:highlight w:val="none"/>
        </w:rPr>
        <w:t>表</w:t>
      </w:r>
      <w:r>
        <w:rPr>
          <w:rFonts w:hint="eastAsia" w:hAnsi="宋体"/>
          <w:b/>
          <w:color w:val="auto"/>
          <w:sz w:val="24"/>
          <w:highlight w:val="none"/>
        </w:rPr>
        <w:t>4.2</w:t>
      </w:r>
      <w:r>
        <w:rPr>
          <w:rFonts w:hAnsi="宋体"/>
          <w:b/>
          <w:color w:val="auto"/>
          <w:sz w:val="24"/>
          <w:highlight w:val="none"/>
        </w:rPr>
        <w:t>-</w:t>
      </w:r>
      <w:r>
        <w:rPr>
          <w:rFonts w:hint="eastAsia" w:hAnsi="宋体"/>
          <w:b/>
          <w:color w:val="auto"/>
          <w:sz w:val="24"/>
          <w:highlight w:val="none"/>
          <w:lang w:val="en-US" w:eastAsia="zh-CN"/>
        </w:rPr>
        <w:t>5</w:t>
      </w:r>
      <w:r>
        <w:rPr>
          <w:rFonts w:hAnsi="宋体"/>
          <w:b/>
          <w:color w:val="auto"/>
          <w:sz w:val="24"/>
          <w:highlight w:val="none"/>
        </w:rPr>
        <w:t xml:space="preserve">  </w:t>
      </w:r>
      <w:r>
        <w:rPr>
          <w:rFonts w:hint="eastAsia" w:hAnsi="宋体"/>
          <w:b/>
          <w:color w:val="auto"/>
          <w:sz w:val="24"/>
          <w:highlight w:val="none"/>
        </w:rPr>
        <w:t>非甲烷总烃</w:t>
      </w:r>
      <w:r>
        <w:rPr>
          <w:rFonts w:hint="eastAsia" w:hAnsi="宋体"/>
          <w:b/>
          <w:color w:val="auto"/>
          <w:sz w:val="24"/>
          <w:highlight w:val="none"/>
          <w:lang w:val="en-US" w:eastAsia="zh-CN"/>
        </w:rPr>
        <w:t>1小时平均值</w:t>
      </w:r>
      <w:r>
        <w:rPr>
          <w:rFonts w:hAnsi="宋体"/>
          <w:b/>
          <w:color w:val="auto"/>
          <w:sz w:val="24"/>
          <w:highlight w:val="none"/>
        </w:rPr>
        <w:t>监测结果统计表</w:t>
      </w:r>
    </w:p>
    <w:tbl>
      <w:tblPr>
        <w:tblStyle w:val="55"/>
        <w:tblpPr w:leftFromText="181" w:rightFromText="181" w:vertAnchor="text" w:tblpXSpec="center" w:tblpY="1"/>
        <w:tblOverlap w:val="never"/>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741"/>
        <w:gridCol w:w="1264"/>
        <w:gridCol w:w="1768"/>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vMerge w:val="restart"/>
            <w:tcBorders>
              <w:tl2br w:val="nil"/>
              <w:tr2bl w:val="nil"/>
            </w:tcBorders>
            <w:vAlign w:val="center"/>
          </w:tcPr>
          <w:p>
            <w:pPr>
              <w:jc w:val="right"/>
              <w:rPr>
                <w:color w:val="auto"/>
                <w:szCs w:val="21"/>
                <w:highlight w:val="none"/>
              </w:rPr>
            </w:pPr>
            <w:r>
              <w:rPr>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172720</wp:posOffset>
                      </wp:positionH>
                      <wp:positionV relativeFrom="paragraph">
                        <wp:posOffset>3175</wp:posOffset>
                      </wp:positionV>
                      <wp:extent cx="1162050" cy="687705"/>
                      <wp:effectExtent l="2540" t="3810" r="16510" b="13335"/>
                      <wp:wrapNone/>
                      <wp:docPr id="27" name="直接箭头连接符 27"/>
                      <wp:cNvGraphicFramePr/>
                      <a:graphic xmlns:a="http://schemas.openxmlformats.org/drawingml/2006/main">
                        <a:graphicData uri="http://schemas.microsoft.com/office/word/2010/wordprocessingShape">
                          <wps:wsp>
                            <wps:cNvCnPr>
                              <a:cxnSpLocks noChangeShapeType="1"/>
                            </wps:cNvCnPr>
                            <wps:spPr bwMode="auto">
                              <a:xfrm flipH="1" flipV="1">
                                <a:off x="0" y="0"/>
                                <a:ext cx="1162050" cy="68770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13.6pt;margin-top:0.25pt;height:54.15pt;width:91.5pt;z-index:251664384;mso-width-relative:page;mso-height-relative:page;" filled="f" stroked="t" coordsize="21600,21600" o:gfxdata="UEsDBAoAAAAAAIdO4kAAAAAAAAAAAAAAAAAEAAAAZHJzL1BLAwQUAAAACACHTuJABTyxrNYAAAAH&#10;AQAADwAAAGRycy9kb3ducmV2LnhtbE2OwU7DMBBE70j9B2srcUHUTgRtFOL0UImKigOiRZydeEmi&#10;xusodpvC17Oc6HE0TzOvWF9cL844hs6ThmShQCDV3nbUaPg4PN9nIEI0ZE3vCTV8Y4B1ObspTG79&#10;RO943sdG8AiF3GhoYxxyKUPdojNh4Qck7r786EzkODbSjmbicdfLVKmldKYjfmjNgJsW6+P+5DQ8&#10;LA/Vdqpxt5JvP5N9ffnc7u6c1rfzRD2BiHiJ/zD86bM6lOxU+RPZIHoN6SplUsMjCG7TRHGsGFNZ&#10;BrIs5LV/+QtQSwMEFAAAAAgAh07iQFkdhxkFAgAA2QMAAA4AAABkcnMvZTJvRG9jLnhtbK1TwY7T&#10;MBC9I/EPlu80aaW2S9R0D60WDgtU2l3uruMkFrbHst2m/Ql+AIkTcII97Z2vgeUzGDulyy6XPZBD&#10;NM74vXnzZjI73WlFtsJ5Caakw0FOiTAcKmmakl5dnj07ocQHZiqmwIiS7oWnp/OnT2adLcQIWlCV&#10;cARJjC86W9I2BFtkmeet0MwPwAqDyRqcZgGPrskqxzpk1yob5fkk68BV1gEX3uPXZZ+kB0b3GEKo&#10;a8nFEvhGCxN6VicUC9iSb6X1dJ7U1rXg4U1dexGIKil2GtIbi2C8ju9sPmNF45htJT9IYI+R8KAn&#10;zaTBokeqJQuMbJz8h0pL7sBDHQYcdNY3khzBLob5A28uWmZF6gWt9vZouv9/tPz1duWIrEo6mlJi&#10;mMaJ3364+fn+8+31tx+fbn59/xjjr18I5tGszvoCMQuzcrFdvjMX9hz4O08MLFpmGpFEX+4tEg0j&#10;IrsHiQdvseS6ewUV3mGbAMm5Xe00qZW0LyMwRW9jFMugT2SXhrY/Dk3sAuH4cTicjPIxzpNjbnIy&#10;nebjVJYVkTGirfPhhQBNYlBSHxyTTRsWYAzuB7i+Btue+xD13gEi2MCZVCqtiTKkK+nz8WicRHlQ&#10;sorJeM27Zr1QjmxZXLT0HFTcu+ZgY6q+iDIHb6IdvbFrqPYr98cznHhSc9jOuFJ/nxP67o+c/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PLGs1gAAAAcBAAAPAAAAAAAAAAEAIAAAACIAAABkcnMv&#10;ZG93bnJldi54bWxQSwECFAAUAAAACACHTuJAWR2HGQUCAADZAwAADgAAAAAAAAABACAAAAAlAQAA&#10;ZHJzL2Uyb0RvYy54bWxQSwUGAAAAAAYABgBZAQAAnAUAAAAA&#10;">
                      <v:fill on="f" focussize="0,0"/>
                      <v:stroke color="#000000" joinstyle="round"/>
                      <v:imagedata o:title=""/>
                      <o:lock v:ext="edit" aspectratio="f"/>
                    </v:shape>
                  </w:pict>
                </mc:Fallback>
              </mc:AlternateContent>
            </w:r>
            <w:r>
              <w:rPr>
                <w:rFonts w:hint="eastAsia"/>
                <w:color w:val="auto"/>
                <w:szCs w:val="21"/>
                <w:highlight w:val="none"/>
              </w:rPr>
              <w:t>采样项目及地点</w:t>
            </w:r>
          </w:p>
          <w:p>
            <w:pPr>
              <w:rPr>
                <w:color w:val="auto"/>
                <w:szCs w:val="21"/>
                <w:highlight w:val="none"/>
              </w:rPr>
            </w:pPr>
            <w:r>
              <w:rPr>
                <w:rFonts w:hint="eastAsia"/>
                <w:color w:val="auto"/>
                <w:szCs w:val="21"/>
                <w:highlight w:val="none"/>
              </w:rPr>
              <w:t>结果</w:t>
            </w:r>
          </w:p>
          <w:p>
            <w:pPr>
              <w:jc w:val="left"/>
              <w:rPr>
                <w:color w:val="auto"/>
                <w:szCs w:val="21"/>
                <w:highlight w:val="none"/>
              </w:rPr>
            </w:pPr>
            <w:r>
              <w:rPr>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-74930</wp:posOffset>
                      </wp:positionH>
                      <wp:positionV relativeFrom="paragraph">
                        <wp:posOffset>13335</wp:posOffset>
                      </wp:positionV>
                      <wp:extent cx="1390650" cy="332105"/>
                      <wp:effectExtent l="1270" t="4445" r="17780" b="6350"/>
                      <wp:wrapNone/>
                      <wp:docPr id="26" name="直接箭头连接符 26"/>
                      <wp:cNvGraphicFramePr/>
                      <a:graphic xmlns:a="http://schemas.openxmlformats.org/drawingml/2006/main">
                        <a:graphicData uri="http://schemas.microsoft.com/office/word/2010/wordprocessingShape">
                          <wps:wsp>
                            <wps:cNvCnPr>
                              <a:cxnSpLocks noChangeShapeType="1"/>
                            </wps:cNvCnPr>
                            <wps:spPr bwMode="auto">
                              <a:xfrm flipH="1" flipV="1">
                                <a:off x="0" y="0"/>
                                <a:ext cx="1390650" cy="33210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5.9pt;margin-top:1.05pt;height:26.15pt;width:109.5pt;z-index:251665408;mso-width-relative:page;mso-height-relative:page;" filled="f" stroked="t" coordsize="21600,21600" o:gfxdata="UEsDBAoAAAAAAIdO4kAAAAAAAAAAAAAAAAAEAAAAZHJzL1BLAwQUAAAACACHTuJARGXciNgAAAAI&#10;AQAADwAAAGRycy9kb3ducmV2LnhtbE2PwU7DMBBE70j8g7VIXFBrOwotCtn0gERFxQHRIs5OvCQR&#10;8TqK3abw9ZgTHEczmnlTbs5uECeaQu8ZQS8VCOLG255bhLfD4+IORIiGrRk8E8IXBdhUlxelKayf&#10;+ZVO+9iKVMKhMAhdjGMhZWg6ciYs/UicvA8/OROTnFppJzOncjfITKmVdKbntNCZkR46aj73R4eQ&#10;rw71dm5ot5Yv37N9fnrf7m4c4vWVVvcgIp3jXxh+8RM6VImp9ke2QQwIC60TekTINIjkZ2qdgagR&#10;bvMcZFXK/weqH1BLAwQUAAAACACHTuJA36xM6wUCAADZAwAADgAAAGRycy9lMm9Eb2MueG1srVPB&#10;jtMwEL0j8Q+W7zRpq1Zs1HQPrRYOC1TaXe6u4yQWtsey3ab9CX4AiRNwgj3tna+B5TMYO6XLLpc9&#10;kEM0zvi9efNmMjvdaUW2wnkJpqTDQU6JMBwqaZqSXl2ePXtOiQ/MVEyBESXdC09P50+fzDpbiBG0&#10;oCrhCJIYX3S2pG0Itsgyz1uhmR+AFQaTNTjNAh5dk1WOdciuVTbK82nWgausAy68x6/LPkkPjO4x&#10;hFDXkosl8I0WJvSsTigWsCXfSuvpPKmta8HDm7r2IhBVUuw0pDcWwXgd39l8xorGMdtKfpDAHiPh&#10;QU+aSYNFj1RLFhjZOPkPlZbcgYc6DDjorG8kOYJdDPMH3ly0zIrUC1rt7dF0//9o+evtyhFZlXQ0&#10;pcQwjRO//XDz8/3n2+tvPz7d/Pr+McZfvxDMo1md9QViFmblYrt8Zy7sOfB3nhhYtMw0Iom+3Fsk&#10;GkZEdg8SD95iyXX3Ciq8wzYBknO72mlSK2lfRmCK3sYolkGfyC4NbX8cmtgFwvHjcHySTyc4T465&#10;8Xg0zCepLCsiY0Rb58MLAZrEoKQ+OCabNizAGNwPcH0Ntj33Ieq9A0SwgTOpVFoTZUhX0pPJaJJE&#10;eVCyisl4zbtmvVCObFlctPQcVNy75mBjqr6IMgdvoh29sWuo9iv3xzOceFJz2M64Un+fE/ruj5z/&#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l3IjYAAAACAEAAA8AAAAAAAAAAQAgAAAAIgAAAGRy&#10;cy9kb3ducmV2LnhtbFBLAQIUABQAAAAIAIdO4kDfrEzrBQIAANkDAAAOAAAAAAAAAAEAIAAAACcB&#10;AABkcnMvZTJvRG9jLnhtbFBLBQYAAAAABgAGAFkBAACeBQAAAAA=&#10;">
                      <v:fill on="f" focussize="0,0"/>
                      <v:stroke color="#000000" joinstyle="round"/>
                      <v:imagedata o:title=""/>
                      <o:lock v:ext="edit" aspectratio="f"/>
                    </v:shape>
                  </w:pict>
                </mc:Fallback>
              </mc:AlternateContent>
            </w:r>
          </w:p>
          <w:p>
            <w:pPr>
              <w:jc w:val="left"/>
              <w:rPr>
                <w:rFonts w:hint="eastAsia" w:eastAsia="宋体"/>
                <w:color w:val="auto"/>
                <w:szCs w:val="21"/>
                <w:highlight w:val="none"/>
                <w:lang w:val="en-US" w:eastAsia="zh-CN"/>
              </w:rPr>
            </w:pPr>
            <w:r>
              <w:rPr>
                <w:rFonts w:hint="eastAsia"/>
                <w:color w:val="auto"/>
                <w:szCs w:val="21"/>
                <w:highlight w:val="none"/>
              </w:rPr>
              <w:t>采样</w:t>
            </w:r>
            <w:r>
              <w:rPr>
                <w:rFonts w:hint="eastAsia"/>
                <w:color w:val="auto"/>
                <w:szCs w:val="21"/>
                <w:highlight w:val="none"/>
                <w:lang w:val="en-US" w:eastAsia="zh-CN"/>
              </w:rPr>
              <w:t>日期</w:t>
            </w:r>
          </w:p>
        </w:tc>
        <w:tc>
          <w:tcPr>
            <w:tcW w:w="6308" w:type="dxa"/>
            <w:gridSpan w:val="4"/>
            <w:tcBorders>
              <w:tl2br w:val="nil"/>
              <w:tr2bl w:val="nil"/>
            </w:tcBorders>
            <w:vAlign w:val="center"/>
          </w:tcPr>
          <w:p>
            <w:pPr>
              <w:jc w:val="center"/>
              <w:rPr>
                <w:color w:val="auto"/>
                <w:szCs w:val="21"/>
                <w:highlight w:val="none"/>
              </w:rPr>
            </w:pPr>
            <w:r>
              <w:rPr>
                <w:rFonts w:hint="eastAsia"/>
                <w:color w:val="auto"/>
                <w:szCs w:val="21"/>
                <w:highlight w:val="none"/>
              </w:rPr>
              <w:t>非甲烷总烃</w:t>
            </w:r>
            <w:r>
              <w:rPr>
                <w:rFonts w:hint="eastAsia"/>
                <w:bCs/>
                <w:color w:val="auto"/>
                <w:szCs w:val="21"/>
                <w:highlight w:val="none"/>
                <w:lang w:val="en-GB"/>
              </w:rPr>
              <w:t>（</w:t>
            </w:r>
            <w:r>
              <w:rPr>
                <w:rFonts w:hint="eastAsia"/>
                <w:color w:val="auto"/>
                <w:szCs w:val="21"/>
                <w:highlight w:val="none"/>
              </w:rPr>
              <w:t>m</w:t>
            </w:r>
            <w:r>
              <w:rPr>
                <w:color w:val="auto"/>
                <w:szCs w:val="21"/>
                <w:highlight w:val="none"/>
              </w:rPr>
              <w:t>g/m</w:t>
            </w:r>
            <w:r>
              <w:rPr>
                <w:color w:val="auto"/>
                <w:szCs w:val="21"/>
                <w:highlight w:val="none"/>
                <w:vertAlign w:val="superscript"/>
              </w:rPr>
              <w:t>3</w:t>
            </w:r>
            <w:r>
              <w:rPr>
                <w:rFonts w:hint="eastAsia"/>
                <w:bCs/>
                <w:color w:val="auto"/>
                <w:szCs w:val="21"/>
                <w:highlight w:val="none"/>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采样时间</w:t>
            </w:r>
          </w:p>
        </w:tc>
        <w:tc>
          <w:tcPr>
            <w:tcW w:w="1264" w:type="dxa"/>
            <w:tcBorders>
              <w:tl2br w:val="nil"/>
              <w:tr2bl w:val="nil"/>
            </w:tcBorders>
            <w:vAlign w:val="center"/>
          </w:tcPr>
          <w:p>
            <w:pPr>
              <w:jc w:val="center"/>
              <w:rPr>
                <w:color w:val="auto"/>
                <w:szCs w:val="21"/>
                <w:highlight w:val="none"/>
              </w:rPr>
            </w:pPr>
            <w:r>
              <w:rPr>
                <w:rFonts w:hint="eastAsia"/>
                <w:color w:val="auto"/>
                <w:szCs w:val="21"/>
                <w:highlight w:val="none"/>
              </w:rPr>
              <w:t>1#：项目区内</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采样时间</w:t>
            </w:r>
          </w:p>
        </w:tc>
        <w:tc>
          <w:tcPr>
            <w:tcW w:w="1535" w:type="dxa"/>
            <w:tcBorders>
              <w:tl2br w:val="nil"/>
              <w:tr2bl w:val="nil"/>
            </w:tcBorders>
            <w:vAlign w:val="bottom"/>
          </w:tcPr>
          <w:p>
            <w:pPr>
              <w:jc w:val="center"/>
              <w:rPr>
                <w:color w:val="auto"/>
                <w:szCs w:val="21"/>
                <w:highlight w:val="none"/>
              </w:rPr>
            </w:pPr>
            <w:r>
              <w:rPr>
                <w:rFonts w:hint="eastAsia"/>
                <w:color w:val="auto"/>
                <w:szCs w:val="21"/>
                <w:highlight w:val="none"/>
              </w:rPr>
              <w:t>2#：项目区下风向</w:t>
            </w:r>
            <w:r>
              <w:rPr>
                <w:rFonts w:hint="eastAsia"/>
                <w:color w:val="auto"/>
                <w:szCs w:val="21"/>
                <w:highlight w:val="none"/>
                <w:lang w:val="en-US" w:eastAsia="zh-CN"/>
              </w:rPr>
              <w:t>三月三</w:t>
            </w:r>
            <w:r>
              <w:rPr>
                <w:rFonts w:hint="eastAsia"/>
                <w:color w:val="auto"/>
                <w:szCs w:val="21"/>
                <w:highlight w:val="none"/>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208" w:type="dxa"/>
            <w:vMerge w:val="restar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2023年12月27日</w:t>
            </w:r>
          </w:p>
        </w:tc>
        <w:tc>
          <w:tcPr>
            <w:tcW w:w="174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0.25</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08:00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0.29</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08:11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14:00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0.30</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14:11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0.37</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220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2023年12月28日</w:t>
            </w: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0.24</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0.26</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08:11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0.30</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14:13</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0.31</w:t>
            </w:r>
          </w:p>
        </w:tc>
        <w:tc>
          <w:tcPr>
            <w:tcW w:w="1768"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220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2023年12月29日</w:t>
            </w: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0.29</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0.30</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14:00</w:t>
            </w:r>
          </w:p>
        </w:tc>
        <w:tc>
          <w:tcPr>
            <w:tcW w:w="1264"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0.34</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14:13</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20:00</w:t>
            </w:r>
          </w:p>
        </w:tc>
        <w:tc>
          <w:tcPr>
            <w:tcW w:w="1264"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0.34</w:t>
            </w:r>
          </w:p>
        </w:tc>
        <w:tc>
          <w:tcPr>
            <w:tcW w:w="176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20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2023年12月30日</w:t>
            </w: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02:00</w:t>
            </w:r>
          </w:p>
        </w:tc>
        <w:tc>
          <w:tcPr>
            <w:tcW w:w="1264"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0.26</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0.27</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0.31</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14:13</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0.33</w:t>
            </w:r>
          </w:p>
        </w:tc>
        <w:tc>
          <w:tcPr>
            <w:tcW w:w="176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220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2023年12月31日</w:t>
            </w: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0.29</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0.32</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0.33</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14:13</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0.34</w:t>
            </w:r>
          </w:p>
        </w:tc>
        <w:tc>
          <w:tcPr>
            <w:tcW w:w="176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20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2024年01月01日</w:t>
            </w: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0.28</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0.28</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0.30</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14:13</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0.31</w:t>
            </w:r>
          </w:p>
        </w:tc>
        <w:tc>
          <w:tcPr>
            <w:tcW w:w="176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20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2024年01月02日</w:t>
            </w: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0.27</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02:10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0.28</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08:11</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0.32</w:t>
            </w:r>
          </w:p>
        </w:tc>
        <w:tc>
          <w:tcPr>
            <w:tcW w:w="1768"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14:13</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2208" w:type="dxa"/>
            <w:vMerge w:val="continue"/>
            <w:tcBorders>
              <w:tl2br w:val="nil"/>
              <w:tr2bl w:val="nil"/>
            </w:tcBorders>
            <w:vAlign w:val="center"/>
          </w:tcPr>
          <w:p>
            <w:pPr>
              <w:jc w:val="center"/>
              <w:rPr>
                <w:color w:val="auto"/>
                <w:szCs w:val="21"/>
                <w:highlight w:val="none"/>
              </w:rPr>
            </w:pPr>
          </w:p>
        </w:tc>
        <w:tc>
          <w:tcPr>
            <w:tcW w:w="1741"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20:00</w:t>
            </w:r>
          </w:p>
        </w:tc>
        <w:tc>
          <w:tcPr>
            <w:tcW w:w="126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0.32</w:t>
            </w:r>
          </w:p>
        </w:tc>
        <w:tc>
          <w:tcPr>
            <w:tcW w:w="176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20:10</w:t>
            </w:r>
          </w:p>
        </w:tc>
        <w:tc>
          <w:tcPr>
            <w:tcW w:w="153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2208" w:type="dxa"/>
            <w:tcBorders>
              <w:tl2br w:val="nil"/>
              <w:tr2bl w:val="nil"/>
            </w:tcBorders>
            <w:vAlign w:val="center"/>
          </w:tcPr>
          <w:p>
            <w:pPr>
              <w:jc w:val="center"/>
              <w:rPr>
                <w:color w:val="auto"/>
                <w:szCs w:val="21"/>
                <w:highlight w:val="none"/>
              </w:rPr>
            </w:pPr>
            <w:r>
              <w:rPr>
                <w:rFonts w:hint="eastAsia"/>
                <w:color w:val="auto"/>
                <w:szCs w:val="21"/>
                <w:highlight w:val="none"/>
              </w:rPr>
              <w:t>备注</w:t>
            </w:r>
          </w:p>
        </w:tc>
        <w:tc>
          <w:tcPr>
            <w:tcW w:w="6308" w:type="dxa"/>
            <w:gridSpan w:val="4"/>
            <w:tcBorders>
              <w:tl2br w:val="nil"/>
              <w:tr2bl w:val="nil"/>
            </w:tcBorders>
            <w:vAlign w:val="center"/>
          </w:tcPr>
          <w:p>
            <w:pPr>
              <w:jc w:val="left"/>
              <w:rPr>
                <w:color w:val="auto"/>
                <w:szCs w:val="21"/>
                <w:highlight w:val="none"/>
              </w:rPr>
            </w:pPr>
            <w:r>
              <w:rPr>
                <w:rFonts w:hint="eastAsia"/>
                <w:color w:val="auto"/>
                <w:szCs w:val="21"/>
                <w:highlight w:val="none"/>
              </w:rPr>
              <w:t>注：1.</w:t>
            </w:r>
            <w:r>
              <w:rPr>
                <w:rFonts w:hint="eastAsia"/>
                <w:color w:val="auto"/>
                <w:szCs w:val="21"/>
                <w:highlight w:val="none"/>
                <w:lang w:val="en-GB"/>
              </w:rPr>
              <w:t>检测结果低于方法检出限时，该项检测结果以“＜</w:t>
            </w:r>
            <w:r>
              <w:rPr>
                <w:rFonts w:hint="eastAsia"/>
                <w:color w:val="auto"/>
                <w:szCs w:val="21"/>
                <w:highlight w:val="none"/>
              </w:rPr>
              <w:t>检出限</w:t>
            </w:r>
            <w:r>
              <w:rPr>
                <w:rFonts w:hint="eastAsia"/>
                <w:color w:val="auto"/>
                <w:szCs w:val="21"/>
                <w:highlight w:val="none"/>
                <w:lang w:val="en-GB"/>
              </w:rPr>
              <w:t>”表示；</w:t>
            </w:r>
          </w:p>
        </w:tc>
      </w:tr>
    </w:tbl>
    <w:p>
      <w:pPr>
        <w:pStyle w:val="21"/>
        <w:spacing w:before="156" w:beforeLines="50" w:after="0" w:line="360" w:lineRule="auto"/>
        <w:jc w:val="center"/>
        <w:rPr>
          <w:rFonts w:hAnsi="宋体"/>
          <w:b/>
          <w:color w:val="auto"/>
          <w:sz w:val="24"/>
          <w:highlight w:val="none"/>
        </w:rPr>
      </w:pPr>
      <w:r>
        <w:rPr>
          <w:rFonts w:hAnsi="宋体"/>
          <w:b/>
          <w:color w:val="auto"/>
          <w:sz w:val="24"/>
          <w:highlight w:val="none"/>
        </w:rPr>
        <w:t>表</w:t>
      </w:r>
      <w:r>
        <w:rPr>
          <w:rFonts w:hint="eastAsia" w:hAnsi="宋体"/>
          <w:b/>
          <w:color w:val="auto"/>
          <w:sz w:val="24"/>
          <w:highlight w:val="none"/>
        </w:rPr>
        <w:t>4.2</w:t>
      </w:r>
      <w:r>
        <w:rPr>
          <w:rFonts w:hAnsi="宋体"/>
          <w:b/>
          <w:color w:val="auto"/>
          <w:sz w:val="24"/>
          <w:highlight w:val="none"/>
        </w:rPr>
        <w:t>-</w:t>
      </w:r>
      <w:r>
        <w:rPr>
          <w:rFonts w:hint="eastAsia" w:hAnsi="宋体"/>
          <w:b/>
          <w:color w:val="auto"/>
          <w:sz w:val="24"/>
          <w:highlight w:val="none"/>
          <w:lang w:val="en-US" w:eastAsia="zh-CN"/>
        </w:rPr>
        <w:t>6</w:t>
      </w:r>
      <w:r>
        <w:rPr>
          <w:rFonts w:hAnsi="宋体"/>
          <w:b/>
          <w:color w:val="auto"/>
          <w:sz w:val="24"/>
          <w:highlight w:val="none"/>
        </w:rPr>
        <w:t xml:space="preserve"> </w:t>
      </w:r>
      <w:r>
        <w:rPr>
          <w:rFonts w:hint="eastAsia" w:hAnsi="宋体"/>
          <w:b/>
          <w:color w:val="auto"/>
          <w:sz w:val="24"/>
          <w:highlight w:val="none"/>
        </w:rPr>
        <w:t>T</w:t>
      </w:r>
      <w:r>
        <w:rPr>
          <w:rFonts w:hAnsi="宋体"/>
          <w:b/>
          <w:color w:val="auto"/>
          <w:sz w:val="24"/>
          <w:highlight w:val="none"/>
        </w:rPr>
        <w:t>VOC</w:t>
      </w:r>
      <w:r>
        <w:rPr>
          <w:rFonts w:hint="eastAsia" w:hAnsi="宋体"/>
          <w:b/>
          <w:color w:val="auto"/>
          <w:sz w:val="24"/>
          <w:highlight w:val="none"/>
          <w:lang w:val="en-US" w:eastAsia="zh-CN"/>
        </w:rPr>
        <w:t>8小时平均值</w:t>
      </w:r>
      <w:r>
        <w:rPr>
          <w:rFonts w:hAnsi="宋体"/>
          <w:b/>
          <w:color w:val="auto"/>
          <w:sz w:val="24"/>
          <w:highlight w:val="none"/>
        </w:rPr>
        <w:t>监测结果统计表</w:t>
      </w:r>
    </w:p>
    <w:tbl>
      <w:tblPr>
        <w:tblStyle w:val="55"/>
        <w:tblpPr w:leftFromText="181" w:rightFromText="181" w:vertAnchor="text" w:tblpXSpec="center" w:tblpY="1"/>
        <w:tblOverlap w:val="never"/>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1734"/>
        <w:gridCol w:w="1106"/>
        <w:gridCol w:w="1792"/>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4" w:type="dxa"/>
            <w:vMerge w:val="restart"/>
            <w:tcBorders>
              <w:tl2br w:val="nil"/>
              <w:tr2bl w:val="nil"/>
            </w:tcBorders>
            <w:vAlign w:val="center"/>
          </w:tcPr>
          <w:p>
            <w:pPr>
              <w:jc w:val="right"/>
              <w:rPr>
                <w:color w:val="auto"/>
                <w:szCs w:val="21"/>
                <w:highlight w:val="none"/>
              </w:rPr>
            </w:pPr>
            <w:r>
              <w:rPr>
                <w:rFonts w:hint="eastAsia"/>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210820</wp:posOffset>
                      </wp:positionH>
                      <wp:positionV relativeFrom="paragraph">
                        <wp:posOffset>8255</wp:posOffset>
                      </wp:positionV>
                      <wp:extent cx="1219200" cy="803910"/>
                      <wp:effectExtent l="2540" t="3810" r="16510" b="11430"/>
                      <wp:wrapNone/>
                      <wp:docPr id="29" name="直接箭头连接符 29"/>
                      <wp:cNvGraphicFramePr/>
                      <a:graphic xmlns:a="http://schemas.openxmlformats.org/drawingml/2006/main">
                        <a:graphicData uri="http://schemas.microsoft.com/office/word/2010/wordprocessingShape">
                          <wps:wsp>
                            <wps:cNvCnPr>
                              <a:cxnSpLocks noChangeShapeType="1"/>
                            </wps:cNvCnPr>
                            <wps:spPr bwMode="auto">
                              <a:xfrm flipH="1" flipV="1">
                                <a:off x="0" y="0"/>
                                <a:ext cx="1219200" cy="80391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16.6pt;margin-top:0.65pt;height:63.3pt;width:96pt;z-index:251667456;mso-width-relative:page;mso-height-relative:page;" filled="f" stroked="t" coordsize="21600,21600" o:gfxdata="UEsDBAoAAAAAAIdO4kAAAAAAAAAAAAAAAAAEAAAAZHJzL1BLAwQUAAAACACHTuJAegDU/dgAAAAI&#10;AQAADwAAAGRycy9kb3ducmV2LnhtbE2PwU7DMBBE70j8g7VIXBB16tAWQpwekKioeqhoEWcnXpKI&#10;eB3FblP69V1OcHw7o9mZfHlynTjiEFpPGqaTBARS5W1LtYaP/ev9I4gQDVnTeUINPxhgWVxf5Saz&#10;fqR3PO5iLTiEQmY0NDH2mZShatCZMPE9EmtffnAmMg61tIMZOdx1UiXJXDrTEn9oTI8vDVbfu4PT&#10;8DDfl6uxwvVCbs+j3bx9rtZ3Tuvbm2nyDCLiKf6Z4bc+V4eCO5X+QDaITkOaKnbyPQXBslIz5pJZ&#10;LZ5AFrn8P6C4AFBLAwQUAAAACACHTuJAbDqYpgUCAADZAwAADgAAAGRycy9lMm9Eb2MueG1srVPB&#10;ctMwEL0zwz9odCeOw5RpPHF6SKZwKNCZFu6KLNsaZK1mpcTJT/ADzHACToVT73wNlM9gJYe0lEsP&#10;+OBZefXe7nu7np1sO8M2Cr0GW/J8NOZMWQmVtk3J31yePjnmzAdhK2HAqpLvlOcn88ePZr0r1ARa&#10;MJVCRiTWF70reRuCK7LMy1Z1wo/AKUvJGrATgY7YZBWKntg7k03G42dZD1g5BKm8p6/LIcn3jPgQ&#10;QqhrLdUS5LpTNgysqIwIJMm32nk+T93WtZLhdV17FZgpOSkN6U1FKF7FdzafiaJB4Vot9y2Ih7Rw&#10;T1MntKWiB6qlCIKtUf9D1WmJ4KEOIwldNghJjpCKfHzPm4tWOJW0kNXeHUz3/49WvtqcI9NVySdT&#10;zqzoaOI3H65/vv988+3rj0/Xv75/jPHVF0Z5Mqt3viDMwp5jlCu39sKdgXznmYVFK2yjUtOXO0dE&#10;eURkf0HiwTsquepfQkV3xDpAcm5bY8dqo92LCEzR2xjFMuQT26ah7Q5DU9vAJH3MJ/mU9oozSbnj&#10;8dNpnqaaiSIyRrRDH54r6FgMSu4DCt20YQHW0n4ADjXE5syH2O8tIIItnGpj0poYy/qST48mR6kp&#10;D0ZXMRmveWxWC4NsI+KipSeJp8zdawhrWw1FjN17E+0YjF1BtTvHP57RxFM3++2MK3X3nNC3f+T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A1P3YAAAACAEAAA8AAAAAAAAAAQAgAAAAIgAAAGRy&#10;cy9kb3ducmV2LnhtbFBLAQIUABQAAAAIAIdO4kBsOpimBQIAANkDAAAOAAAAAAAAAAEAIAAAACcB&#10;AABkcnMvZTJvRG9jLnhtbFBLBQYAAAAABgAGAFkBAACeBQAAAAA=&#10;">
                      <v:fill on="f" focussize="0,0"/>
                      <v:stroke color="#000000" joinstyle="round"/>
                      <v:imagedata o:title=""/>
                      <o:lock v:ext="edit" aspectratio="f"/>
                    </v:shape>
                  </w:pict>
                </mc:Fallback>
              </mc:AlternateContent>
            </w:r>
            <w:r>
              <w:rPr>
                <w:rFonts w:hint="eastAsia"/>
                <w:color w:val="auto"/>
                <w:szCs w:val="21"/>
                <w:highlight w:val="none"/>
              </w:rPr>
              <w:t>采样项目及地点</w:t>
            </w:r>
          </w:p>
          <w:p>
            <w:pPr>
              <w:ind w:firstLine="636" w:firstLineChars="300"/>
              <w:rPr>
                <w:color w:val="auto"/>
                <w:szCs w:val="21"/>
                <w:highlight w:val="none"/>
              </w:rPr>
            </w:pPr>
          </w:p>
          <w:p>
            <w:pPr>
              <w:ind w:firstLine="636" w:firstLineChars="300"/>
              <w:rPr>
                <w:color w:val="auto"/>
                <w:szCs w:val="21"/>
                <w:highlight w:val="none"/>
              </w:rPr>
            </w:pPr>
            <w:r>
              <w:rPr>
                <w:color w:val="auto"/>
                <w:szCs w:val="21"/>
                <w:highlight w:val="none"/>
              </w:rPr>
              <mc:AlternateContent>
                <mc:Choice Requires="wps">
                  <w:drawing>
                    <wp:anchor distT="0" distB="0" distL="114300" distR="114300" simplePos="0" relativeHeight="251666432" behindDoc="0" locked="0" layoutInCell="1" allowOverlap="1">
                      <wp:simplePos x="0" y="0"/>
                      <wp:positionH relativeFrom="column">
                        <wp:posOffset>-66040</wp:posOffset>
                      </wp:positionH>
                      <wp:positionV relativeFrom="paragraph">
                        <wp:posOffset>130810</wp:posOffset>
                      </wp:positionV>
                      <wp:extent cx="1515110" cy="355600"/>
                      <wp:effectExtent l="1270" t="4445" r="7620" b="20955"/>
                      <wp:wrapNone/>
                      <wp:docPr id="28" name="直接箭头连接符 28"/>
                      <wp:cNvGraphicFramePr/>
                      <a:graphic xmlns:a="http://schemas.openxmlformats.org/drawingml/2006/main">
                        <a:graphicData uri="http://schemas.microsoft.com/office/word/2010/wordprocessingShape">
                          <wps:wsp>
                            <wps:cNvCnPr>
                              <a:cxnSpLocks noChangeShapeType="1"/>
                            </wps:cNvCnPr>
                            <wps:spPr bwMode="auto">
                              <a:xfrm flipH="1" flipV="1">
                                <a:off x="0" y="0"/>
                                <a:ext cx="1515110" cy="35560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5.2pt;margin-top:10.3pt;height:28pt;width:119.3pt;z-index:251666432;mso-width-relative:page;mso-height-relative:page;" filled="f" stroked="t" coordsize="21600,21600" o:gfxdata="UEsDBAoAAAAAAIdO4kAAAAAAAAAAAAAAAAAEAAAAZHJzL1BLAwQUAAAACACHTuJAnqAdldkAAAAJ&#10;AQAADwAAAGRycy9kb3ducmV2LnhtbE2PQUvDQBCF74L/YRnBi7S7WUpaYiY9CBaLB7EVz5vsmASz&#10;syG7baq/3vWkx+F9vPdNub24QZxpCr1nhGypQBA33vbcIrwdHxcbECEatmbwTAhfFGBbXV+VprB+&#10;5lc6H2IrUgmHwiB0MY6FlKHpyJmw9CNxyj785ExM59RKO5k5lbtBaqVy6UzPaaEzIz101HweTg5h&#10;lR/r3dzQfi1fvmf7/PS+2985xNubTN2DiHSJfzD86id1qJJT7U9sgxgQFplaJRRBqxxEArTeaBA1&#10;wjrPQVal/P9B9QNQSwMEFAAAAAgAh07iQMgTocAEAgAA2QMAAA4AAABkcnMvZTJvRG9jLnhtbK1T&#10;wY7TMBC9I/EPlu80aVFXEDXdQ6uFwwKVduHuOk5i4Xissdu0P8EPIHECTsBp73wNLJ/B2CndZbns&#10;gVaKxhm/N/PeTGanu86wrUKvwZZ8PMo5U1ZCpW1T8teXZ4+ecOaDsJUwYFXJ98rz0/nDB7PeFWoC&#10;LZhKISMS64velbwNwRVZ5mWrOuFH4JSlZA3YiUBHbLIKRU/snckmeX6S9YCVQ5DKe3q7HJL8wIj3&#10;IYS61lItQW46ZcPAisqIQJJ8q53n89RtXSsZXtW1V4GZkpPSkJ5UhOJ1fGbzmSgaFK7V8tCCuE8L&#10;dzR1QlsqeqRaiiDYBvU/VJ2WCB7qMJLQZYOQ5AipGOd3vLlohVNJC1nt3dF0//9o5cvtCpmuSj6h&#10;uVvR0cSv31/9fPfp+tvXHx+vfn3/EOMvnxnlyaze+YIwC7vCKFfu7IU7B/nWMwuLVthGpaYv946I&#10;xhGR/QWJB++o5Lp/ARXdEZsAybldjR2rjXbPIzBFb2IUy5BPbJeGtj8OTe0Ck/RyPKX/mOYpKfd4&#10;Oj3J01QzUUTGiHbowzMFHYtByX1AoZs2LMBa2g/AoYbYnvsQ+70BRLCFM21MWhNjWV/yp9PJNDXl&#10;wegqJuM1j816YZBtRVy09EviKXP7GsLGVkMRYw/eRDsGY9dQ7Vf4xzOaeOrmsJ1xpW6fE/rmi5z/&#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6gHZXZAAAACQEAAA8AAAAAAAAAAQAgAAAAIgAAAGRy&#10;cy9kb3ducmV2LnhtbFBLAQIUABQAAAAIAIdO4kDIE6HABAIAANkDAAAOAAAAAAAAAAEAIAAAACgB&#10;AABkcnMvZTJvRG9jLnhtbFBLBQYAAAAABgAGAFkBAACeBQAAAAA=&#10;">
                      <v:fill on="f" focussize="0,0"/>
                      <v:stroke color="#000000" joinstyle="round"/>
                      <v:imagedata o:title=""/>
                      <o:lock v:ext="edit" aspectratio="f"/>
                    </v:shape>
                  </w:pict>
                </mc:Fallback>
              </mc:AlternateContent>
            </w:r>
            <w:r>
              <w:rPr>
                <w:rFonts w:hint="eastAsia"/>
                <w:color w:val="auto"/>
                <w:szCs w:val="21"/>
                <w:highlight w:val="none"/>
              </w:rPr>
              <w:t>结果</w:t>
            </w:r>
          </w:p>
          <w:p>
            <w:pPr>
              <w:jc w:val="left"/>
              <w:rPr>
                <w:color w:val="auto"/>
                <w:szCs w:val="21"/>
                <w:highlight w:val="none"/>
              </w:rPr>
            </w:pPr>
          </w:p>
          <w:p>
            <w:pPr>
              <w:jc w:val="left"/>
              <w:rPr>
                <w:rFonts w:hint="eastAsia" w:eastAsia="宋体"/>
                <w:color w:val="auto"/>
                <w:szCs w:val="21"/>
                <w:highlight w:val="none"/>
                <w:lang w:val="en-US" w:eastAsia="zh-CN"/>
              </w:rPr>
            </w:pPr>
            <w:r>
              <w:rPr>
                <w:rFonts w:hint="eastAsia"/>
                <w:color w:val="auto"/>
                <w:szCs w:val="21"/>
                <w:highlight w:val="none"/>
              </w:rPr>
              <w:t>采样</w:t>
            </w:r>
            <w:r>
              <w:rPr>
                <w:rFonts w:hint="eastAsia"/>
                <w:color w:val="auto"/>
                <w:szCs w:val="21"/>
                <w:highlight w:val="none"/>
                <w:lang w:val="en-US" w:eastAsia="zh-CN"/>
              </w:rPr>
              <w:t>日期</w:t>
            </w:r>
          </w:p>
        </w:tc>
        <w:tc>
          <w:tcPr>
            <w:tcW w:w="6172" w:type="dxa"/>
            <w:gridSpan w:val="4"/>
            <w:tcBorders>
              <w:tl2br w:val="nil"/>
              <w:tr2bl w:val="nil"/>
            </w:tcBorders>
            <w:vAlign w:val="center"/>
          </w:tcPr>
          <w:p>
            <w:pPr>
              <w:jc w:val="center"/>
              <w:rPr>
                <w:color w:val="auto"/>
                <w:szCs w:val="21"/>
                <w:highlight w:val="none"/>
              </w:rPr>
            </w:pPr>
            <w:r>
              <w:rPr>
                <w:rFonts w:hint="eastAsia"/>
                <w:color w:val="auto"/>
                <w:szCs w:val="21"/>
                <w:highlight w:val="none"/>
              </w:rPr>
              <w:t>TVOC</w:t>
            </w:r>
            <w:r>
              <w:rPr>
                <w:rFonts w:hint="eastAsia"/>
                <w:bCs/>
                <w:color w:val="auto"/>
                <w:szCs w:val="21"/>
                <w:highlight w:val="none"/>
                <w:lang w:val="en-GB"/>
              </w:rPr>
              <w:t>（</w:t>
            </w:r>
            <w:r>
              <w:rPr>
                <w:rFonts w:hint="eastAsia"/>
                <w:b w:val="0"/>
                <w:bCs/>
                <w:color w:val="auto"/>
                <w:highlight w:val="none"/>
                <w:lang w:val="en-US" w:eastAsia="zh-CN"/>
              </w:rPr>
              <w:t>m</w:t>
            </w:r>
            <w:r>
              <w:rPr>
                <w:b w:val="0"/>
                <w:bCs/>
                <w:color w:val="auto"/>
                <w:highlight w:val="none"/>
              </w:rPr>
              <w:t>g</w:t>
            </w:r>
            <w:r>
              <w:rPr>
                <w:color w:val="auto"/>
                <w:szCs w:val="21"/>
                <w:highlight w:val="none"/>
              </w:rPr>
              <w:t>/m</w:t>
            </w:r>
            <w:r>
              <w:rPr>
                <w:color w:val="auto"/>
                <w:szCs w:val="21"/>
                <w:highlight w:val="none"/>
                <w:vertAlign w:val="superscript"/>
              </w:rPr>
              <w:t>3</w:t>
            </w:r>
            <w:r>
              <w:rPr>
                <w:rFonts w:hint="eastAsia"/>
                <w:bCs/>
                <w:color w:val="auto"/>
                <w:szCs w:val="21"/>
                <w:highlight w:val="none"/>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4" w:type="dxa"/>
            <w:vMerge w:val="continue"/>
            <w:tcBorders>
              <w:tl2br w:val="nil"/>
              <w:tr2bl w:val="nil"/>
            </w:tcBorders>
            <w:vAlign w:val="center"/>
          </w:tcPr>
          <w:p>
            <w:pPr>
              <w:jc w:val="center"/>
              <w:rPr>
                <w:color w:val="auto"/>
                <w:szCs w:val="21"/>
                <w:highlight w:val="none"/>
              </w:rPr>
            </w:pPr>
          </w:p>
        </w:tc>
        <w:tc>
          <w:tcPr>
            <w:tcW w:w="1734"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采样时间</w:t>
            </w:r>
          </w:p>
        </w:tc>
        <w:tc>
          <w:tcPr>
            <w:tcW w:w="1106" w:type="dxa"/>
            <w:tcBorders>
              <w:tl2br w:val="nil"/>
              <w:tr2bl w:val="nil"/>
            </w:tcBorders>
            <w:vAlign w:val="center"/>
          </w:tcPr>
          <w:p>
            <w:pPr>
              <w:jc w:val="center"/>
              <w:rPr>
                <w:color w:val="auto"/>
                <w:szCs w:val="21"/>
                <w:highlight w:val="none"/>
              </w:rPr>
            </w:pPr>
            <w:r>
              <w:rPr>
                <w:rFonts w:hint="eastAsia"/>
                <w:color w:val="auto"/>
                <w:szCs w:val="21"/>
                <w:highlight w:val="none"/>
              </w:rPr>
              <w:t>1#：项目区内</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采样时间</w:t>
            </w:r>
          </w:p>
        </w:tc>
        <w:tc>
          <w:tcPr>
            <w:tcW w:w="1540" w:type="dxa"/>
            <w:tcBorders>
              <w:tl2br w:val="nil"/>
              <w:tr2bl w:val="nil"/>
            </w:tcBorders>
            <w:vAlign w:val="bottom"/>
          </w:tcPr>
          <w:p>
            <w:pPr>
              <w:jc w:val="center"/>
              <w:rPr>
                <w:color w:val="auto"/>
                <w:szCs w:val="21"/>
                <w:highlight w:val="none"/>
              </w:rPr>
            </w:pPr>
            <w:r>
              <w:rPr>
                <w:rFonts w:hint="eastAsia"/>
                <w:color w:val="auto"/>
                <w:szCs w:val="21"/>
                <w:highlight w:val="none"/>
              </w:rPr>
              <w:t>2#：项目区下风向</w:t>
            </w:r>
            <w:r>
              <w:rPr>
                <w:rFonts w:hint="eastAsia"/>
                <w:color w:val="auto"/>
                <w:szCs w:val="21"/>
                <w:highlight w:val="none"/>
                <w:lang w:val="en-US" w:eastAsia="zh-CN"/>
              </w:rPr>
              <w:t>三月三</w:t>
            </w:r>
            <w:r>
              <w:rPr>
                <w:rFonts w:hint="eastAsia"/>
                <w:color w:val="auto"/>
                <w:szCs w:val="21"/>
                <w:highlight w:val="none"/>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34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2023年12月27日</w:t>
            </w:r>
          </w:p>
        </w:tc>
        <w:tc>
          <w:tcPr>
            <w:tcW w:w="173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10:30~18:30</w:t>
            </w:r>
          </w:p>
        </w:tc>
        <w:tc>
          <w:tcPr>
            <w:tcW w:w="11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0.054</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10:30~18:30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34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2023年12月28日</w:t>
            </w:r>
          </w:p>
        </w:tc>
        <w:tc>
          <w:tcPr>
            <w:tcW w:w="173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10:45~18:45</w:t>
            </w:r>
          </w:p>
        </w:tc>
        <w:tc>
          <w:tcPr>
            <w:tcW w:w="11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0.068</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10:45~18:45</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34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2023年12月29日</w:t>
            </w:r>
          </w:p>
        </w:tc>
        <w:tc>
          <w:tcPr>
            <w:tcW w:w="173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11:00~19:00</w:t>
            </w:r>
          </w:p>
        </w:tc>
        <w:tc>
          <w:tcPr>
            <w:tcW w:w="11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0.049</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11:00~19:00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34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2023年12月30日</w:t>
            </w:r>
          </w:p>
        </w:tc>
        <w:tc>
          <w:tcPr>
            <w:tcW w:w="173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11:15~19:15</w:t>
            </w:r>
          </w:p>
        </w:tc>
        <w:tc>
          <w:tcPr>
            <w:tcW w:w="11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0.058</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11:15~19:15</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34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2023年12月31日</w:t>
            </w:r>
          </w:p>
        </w:tc>
        <w:tc>
          <w:tcPr>
            <w:tcW w:w="173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11:30~19:30</w:t>
            </w:r>
          </w:p>
        </w:tc>
        <w:tc>
          <w:tcPr>
            <w:tcW w:w="11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0.061</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11:30~19:30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34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2024年01月01日</w:t>
            </w:r>
          </w:p>
        </w:tc>
        <w:tc>
          <w:tcPr>
            <w:tcW w:w="173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11:45~19:45</w:t>
            </w:r>
          </w:p>
        </w:tc>
        <w:tc>
          <w:tcPr>
            <w:tcW w:w="11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0.054</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11:45~19:45</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34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2024年01月02日</w:t>
            </w:r>
          </w:p>
        </w:tc>
        <w:tc>
          <w:tcPr>
            <w:tcW w:w="173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12:00~20:00</w:t>
            </w:r>
          </w:p>
        </w:tc>
        <w:tc>
          <w:tcPr>
            <w:tcW w:w="110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0.058</w:t>
            </w:r>
          </w:p>
        </w:tc>
        <w:tc>
          <w:tcPr>
            <w:tcW w:w="1792"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12:00~20:00</w:t>
            </w:r>
          </w:p>
        </w:tc>
        <w:tc>
          <w:tcPr>
            <w:tcW w:w="154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4" w:type="dxa"/>
            <w:tcBorders>
              <w:tl2br w:val="nil"/>
              <w:tr2bl w:val="nil"/>
            </w:tcBorders>
            <w:vAlign w:val="center"/>
          </w:tcPr>
          <w:p>
            <w:pPr>
              <w:jc w:val="center"/>
              <w:rPr>
                <w:b/>
                <w:color w:val="auto"/>
                <w:szCs w:val="21"/>
                <w:highlight w:val="none"/>
              </w:rPr>
            </w:pPr>
            <w:r>
              <w:rPr>
                <w:rFonts w:hint="eastAsia"/>
                <w:color w:val="auto"/>
                <w:szCs w:val="21"/>
                <w:highlight w:val="none"/>
              </w:rPr>
              <w:t>备注</w:t>
            </w:r>
          </w:p>
        </w:tc>
        <w:tc>
          <w:tcPr>
            <w:tcW w:w="6172" w:type="dxa"/>
            <w:gridSpan w:val="4"/>
            <w:tcBorders>
              <w:tl2br w:val="nil"/>
              <w:tr2bl w:val="nil"/>
            </w:tcBorders>
            <w:vAlign w:val="center"/>
          </w:tcPr>
          <w:p>
            <w:pPr>
              <w:jc w:val="left"/>
              <w:rPr>
                <w:color w:val="auto"/>
                <w:szCs w:val="21"/>
                <w:highlight w:val="none"/>
              </w:rPr>
            </w:pPr>
            <w:r>
              <w:rPr>
                <w:rFonts w:hint="eastAsia"/>
                <w:color w:val="auto"/>
                <w:szCs w:val="21"/>
                <w:highlight w:val="none"/>
              </w:rPr>
              <w:t>注：1.</w:t>
            </w:r>
            <w:r>
              <w:rPr>
                <w:rFonts w:hint="eastAsia"/>
                <w:color w:val="auto"/>
                <w:szCs w:val="21"/>
                <w:highlight w:val="none"/>
                <w:lang w:val="en-GB"/>
              </w:rPr>
              <w:t>检测结果低于方法检出限时</w:t>
            </w:r>
            <w:r>
              <w:rPr>
                <w:rFonts w:hint="eastAsia"/>
                <w:color w:val="auto"/>
                <w:szCs w:val="21"/>
                <w:highlight w:val="none"/>
                <w:lang w:val="en-GB" w:eastAsia="zh-CN"/>
              </w:rPr>
              <w:t>，</w:t>
            </w:r>
            <w:r>
              <w:rPr>
                <w:rFonts w:hint="eastAsia"/>
                <w:color w:val="auto"/>
                <w:szCs w:val="21"/>
                <w:highlight w:val="none"/>
                <w:lang w:val="en-GB"/>
              </w:rPr>
              <w:t>该项检测结果以“＜</w:t>
            </w:r>
            <w:r>
              <w:rPr>
                <w:rFonts w:hint="eastAsia"/>
                <w:color w:val="auto"/>
                <w:szCs w:val="21"/>
                <w:highlight w:val="none"/>
              </w:rPr>
              <w:t>检出限</w:t>
            </w:r>
            <w:r>
              <w:rPr>
                <w:rFonts w:hint="eastAsia"/>
                <w:color w:val="auto"/>
                <w:szCs w:val="21"/>
                <w:highlight w:val="none"/>
                <w:lang w:val="en-GB"/>
              </w:rPr>
              <w:t>”表示；</w:t>
            </w:r>
          </w:p>
        </w:tc>
      </w:tr>
    </w:tbl>
    <w:p>
      <w:pPr>
        <w:pStyle w:val="21"/>
        <w:spacing w:before="156" w:beforeLines="50" w:after="0" w:line="360" w:lineRule="auto"/>
        <w:ind w:firstLine="484" w:firstLineChars="200"/>
        <w:rPr>
          <w:rFonts w:hAnsi="宋体"/>
          <w:b/>
          <w:color w:val="auto"/>
          <w:sz w:val="24"/>
          <w:highlight w:val="none"/>
        </w:rPr>
      </w:pPr>
      <w:r>
        <w:rPr>
          <w:rFonts w:hint="eastAsia" w:hAnsi="宋体"/>
          <w:b/>
          <w:color w:val="auto"/>
          <w:sz w:val="24"/>
          <w:highlight w:val="none"/>
        </w:rPr>
        <w:t>（7）评价结果</w:t>
      </w:r>
    </w:p>
    <w:p>
      <w:pPr>
        <w:spacing w:line="360" w:lineRule="auto"/>
        <w:ind w:firstLine="484" w:firstLineChars="200"/>
        <w:rPr>
          <w:color w:val="auto"/>
          <w:sz w:val="24"/>
          <w:highlight w:val="none"/>
        </w:rPr>
      </w:pPr>
      <w:r>
        <w:rPr>
          <w:rFonts w:hint="eastAsia"/>
          <w:color w:val="auto"/>
          <w:sz w:val="24"/>
          <w:highlight w:val="none"/>
        </w:rPr>
        <w:t>评价结果</w:t>
      </w:r>
      <w:r>
        <w:rPr>
          <w:color w:val="auto"/>
          <w:sz w:val="24"/>
          <w:highlight w:val="none"/>
        </w:rPr>
        <w:t>详见表</w:t>
      </w:r>
      <w:r>
        <w:rPr>
          <w:rFonts w:hint="eastAsia"/>
          <w:color w:val="auto"/>
          <w:sz w:val="24"/>
          <w:highlight w:val="none"/>
        </w:rPr>
        <w:t>4.2</w:t>
      </w:r>
      <w:r>
        <w:rPr>
          <w:color w:val="auto"/>
          <w:sz w:val="24"/>
          <w:highlight w:val="none"/>
        </w:rPr>
        <w:t>-</w:t>
      </w:r>
      <w:r>
        <w:rPr>
          <w:rFonts w:hint="eastAsia"/>
          <w:color w:val="auto"/>
          <w:sz w:val="24"/>
          <w:highlight w:val="none"/>
          <w:lang w:val="en-US" w:eastAsia="zh-CN"/>
        </w:rPr>
        <w:t>7</w:t>
      </w:r>
      <w:r>
        <w:rPr>
          <w:color w:val="auto"/>
          <w:sz w:val="24"/>
          <w:highlight w:val="none"/>
        </w:rPr>
        <w:t>。</w:t>
      </w:r>
    </w:p>
    <w:p>
      <w:pPr>
        <w:spacing w:line="360" w:lineRule="auto"/>
        <w:jc w:val="center"/>
        <w:rPr>
          <w:b/>
          <w:bCs/>
          <w:color w:val="auto"/>
          <w:sz w:val="24"/>
          <w:highlight w:val="none"/>
        </w:rPr>
      </w:pPr>
      <w:r>
        <w:rPr>
          <w:b/>
          <w:bCs/>
          <w:color w:val="auto"/>
          <w:sz w:val="24"/>
          <w:highlight w:val="none"/>
        </w:rPr>
        <w:t>表</w:t>
      </w:r>
      <w:r>
        <w:rPr>
          <w:rFonts w:hint="eastAsia"/>
          <w:b/>
          <w:bCs/>
          <w:color w:val="auto"/>
          <w:sz w:val="24"/>
          <w:highlight w:val="none"/>
        </w:rPr>
        <w:t>4.2-</w:t>
      </w:r>
      <w:r>
        <w:rPr>
          <w:rFonts w:hint="eastAsia"/>
          <w:b/>
          <w:bCs/>
          <w:color w:val="auto"/>
          <w:sz w:val="24"/>
          <w:highlight w:val="none"/>
          <w:lang w:val="en-US" w:eastAsia="zh-CN"/>
        </w:rPr>
        <w:t>7</w:t>
      </w:r>
      <w:r>
        <w:rPr>
          <w:b/>
          <w:bCs/>
          <w:color w:val="auto"/>
          <w:sz w:val="24"/>
          <w:highlight w:val="none"/>
        </w:rPr>
        <w:t xml:space="preserve">  环境空气质量现状监测</w:t>
      </w:r>
      <w:r>
        <w:rPr>
          <w:rFonts w:hint="eastAsia"/>
          <w:b/>
          <w:bCs/>
          <w:color w:val="auto"/>
          <w:sz w:val="24"/>
          <w:highlight w:val="none"/>
        </w:rPr>
        <w:t>评价</w:t>
      </w:r>
      <w:r>
        <w:rPr>
          <w:b/>
          <w:bCs/>
          <w:color w:val="auto"/>
          <w:sz w:val="24"/>
          <w:highlight w:val="none"/>
        </w:rPr>
        <w:t>结果一览表</w:t>
      </w:r>
    </w:p>
    <w:tbl>
      <w:tblPr>
        <w:tblStyle w:val="55"/>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94"/>
        <w:gridCol w:w="1454"/>
        <w:gridCol w:w="949"/>
        <w:gridCol w:w="1298"/>
        <w:gridCol w:w="905"/>
        <w:gridCol w:w="910"/>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65" w:type="dxa"/>
            <w:vMerge w:val="restart"/>
            <w:tcBorders>
              <w:tl2br w:val="nil"/>
              <w:tr2bl w:val="nil"/>
            </w:tcBorders>
            <w:vAlign w:val="center"/>
          </w:tcPr>
          <w:p>
            <w:pPr>
              <w:jc w:val="center"/>
              <w:rPr>
                <w:b/>
                <w:color w:val="auto"/>
                <w:highlight w:val="none"/>
              </w:rPr>
            </w:pPr>
            <w:r>
              <w:rPr>
                <w:b/>
                <w:color w:val="auto"/>
                <w:highlight w:val="none"/>
              </w:rPr>
              <w:t>监测点位</w:t>
            </w:r>
          </w:p>
        </w:tc>
        <w:tc>
          <w:tcPr>
            <w:tcW w:w="1094" w:type="dxa"/>
            <w:vMerge w:val="restart"/>
            <w:tcBorders>
              <w:tl2br w:val="nil"/>
              <w:tr2bl w:val="nil"/>
            </w:tcBorders>
            <w:vAlign w:val="center"/>
          </w:tcPr>
          <w:p>
            <w:pPr>
              <w:jc w:val="center"/>
              <w:rPr>
                <w:b/>
                <w:color w:val="auto"/>
                <w:highlight w:val="none"/>
              </w:rPr>
            </w:pPr>
            <w:r>
              <w:rPr>
                <w:b/>
                <w:color w:val="auto"/>
                <w:highlight w:val="none"/>
              </w:rPr>
              <w:t>污染物</w:t>
            </w:r>
          </w:p>
        </w:tc>
        <w:tc>
          <w:tcPr>
            <w:tcW w:w="1454" w:type="dxa"/>
            <w:vMerge w:val="restart"/>
            <w:tcBorders>
              <w:tl2br w:val="nil"/>
              <w:tr2bl w:val="nil"/>
            </w:tcBorders>
            <w:vAlign w:val="center"/>
          </w:tcPr>
          <w:p>
            <w:pPr>
              <w:jc w:val="center"/>
              <w:rPr>
                <w:b/>
                <w:color w:val="auto"/>
                <w:highlight w:val="none"/>
              </w:rPr>
            </w:pPr>
            <w:r>
              <w:rPr>
                <w:b/>
                <w:color w:val="auto"/>
                <w:highlight w:val="none"/>
              </w:rPr>
              <w:t>平均时间</w:t>
            </w:r>
          </w:p>
        </w:tc>
        <w:tc>
          <w:tcPr>
            <w:tcW w:w="949" w:type="dxa"/>
            <w:tcBorders>
              <w:tl2br w:val="nil"/>
              <w:tr2bl w:val="nil"/>
            </w:tcBorders>
            <w:vAlign w:val="center"/>
          </w:tcPr>
          <w:p>
            <w:pPr>
              <w:jc w:val="center"/>
              <w:rPr>
                <w:b/>
                <w:color w:val="auto"/>
                <w:highlight w:val="none"/>
              </w:rPr>
            </w:pPr>
            <w:r>
              <w:rPr>
                <w:b/>
                <w:color w:val="auto"/>
                <w:highlight w:val="none"/>
              </w:rPr>
              <w:t>评价</w:t>
            </w:r>
          </w:p>
          <w:p>
            <w:pPr>
              <w:jc w:val="center"/>
              <w:rPr>
                <w:b/>
                <w:color w:val="auto"/>
                <w:highlight w:val="none"/>
              </w:rPr>
            </w:pPr>
            <w:r>
              <w:rPr>
                <w:b/>
                <w:color w:val="auto"/>
                <w:highlight w:val="none"/>
              </w:rPr>
              <w:t>标准</w:t>
            </w:r>
          </w:p>
        </w:tc>
        <w:tc>
          <w:tcPr>
            <w:tcW w:w="1298" w:type="dxa"/>
            <w:tcBorders>
              <w:tl2br w:val="nil"/>
              <w:tr2bl w:val="nil"/>
            </w:tcBorders>
            <w:vAlign w:val="center"/>
          </w:tcPr>
          <w:p>
            <w:pPr>
              <w:jc w:val="center"/>
              <w:rPr>
                <w:b/>
                <w:color w:val="auto"/>
                <w:highlight w:val="none"/>
              </w:rPr>
            </w:pPr>
            <w:r>
              <w:rPr>
                <w:b/>
                <w:color w:val="auto"/>
                <w:highlight w:val="none"/>
              </w:rPr>
              <w:t>浓度范围</w:t>
            </w:r>
          </w:p>
        </w:tc>
        <w:tc>
          <w:tcPr>
            <w:tcW w:w="905" w:type="dxa"/>
            <w:vMerge w:val="restart"/>
            <w:tcBorders>
              <w:tl2br w:val="nil"/>
              <w:tr2bl w:val="nil"/>
            </w:tcBorders>
            <w:vAlign w:val="center"/>
          </w:tcPr>
          <w:p>
            <w:pPr>
              <w:jc w:val="center"/>
              <w:rPr>
                <w:b/>
                <w:color w:val="auto"/>
                <w:highlight w:val="none"/>
              </w:rPr>
            </w:pPr>
            <w:r>
              <w:rPr>
                <w:rFonts w:hint="eastAsia"/>
                <w:b/>
                <w:color w:val="auto"/>
                <w:highlight w:val="none"/>
              </w:rPr>
              <w:t>单因子指数</w:t>
            </w:r>
          </w:p>
        </w:tc>
        <w:tc>
          <w:tcPr>
            <w:tcW w:w="910" w:type="dxa"/>
            <w:vMerge w:val="restart"/>
            <w:tcBorders>
              <w:tl2br w:val="nil"/>
              <w:tr2bl w:val="nil"/>
            </w:tcBorders>
            <w:vAlign w:val="center"/>
          </w:tcPr>
          <w:p>
            <w:pPr>
              <w:jc w:val="center"/>
              <w:rPr>
                <w:b/>
                <w:color w:val="auto"/>
                <w:highlight w:val="none"/>
              </w:rPr>
            </w:pPr>
            <w:r>
              <w:rPr>
                <w:b/>
                <w:color w:val="auto"/>
                <w:highlight w:val="none"/>
              </w:rPr>
              <w:t>超标率</w:t>
            </w:r>
          </w:p>
          <w:p>
            <w:pPr>
              <w:jc w:val="center"/>
              <w:rPr>
                <w:b/>
                <w:color w:val="auto"/>
                <w:highlight w:val="none"/>
              </w:rPr>
            </w:pPr>
            <w:r>
              <w:rPr>
                <w:b/>
                <w:color w:val="auto"/>
                <w:highlight w:val="none"/>
              </w:rPr>
              <w:t>（%）</w:t>
            </w:r>
          </w:p>
        </w:tc>
        <w:tc>
          <w:tcPr>
            <w:tcW w:w="841" w:type="dxa"/>
            <w:vMerge w:val="restart"/>
            <w:tcBorders>
              <w:tl2br w:val="nil"/>
              <w:tr2bl w:val="nil"/>
            </w:tcBorders>
            <w:vAlign w:val="center"/>
          </w:tcPr>
          <w:p>
            <w:pPr>
              <w:jc w:val="center"/>
              <w:rPr>
                <w:b/>
                <w:color w:val="auto"/>
                <w:highlight w:val="none"/>
              </w:rPr>
            </w:pPr>
            <w:r>
              <w:rPr>
                <w:b/>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65" w:type="dxa"/>
            <w:vMerge w:val="continue"/>
            <w:tcBorders>
              <w:tl2br w:val="nil"/>
              <w:tr2bl w:val="nil"/>
            </w:tcBorders>
            <w:vAlign w:val="center"/>
          </w:tcPr>
          <w:p>
            <w:pPr>
              <w:jc w:val="center"/>
              <w:rPr>
                <w:color w:val="auto"/>
                <w:highlight w:val="none"/>
              </w:rPr>
            </w:pPr>
          </w:p>
        </w:tc>
        <w:tc>
          <w:tcPr>
            <w:tcW w:w="1094" w:type="dxa"/>
            <w:vMerge w:val="continue"/>
            <w:tcBorders>
              <w:tl2br w:val="nil"/>
              <w:tr2bl w:val="nil"/>
            </w:tcBorders>
            <w:vAlign w:val="center"/>
          </w:tcPr>
          <w:p>
            <w:pPr>
              <w:jc w:val="center"/>
              <w:rPr>
                <w:color w:val="auto"/>
                <w:highlight w:val="none"/>
              </w:rPr>
            </w:pPr>
          </w:p>
        </w:tc>
        <w:tc>
          <w:tcPr>
            <w:tcW w:w="1454" w:type="dxa"/>
            <w:vMerge w:val="continue"/>
            <w:tcBorders>
              <w:tl2br w:val="nil"/>
              <w:tr2bl w:val="nil"/>
            </w:tcBorders>
            <w:vAlign w:val="center"/>
          </w:tcPr>
          <w:p>
            <w:pPr>
              <w:jc w:val="center"/>
              <w:rPr>
                <w:color w:val="auto"/>
                <w:highlight w:val="none"/>
              </w:rPr>
            </w:pPr>
          </w:p>
        </w:tc>
        <w:tc>
          <w:tcPr>
            <w:tcW w:w="2247" w:type="dxa"/>
            <w:gridSpan w:val="2"/>
            <w:tcBorders>
              <w:tl2br w:val="nil"/>
              <w:tr2bl w:val="nil"/>
            </w:tcBorders>
            <w:vAlign w:val="center"/>
          </w:tcPr>
          <w:p>
            <w:pPr>
              <w:jc w:val="center"/>
              <w:rPr>
                <w:b/>
                <w:color w:val="auto"/>
                <w:highlight w:val="none"/>
              </w:rPr>
            </w:pPr>
            <w:r>
              <w:rPr>
                <w:b/>
                <w:color w:val="auto"/>
                <w:highlight w:val="none"/>
              </w:rPr>
              <w:t>μg/m</w:t>
            </w:r>
            <w:r>
              <w:rPr>
                <w:b/>
                <w:color w:val="auto"/>
                <w:highlight w:val="none"/>
                <w:vertAlign w:val="superscript"/>
              </w:rPr>
              <w:t>3</w:t>
            </w:r>
          </w:p>
        </w:tc>
        <w:tc>
          <w:tcPr>
            <w:tcW w:w="905" w:type="dxa"/>
            <w:vMerge w:val="continue"/>
            <w:tcBorders>
              <w:tl2br w:val="nil"/>
              <w:tr2bl w:val="nil"/>
            </w:tcBorders>
            <w:vAlign w:val="center"/>
          </w:tcPr>
          <w:p>
            <w:pPr>
              <w:jc w:val="center"/>
              <w:rPr>
                <w:color w:val="auto"/>
                <w:highlight w:val="none"/>
              </w:rPr>
            </w:pPr>
          </w:p>
        </w:tc>
        <w:tc>
          <w:tcPr>
            <w:tcW w:w="910" w:type="dxa"/>
            <w:vMerge w:val="continue"/>
            <w:tcBorders>
              <w:tl2br w:val="nil"/>
              <w:tr2bl w:val="nil"/>
            </w:tcBorders>
            <w:vAlign w:val="center"/>
          </w:tcPr>
          <w:p>
            <w:pPr>
              <w:jc w:val="center"/>
              <w:rPr>
                <w:color w:val="auto"/>
                <w:highlight w:val="none"/>
              </w:rPr>
            </w:pPr>
          </w:p>
        </w:tc>
        <w:tc>
          <w:tcPr>
            <w:tcW w:w="841" w:type="dxa"/>
            <w:vMerge w:val="continue"/>
            <w:tcBorders>
              <w:tl2br w:val="nil"/>
              <w:tr2bl w:val="nil"/>
            </w:tcBorders>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5" w:type="dxa"/>
            <w:vMerge w:val="restart"/>
            <w:tcBorders>
              <w:tl2br w:val="nil"/>
              <w:tr2bl w:val="nil"/>
            </w:tcBorders>
            <w:vAlign w:val="center"/>
          </w:tcPr>
          <w:p>
            <w:pPr>
              <w:jc w:val="center"/>
              <w:rPr>
                <w:color w:val="auto"/>
                <w:highlight w:val="none"/>
              </w:rPr>
            </w:pPr>
            <w:r>
              <w:rPr>
                <w:color w:val="auto"/>
                <w:highlight w:val="none"/>
              </w:rPr>
              <w:t>项目</w:t>
            </w:r>
            <w:r>
              <w:rPr>
                <w:rFonts w:hint="eastAsia"/>
                <w:color w:val="auto"/>
                <w:highlight w:val="none"/>
              </w:rPr>
              <w:t>区</w:t>
            </w:r>
          </w:p>
          <w:p>
            <w:pPr>
              <w:jc w:val="center"/>
              <w:rPr>
                <w:color w:val="auto"/>
                <w:highlight w:val="none"/>
              </w:rPr>
            </w:pPr>
            <w:r>
              <w:rPr>
                <w:color w:val="auto"/>
                <w:highlight w:val="none"/>
              </w:rPr>
              <w:t>（1</w:t>
            </w:r>
            <w:r>
              <w:rPr>
                <w:rFonts w:hint="eastAsia"/>
                <w:color w:val="auto"/>
                <w:highlight w:val="none"/>
              </w:rPr>
              <w:t>#</w:t>
            </w:r>
            <w:r>
              <w:rPr>
                <w:color w:val="auto"/>
                <w:highlight w:val="none"/>
              </w:rPr>
              <w:t>）</w:t>
            </w:r>
          </w:p>
        </w:tc>
        <w:tc>
          <w:tcPr>
            <w:tcW w:w="1094" w:type="dxa"/>
            <w:tcBorders>
              <w:tl2br w:val="nil"/>
              <w:tr2bl w:val="nil"/>
            </w:tcBorders>
            <w:vAlign w:val="center"/>
          </w:tcPr>
          <w:p>
            <w:pPr>
              <w:jc w:val="center"/>
              <w:rPr>
                <w:color w:val="auto"/>
                <w:highlight w:val="none"/>
              </w:rPr>
            </w:pPr>
            <w:r>
              <w:rPr>
                <w:color w:val="auto"/>
                <w:highlight w:val="none"/>
              </w:rPr>
              <w:t>TSP</w:t>
            </w:r>
          </w:p>
        </w:tc>
        <w:tc>
          <w:tcPr>
            <w:tcW w:w="1454" w:type="dxa"/>
            <w:tcBorders>
              <w:tl2br w:val="nil"/>
              <w:tr2bl w:val="nil"/>
            </w:tcBorders>
            <w:vAlign w:val="center"/>
          </w:tcPr>
          <w:p>
            <w:pPr>
              <w:jc w:val="center"/>
              <w:rPr>
                <w:color w:val="auto"/>
                <w:highlight w:val="none"/>
              </w:rPr>
            </w:pPr>
            <w:r>
              <w:rPr>
                <w:color w:val="auto"/>
                <w:highlight w:val="none"/>
              </w:rPr>
              <w:t>24小时平均值</w:t>
            </w:r>
          </w:p>
        </w:tc>
        <w:tc>
          <w:tcPr>
            <w:tcW w:w="949" w:type="dxa"/>
            <w:tcBorders>
              <w:tl2br w:val="nil"/>
              <w:tr2bl w:val="nil"/>
            </w:tcBorders>
            <w:vAlign w:val="center"/>
          </w:tcPr>
          <w:p>
            <w:pPr>
              <w:jc w:val="center"/>
              <w:rPr>
                <w:color w:val="auto"/>
                <w:highlight w:val="none"/>
              </w:rPr>
            </w:pPr>
            <w:r>
              <w:rPr>
                <w:color w:val="auto"/>
                <w:highlight w:val="none"/>
              </w:rPr>
              <w:t>300</w:t>
            </w:r>
          </w:p>
        </w:tc>
        <w:tc>
          <w:tcPr>
            <w:tcW w:w="1298" w:type="dxa"/>
            <w:tcBorders>
              <w:tl2br w:val="nil"/>
              <w:tr2bl w:val="nil"/>
            </w:tcBorders>
            <w:vAlign w:val="center"/>
          </w:tcPr>
          <w:p>
            <w:pPr>
              <w:jc w:val="center"/>
              <w:rPr>
                <w:color w:val="auto"/>
                <w:highlight w:val="none"/>
              </w:rPr>
            </w:pPr>
            <w:r>
              <w:rPr>
                <w:rFonts w:hint="eastAsia"/>
                <w:b w:val="0"/>
                <w:bCs/>
                <w:color w:val="auto"/>
                <w:highlight w:val="none"/>
                <w:lang w:val="en-US" w:eastAsia="zh-CN"/>
              </w:rPr>
              <w:t>189-220</w:t>
            </w:r>
            <w:r>
              <w:rPr>
                <w:b w:val="0"/>
                <w:bCs/>
                <w:color w:val="auto"/>
                <w:highlight w:val="none"/>
              </w:rPr>
              <w:t>μ</w:t>
            </w:r>
            <w:r>
              <w:rPr>
                <w:color w:val="auto"/>
                <w:highlight w:val="none"/>
              </w:rPr>
              <w:t>g</w:t>
            </w:r>
            <w:r>
              <w:rPr>
                <w:rFonts w:hint="eastAsia"/>
                <w:color w:val="auto"/>
                <w:highlight w:val="none"/>
              </w:rPr>
              <w:t>/</w:t>
            </w:r>
            <w:r>
              <w:rPr>
                <w:color w:val="auto"/>
                <w:highlight w:val="none"/>
              </w:rPr>
              <w:t>m</w:t>
            </w:r>
            <w:r>
              <w:rPr>
                <w:color w:val="auto"/>
                <w:highlight w:val="none"/>
                <w:vertAlign w:val="superscript"/>
              </w:rPr>
              <w:t>3</w:t>
            </w:r>
          </w:p>
        </w:tc>
        <w:tc>
          <w:tcPr>
            <w:tcW w:w="905" w:type="dxa"/>
            <w:tcBorders>
              <w:tl2br w:val="nil"/>
              <w:tr2bl w:val="nil"/>
            </w:tcBorders>
            <w:vAlign w:val="center"/>
          </w:tcPr>
          <w:p>
            <w:pPr>
              <w:jc w:val="center"/>
              <w:rPr>
                <w:rFonts w:hint="default" w:eastAsia="宋体"/>
                <w:color w:val="auto"/>
                <w:highlight w:val="none"/>
                <w:lang w:val="en-US" w:eastAsia="zh-CN"/>
              </w:rPr>
            </w:pPr>
            <w:r>
              <w:rPr>
                <w:rFonts w:hint="eastAsia"/>
                <w:color w:val="auto"/>
                <w:highlight w:val="none"/>
                <w:lang w:val="en-US" w:eastAsia="zh-CN"/>
              </w:rPr>
              <w:t>0.63-0.733</w:t>
            </w:r>
          </w:p>
        </w:tc>
        <w:tc>
          <w:tcPr>
            <w:tcW w:w="910" w:type="dxa"/>
            <w:tcBorders>
              <w:tl2br w:val="nil"/>
              <w:tr2bl w:val="nil"/>
            </w:tcBorders>
            <w:vAlign w:val="center"/>
          </w:tcPr>
          <w:p>
            <w:pPr>
              <w:jc w:val="center"/>
              <w:rPr>
                <w:color w:val="auto"/>
                <w:highlight w:val="none"/>
              </w:rPr>
            </w:pPr>
            <w:r>
              <w:rPr>
                <w:color w:val="auto"/>
                <w:highlight w:val="none"/>
              </w:rPr>
              <w:t>0</w:t>
            </w:r>
          </w:p>
        </w:tc>
        <w:tc>
          <w:tcPr>
            <w:tcW w:w="841" w:type="dxa"/>
            <w:tcBorders>
              <w:tl2br w:val="nil"/>
              <w:tr2bl w:val="nil"/>
            </w:tcBorders>
            <w:vAlign w:val="center"/>
          </w:tcPr>
          <w:p>
            <w:pPr>
              <w:jc w:val="center"/>
              <w:rPr>
                <w:b/>
                <w:color w:val="auto"/>
                <w:highlight w:val="none"/>
              </w:rPr>
            </w:pPr>
            <w:r>
              <w:rPr>
                <w:b/>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65" w:type="dxa"/>
            <w:vMerge w:val="continue"/>
            <w:tcBorders>
              <w:tl2br w:val="nil"/>
              <w:tr2bl w:val="nil"/>
            </w:tcBorders>
            <w:vAlign w:val="center"/>
          </w:tcPr>
          <w:p>
            <w:pPr>
              <w:jc w:val="center"/>
              <w:rPr>
                <w:color w:val="auto"/>
                <w:highlight w:val="none"/>
              </w:rPr>
            </w:pPr>
          </w:p>
        </w:tc>
        <w:tc>
          <w:tcPr>
            <w:tcW w:w="1094" w:type="dxa"/>
            <w:tcBorders>
              <w:tl2br w:val="nil"/>
              <w:tr2bl w:val="nil"/>
            </w:tcBorders>
            <w:vAlign w:val="center"/>
          </w:tcPr>
          <w:p>
            <w:pPr>
              <w:jc w:val="center"/>
              <w:rPr>
                <w:color w:val="auto"/>
                <w:highlight w:val="none"/>
              </w:rPr>
            </w:pPr>
            <w:r>
              <w:rPr>
                <w:rFonts w:hint="eastAsia"/>
                <w:color w:val="auto"/>
                <w:highlight w:val="none"/>
              </w:rPr>
              <w:t>非甲烷总烃</w:t>
            </w:r>
          </w:p>
        </w:tc>
        <w:tc>
          <w:tcPr>
            <w:tcW w:w="1454" w:type="dxa"/>
            <w:tcBorders>
              <w:tl2br w:val="nil"/>
              <w:tr2bl w:val="nil"/>
            </w:tcBorders>
            <w:vAlign w:val="center"/>
          </w:tcPr>
          <w:p>
            <w:pPr>
              <w:jc w:val="center"/>
              <w:rPr>
                <w:color w:val="auto"/>
                <w:highlight w:val="none"/>
              </w:rPr>
            </w:pPr>
            <w:r>
              <w:rPr>
                <w:rFonts w:hint="eastAsia"/>
                <w:color w:val="auto"/>
                <w:highlight w:val="none"/>
              </w:rPr>
              <w:t>1</w:t>
            </w:r>
            <w:r>
              <w:rPr>
                <w:color w:val="auto"/>
                <w:highlight w:val="none"/>
              </w:rPr>
              <w:t>小时平均值</w:t>
            </w:r>
          </w:p>
        </w:tc>
        <w:tc>
          <w:tcPr>
            <w:tcW w:w="949" w:type="dxa"/>
            <w:tcBorders>
              <w:tl2br w:val="nil"/>
              <w:tr2bl w:val="nil"/>
            </w:tcBorders>
            <w:vAlign w:val="center"/>
          </w:tcPr>
          <w:p>
            <w:pPr>
              <w:jc w:val="center"/>
              <w:rPr>
                <w:color w:val="auto"/>
                <w:highlight w:val="none"/>
              </w:rPr>
            </w:pPr>
            <w:r>
              <w:rPr>
                <w:rFonts w:hint="eastAsia"/>
                <w:color w:val="auto"/>
                <w:highlight w:val="none"/>
              </w:rPr>
              <w:t>2</w:t>
            </w:r>
            <w:r>
              <w:rPr>
                <w:color w:val="auto"/>
                <w:highlight w:val="none"/>
              </w:rPr>
              <w:t>mg</w:t>
            </w:r>
            <w:r>
              <w:rPr>
                <w:rFonts w:hint="eastAsia"/>
                <w:color w:val="auto"/>
                <w:highlight w:val="none"/>
              </w:rPr>
              <w:t>/</w:t>
            </w:r>
            <w:r>
              <w:rPr>
                <w:color w:val="auto"/>
                <w:highlight w:val="none"/>
              </w:rPr>
              <w:t>m</w:t>
            </w:r>
            <w:r>
              <w:rPr>
                <w:color w:val="auto"/>
                <w:highlight w:val="none"/>
                <w:vertAlign w:val="superscript"/>
              </w:rPr>
              <w:t>3</w:t>
            </w:r>
          </w:p>
        </w:tc>
        <w:tc>
          <w:tcPr>
            <w:tcW w:w="1298" w:type="dxa"/>
            <w:tcBorders>
              <w:tl2br w:val="nil"/>
              <w:tr2bl w:val="nil"/>
            </w:tcBorders>
            <w:vAlign w:val="center"/>
          </w:tcPr>
          <w:p>
            <w:pPr>
              <w:jc w:val="center"/>
              <w:rPr>
                <w:color w:val="auto"/>
                <w:highlight w:val="none"/>
              </w:rPr>
            </w:pPr>
            <w:r>
              <w:rPr>
                <w:rFonts w:hint="eastAsia"/>
                <w:color w:val="auto"/>
                <w:highlight w:val="none"/>
                <w:lang w:val="en-US" w:eastAsia="zh-CN"/>
              </w:rPr>
              <w:t>0.24-0.37</w:t>
            </w:r>
            <w:r>
              <w:rPr>
                <w:color w:val="auto"/>
                <w:highlight w:val="none"/>
              </w:rPr>
              <w:t>mg</w:t>
            </w:r>
            <w:r>
              <w:rPr>
                <w:rFonts w:hint="eastAsia"/>
                <w:color w:val="auto"/>
                <w:highlight w:val="none"/>
              </w:rPr>
              <w:t>/</w:t>
            </w:r>
            <w:r>
              <w:rPr>
                <w:color w:val="auto"/>
                <w:highlight w:val="none"/>
              </w:rPr>
              <w:t>m</w:t>
            </w:r>
            <w:r>
              <w:rPr>
                <w:color w:val="auto"/>
                <w:highlight w:val="none"/>
                <w:vertAlign w:val="superscript"/>
              </w:rPr>
              <w:t>3</w:t>
            </w:r>
          </w:p>
        </w:tc>
        <w:tc>
          <w:tcPr>
            <w:tcW w:w="905" w:type="dxa"/>
            <w:tcBorders>
              <w:tl2br w:val="nil"/>
              <w:tr2bl w:val="nil"/>
            </w:tcBorders>
            <w:vAlign w:val="center"/>
          </w:tcPr>
          <w:p>
            <w:pPr>
              <w:jc w:val="center"/>
              <w:rPr>
                <w:rFonts w:hint="default" w:eastAsia="宋体"/>
                <w:color w:val="auto"/>
                <w:highlight w:val="none"/>
                <w:lang w:val="en-US" w:eastAsia="zh-CN"/>
              </w:rPr>
            </w:pPr>
            <w:r>
              <w:rPr>
                <w:rFonts w:hint="eastAsia"/>
                <w:color w:val="auto"/>
                <w:highlight w:val="none"/>
                <w:lang w:val="en-US" w:eastAsia="zh-CN"/>
              </w:rPr>
              <w:t>0.12-0.185</w:t>
            </w:r>
          </w:p>
        </w:tc>
        <w:tc>
          <w:tcPr>
            <w:tcW w:w="910" w:type="dxa"/>
            <w:tcBorders>
              <w:tl2br w:val="nil"/>
              <w:tr2bl w:val="nil"/>
            </w:tcBorders>
            <w:vAlign w:val="center"/>
          </w:tcPr>
          <w:p>
            <w:pPr>
              <w:jc w:val="center"/>
              <w:rPr>
                <w:color w:val="auto"/>
                <w:highlight w:val="none"/>
              </w:rPr>
            </w:pPr>
            <w:r>
              <w:rPr>
                <w:rFonts w:hint="eastAsia"/>
                <w:color w:val="auto"/>
                <w:highlight w:val="none"/>
              </w:rPr>
              <w:t>0</w:t>
            </w:r>
          </w:p>
        </w:tc>
        <w:tc>
          <w:tcPr>
            <w:tcW w:w="841" w:type="dxa"/>
            <w:tcBorders>
              <w:tl2br w:val="nil"/>
              <w:tr2bl w:val="nil"/>
            </w:tcBorders>
            <w:vAlign w:val="center"/>
          </w:tcPr>
          <w:p>
            <w:pPr>
              <w:jc w:val="center"/>
              <w:rPr>
                <w:b/>
                <w:color w:val="auto"/>
                <w:highlight w:val="none"/>
              </w:rPr>
            </w:pPr>
            <w:r>
              <w:rPr>
                <w:rFonts w:hint="eastAsia"/>
                <w:b/>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65" w:type="dxa"/>
            <w:vMerge w:val="continue"/>
            <w:tcBorders>
              <w:tl2br w:val="nil"/>
              <w:tr2bl w:val="nil"/>
            </w:tcBorders>
            <w:vAlign w:val="center"/>
          </w:tcPr>
          <w:p>
            <w:pPr>
              <w:jc w:val="center"/>
              <w:rPr>
                <w:color w:val="auto"/>
                <w:highlight w:val="none"/>
              </w:rPr>
            </w:pPr>
          </w:p>
        </w:tc>
        <w:tc>
          <w:tcPr>
            <w:tcW w:w="1094" w:type="dxa"/>
            <w:tcBorders>
              <w:tl2br w:val="nil"/>
              <w:tr2bl w:val="nil"/>
            </w:tcBorders>
            <w:vAlign w:val="center"/>
          </w:tcPr>
          <w:p>
            <w:pPr>
              <w:jc w:val="center"/>
              <w:rPr>
                <w:color w:val="auto"/>
                <w:highlight w:val="none"/>
              </w:rPr>
            </w:pPr>
            <w:r>
              <w:rPr>
                <w:rFonts w:hint="eastAsia"/>
                <w:color w:val="auto"/>
                <w:highlight w:val="none"/>
              </w:rPr>
              <w:t>T</w:t>
            </w:r>
            <w:r>
              <w:rPr>
                <w:color w:val="auto"/>
                <w:highlight w:val="none"/>
              </w:rPr>
              <w:t>VOC</w:t>
            </w:r>
          </w:p>
        </w:tc>
        <w:tc>
          <w:tcPr>
            <w:tcW w:w="1454" w:type="dxa"/>
            <w:tcBorders>
              <w:tl2br w:val="nil"/>
              <w:tr2bl w:val="nil"/>
            </w:tcBorders>
            <w:vAlign w:val="center"/>
          </w:tcPr>
          <w:p>
            <w:pPr>
              <w:jc w:val="center"/>
              <w:rPr>
                <w:color w:val="auto"/>
                <w:highlight w:val="none"/>
              </w:rPr>
            </w:pPr>
            <w:r>
              <w:rPr>
                <w:rFonts w:hint="eastAsia"/>
                <w:color w:val="auto"/>
                <w:highlight w:val="none"/>
              </w:rPr>
              <w:t>8</w:t>
            </w:r>
            <w:r>
              <w:rPr>
                <w:color w:val="auto"/>
                <w:highlight w:val="none"/>
              </w:rPr>
              <w:t>小时平均值</w:t>
            </w:r>
          </w:p>
        </w:tc>
        <w:tc>
          <w:tcPr>
            <w:tcW w:w="949" w:type="dxa"/>
            <w:tcBorders>
              <w:tl2br w:val="nil"/>
              <w:tr2bl w:val="nil"/>
            </w:tcBorders>
            <w:vAlign w:val="center"/>
          </w:tcPr>
          <w:p>
            <w:pPr>
              <w:jc w:val="center"/>
              <w:rPr>
                <w:color w:val="auto"/>
                <w:highlight w:val="none"/>
              </w:rPr>
            </w:pPr>
            <w:r>
              <w:rPr>
                <w:color w:val="auto"/>
                <w:highlight w:val="none"/>
              </w:rPr>
              <w:t>600</w:t>
            </w:r>
          </w:p>
        </w:tc>
        <w:tc>
          <w:tcPr>
            <w:tcW w:w="1298" w:type="dxa"/>
            <w:tcBorders>
              <w:tl2br w:val="nil"/>
              <w:tr2bl w:val="nil"/>
            </w:tcBorders>
            <w:vAlign w:val="center"/>
          </w:tcPr>
          <w:p>
            <w:pPr>
              <w:jc w:val="center"/>
              <w:rPr>
                <w:color w:val="auto"/>
                <w:highlight w:val="none"/>
              </w:rPr>
            </w:pPr>
            <w:r>
              <w:rPr>
                <w:rFonts w:hint="eastAsia"/>
                <w:color w:val="auto"/>
                <w:highlight w:val="none"/>
                <w:lang w:val="en-US" w:eastAsia="zh-CN"/>
              </w:rPr>
              <w:t>0.049-0.068mg</w:t>
            </w:r>
            <w:r>
              <w:rPr>
                <w:rFonts w:hint="eastAsia"/>
                <w:color w:val="auto"/>
                <w:highlight w:val="none"/>
              </w:rPr>
              <w:t>/</w:t>
            </w:r>
            <w:r>
              <w:rPr>
                <w:color w:val="auto"/>
                <w:highlight w:val="none"/>
              </w:rPr>
              <w:t>m</w:t>
            </w:r>
            <w:r>
              <w:rPr>
                <w:color w:val="auto"/>
                <w:highlight w:val="none"/>
                <w:vertAlign w:val="superscript"/>
              </w:rPr>
              <w:t>3</w:t>
            </w:r>
          </w:p>
        </w:tc>
        <w:tc>
          <w:tcPr>
            <w:tcW w:w="905" w:type="dxa"/>
            <w:tcBorders>
              <w:tl2br w:val="nil"/>
              <w:tr2bl w:val="nil"/>
            </w:tcBorders>
            <w:vAlign w:val="center"/>
          </w:tcPr>
          <w:p>
            <w:pPr>
              <w:jc w:val="center"/>
              <w:rPr>
                <w:rFonts w:hint="default"/>
                <w:color w:val="auto"/>
                <w:highlight w:val="none"/>
                <w:lang w:val="en-US"/>
              </w:rPr>
            </w:pPr>
            <w:r>
              <w:rPr>
                <w:rFonts w:hint="eastAsia"/>
                <w:color w:val="auto"/>
                <w:highlight w:val="none"/>
                <w:lang w:val="en-US" w:eastAsia="zh-CN"/>
              </w:rPr>
              <w:t>0.082-0.113</w:t>
            </w:r>
          </w:p>
        </w:tc>
        <w:tc>
          <w:tcPr>
            <w:tcW w:w="910" w:type="dxa"/>
            <w:tcBorders>
              <w:tl2br w:val="nil"/>
              <w:tr2bl w:val="nil"/>
            </w:tcBorders>
            <w:vAlign w:val="center"/>
          </w:tcPr>
          <w:p>
            <w:pPr>
              <w:jc w:val="center"/>
              <w:rPr>
                <w:color w:val="auto"/>
                <w:highlight w:val="none"/>
              </w:rPr>
            </w:pPr>
            <w:r>
              <w:rPr>
                <w:rFonts w:hint="eastAsia"/>
                <w:color w:val="auto"/>
                <w:highlight w:val="none"/>
              </w:rPr>
              <w:t>0</w:t>
            </w:r>
          </w:p>
        </w:tc>
        <w:tc>
          <w:tcPr>
            <w:tcW w:w="841" w:type="dxa"/>
            <w:tcBorders>
              <w:tl2br w:val="nil"/>
              <w:tr2bl w:val="nil"/>
            </w:tcBorders>
            <w:vAlign w:val="center"/>
          </w:tcPr>
          <w:p>
            <w:pPr>
              <w:jc w:val="center"/>
              <w:rPr>
                <w:b/>
                <w:color w:val="auto"/>
                <w:highlight w:val="none"/>
              </w:rPr>
            </w:pPr>
            <w:r>
              <w:rPr>
                <w:rFonts w:hint="eastAsia"/>
                <w:b/>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065" w:type="dxa"/>
            <w:vMerge w:val="restart"/>
            <w:tcBorders>
              <w:tl2br w:val="nil"/>
              <w:tr2bl w:val="nil"/>
            </w:tcBorders>
            <w:vAlign w:val="center"/>
          </w:tcPr>
          <w:p>
            <w:pPr>
              <w:jc w:val="center"/>
              <w:rPr>
                <w:color w:val="auto"/>
                <w:highlight w:val="none"/>
              </w:rPr>
            </w:pPr>
            <w:r>
              <w:rPr>
                <w:rFonts w:hint="eastAsia"/>
                <w:color w:val="auto"/>
                <w:highlight w:val="none"/>
              </w:rPr>
              <w:t>项目区下风向</w:t>
            </w:r>
            <w:r>
              <w:rPr>
                <w:rFonts w:hint="eastAsia"/>
                <w:color w:val="auto"/>
                <w:highlight w:val="none"/>
                <w:lang w:val="en-US" w:eastAsia="zh-CN"/>
              </w:rPr>
              <w:t>三月三村</w:t>
            </w:r>
            <w:r>
              <w:rPr>
                <w:color w:val="auto"/>
                <w:highlight w:val="none"/>
              </w:rPr>
              <w:t>（2</w:t>
            </w:r>
            <w:r>
              <w:rPr>
                <w:rFonts w:hint="eastAsia"/>
                <w:color w:val="auto"/>
                <w:highlight w:val="none"/>
              </w:rPr>
              <w:t>#</w:t>
            </w:r>
            <w:r>
              <w:rPr>
                <w:color w:val="auto"/>
                <w:highlight w:val="none"/>
              </w:rPr>
              <w:t>）</w:t>
            </w:r>
          </w:p>
        </w:tc>
        <w:tc>
          <w:tcPr>
            <w:tcW w:w="1094" w:type="dxa"/>
            <w:tcBorders>
              <w:tl2br w:val="nil"/>
              <w:tr2bl w:val="nil"/>
            </w:tcBorders>
            <w:vAlign w:val="center"/>
          </w:tcPr>
          <w:p>
            <w:pPr>
              <w:jc w:val="center"/>
              <w:rPr>
                <w:color w:val="auto"/>
                <w:highlight w:val="none"/>
              </w:rPr>
            </w:pPr>
            <w:r>
              <w:rPr>
                <w:rFonts w:hint="eastAsia"/>
                <w:color w:val="auto"/>
                <w:highlight w:val="none"/>
              </w:rPr>
              <w:t>T</w:t>
            </w:r>
            <w:r>
              <w:rPr>
                <w:color w:val="auto"/>
                <w:highlight w:val="none"/>
              </w:rPr>
              <w:t>SP</w:t>
            </w:r>
          </w:p>
        </w:tc>
        <w:tc>
          <w:tcPr>
            <w:tcW w:w="1454" w:type="dxa"/>
            <w:tcBorders>
              <w:tl2br w:val="nil"/>
              <w:tr2bl w:val="nil"/>
            </w:tcBorders>
            <w:vAlign w:val="center"/>
          </w:tcPr>
          <w:p>
            <w:pPr>
              <w:jc w:val="center"/>
              <w:rPr>
                <w:color w:val="auto"/>
                <w:highlight w:val="none"/>
              </w:rPr>
            </w:pPr>
            <w:r>
              <w:rPr>
                <w:color w:val="auto"/>
                <w:highlight w:val="none"/>
              </w:rPr>
              <w:t>24小时平均值</w:t>
            </w:r>
          </w:p>
        </w:tc>
        <w:tc>
          <w:tcPr>
            <w:tcW w:w="949" w:type="dxa"/>
            <w:tcBorders>
              <w:tl2br w:val="nil"/>
              <w:tr2bl w:val="nil"/>
            </w:tcBorders>
            <w:vAlign w:val="center"/>
          </w:tcPr>
          <w:p>
            <w:pPr>
              <w:jc w:val="center"/>
              <w:rPr>
                <w:color w:val="auto"/>
                <w:highlight w:val="none"/>
              </w:rPr>
            </w:pPr>
            <w:r>
              <w:rPr>
                <w:color w:val="auto"/>
                <w:highlight w:val="none"/>
              </w:rPr>
              <w:t>300</w:t>
            </w:r>
          </w:p>
        </w:tc>
        <w:tc>
          <w:tcPr>
            <w:tcW w:w="1298" w:type="dxa"/>
            <w:tcBorders>
              <w:tl2br w:val="nil"/>
              <w:tr2bl w:val="nil"/>
            </w:tcBorders>
            <w:vAlign w:val="center"/>
          </w:tcPr>
          <w:p>
            <w:pPr>
              <w:jc w:val="center"/>
              <w:rPr>
                <w:color w:val="auto"/>
                <w:highlight w:val="none"/>
              </w:rPr>
            </w:pPr>
            <w:r>
              <w:rPr>
                <w:rFonts w:hint="eastAsia"/>
                <w:b w:val="0"/>
                <w:bCs/>
                <w:color w:val="auto"/>
                <w:highlight w:val="none"/>
                <w:lang w:val="en-US" w:eastAsia="zh-CN"/>
              </w:rPr>
              <w:t>218-239</w:t>
            </w:r>
            <w:r>
              <w:rPr>
                <w:b w:val="0"/>
                <w:bCs/>
                <w:color w:val="auto"/>
                <w:highlight w:val="none"/>
              </w:rPr>
              <w:t>μ</w:t>
            </w:r>
            <w:r>
              <w:rPr>
                <w:color w:val="auto"/>
                <w:highlight w:val="none"/>
              </w:rPr>
              <w:t>g</w:t>
            </w:r>
            <w:r>
              <w:rPr>
                <w:rFonts w:hint="eastAsia"/>
                <w:color w:val="auto"/>
                <w:highlight w:val="none"/>
              </w:rPr>
              <w:t>/</w:t>
            </w:r>
            <w:r>
              <w:rPr>
                <w:color w:val="auto"/>
                <w:highlight w:val="none"/>
              </w:rPr>
              <w:t>m</w:t>
            </w:r>
            <w:r>
              <w:rPr>
                <w:color w:val="auto"/>
                <w:highlight w:val="none"/>
                <w:vertAlign w:val="superscript"/>
              </w:rPr>
              <w:t>3</w:t>
            </w:r>
          </w:p>
        </w:tc>
        <w:tc>
          <w:tcPr>
            <w:tcW w:w="905" w:type="dxa"/>
            <w:tcBorders>
              <w:tl2br w:val="nil"/>
              <w:tr2bl w:val="nil"/>
            </w:tcBorders>
            <w:vAlign w:val="center"/>
          </w:tcPr>
          <w:p>
            <w:pPr>
              <w:jc w:val="center"/>
              <w:rPr>
                <w:rFonts w:hint="default" w:eastAsia="宋体"/>
                <w:color w:val="auto"/>
                <w:highlight w:val="none"/>
                <w:lang w:val="en-US" w:eastAsia="zh-CN"/>
              </w:rPr>
            </w:pPr>
            <w:r>
              <w:rPr>
                <w:rFonts w:hint="eastAsia"/>
                <w:color w:val="auto"/>
                <w:highlight w:val="none"/>
                <w:lang w:val="en-US" w:eastAsia="zh-CN"/>
              </w:rPr>
              <w:t>0.726-0.796</w:t>
            </w:r>
          </w:p>
        </w:tc>
        <w:tc>
          <w:tcPr>
            <w:tcW w:w="910" w:type="dxa"/>
            <w:tcBorders>
              <w:tl2br w:val="nil"/>
              <w:tr2bl w:val="nil"/>
            </w:tcBorders>
            <w:vAlign w:val="center"/>
          </w:tcPr>
          <w:p>
            <w:pPr>
              <w:jc w:val="center"/>
              <w:rPr>
                <w:color w:val="auto"/>
                <w:highlight w:val="none"/>
              </w:rPr>
            </w:pPr>
            <w:r>
              <w:rPr>
                <w:color w:val="auto"/>
                <w:highlight w:val="none"/>
              </w:rPr>
              <w:t>0</w:t>
            </w:r>
          </w:p>
        </w:tc>
        <w:tc>
          <w:tcPr>
            <w:tcW w:w="841" w:type="dxa"/>
            <w:tcBorders>
              <w:tl2br w:val="nil"/>
              <w:tr2bl w:val="nil"/>
            </w:tcBorders>
            <w:vAlign w:val="center"/>
          </w:tcPr>
          <w:p>
            <w:pPr>
              <w:jc w:val="center"/>
              <w:rPr>
                <w:b/>
                <w:color w:val="auto"/>
                <w:highlight w:val="none"/>
              </w:rPr>
            </w:pPr>
            <w:r>
              <w:rPr>
                <w:b/>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65" w:type="dxa"/>
            <w:vMerge w:val="continue"/>
            <w:tcBorders>
              <w:tl2br w:val="nil"/>
              <w:tr2bl w:val="nil"/>
            </w:tcBorders>
            <w:vAlign w:val="center"/>
          </w:tcPr>
          <w:p>
            <w:pPr>
              <w:jc w:val="center"/>
              <w:rPr>
                <w:color w:val="auto"/>
                <w:highlight w:val="none"/>
              </w:rPr>
            </w:pPr>
          </w:p>
        </w:tc>
        <w:tc>
          <w:tcPr>
            <w:tcW w:w="1094" w:type="dxa"/>
            <w:tcBorders>
              <w:tl2br w:val="nil"/>
              <w:tr2bl w:val="nil"/>
            </w:tcBorders>
            <w:vAlign w:val="center"/>
          </w:tcPr>
          <w:p>
            <w:pPr>
              <w:jc w:val="center"/>
              <w:rPr>
                <w:color w:val="auto"/>
                <w:highlight w:val="none"/>
              </w:rPr>
            </w:pPr>
            <w:r>
              <w:rPr>
                <w:rFonts w:hint="eastAsia"/>
                <w:color w:val="auto"/>
                <w:highlight w:val="none"/>
              </w:rPr>
              <w:t>非甲烷总烃</w:t>
            </w:r>
          </w:p>
        </w:tc>
        <w:tc>
          <w:tcPr>
            <w:tcW w:w="1454" w:type="dxa"/>
            <w:tcBorders>
              <w:tl2br w:val="nil"/>
              <w:tr2bl w:val="nil"/>
            </w:tcBorders>
            <w:vAlign w:val="center"/>
          </w:tcPr>
          <w:p>
            <w:pPr>
              <w:jc w:val="center"/>
              <w:rPr>
                <w:color w:val="auto"/>
                <w:highlight w:val="none"/>
              </w:rPr>
            </w:pPr>
            <w:r>
              <w:rPr>
                <w:rFonts w:hint="eastAsia"/>
                <w:color w:val="auto"/>
                <w:highlight w:val="none"/>
              </w:rPr>
              <w:t>1小时平均值</w:t>
            </w:r>
          </w:p>
        </w:tc>
        <w:tc>
          <w:tcPr>
            <w:tcW w:w="949" w:type="dxa"/>
            <w:tcBorders>
              <w:tl2br w:val="nil"/>
              <w:tr2bl w:val="nil"/>
            </w:tcBorders>
            <w:vAlign w:val="center"/>
          </w:tcPr>
          <w:p>
            <w:pPr>
              <w:jc w:val="center"/>
              <w:rPr>
                <w:color w:val="auto"/>
                <w:highlight w:val="none"/>
              </w:rPr>
            </w:pPr>
            <w:r>
              <w:rPr>
                <w:rFonts w:hint="eastAsia"/>
                <w:color w:val="auto"/>
                <w:highlight w:val="none"/>
              </w:rPr>
              <w:t>2</w:t>
            </w:r>
            <w:r>
              <w:rPr>
                <w:color w:val="auto"/>
                <w:highlight w:val="none"/>
              </w:rPr>
              <w:t>mg</w:t>
            </w:r>
            <w:r>
              <w:rPr>
                <w:rFonts w:hint="eastAsia"/>
                <w:color w:val="auto"/>
                <w:highlight w:val="none"/>
              </w:rPr>
              <w:t>/</w:t>
            </w:r>
            <w:r>
              <w:rPr>
                <w:color w:val="auto"/>
                <w:highlight w:val="none"/>
              </w:rPr>
              <w:t>m</w:t>
            </w:r>
            <w:r>
              <w:rPr>
                <w:color w:val="auto"/>
                <w:highlight w:val="none"/>
                <w:vertAlign w:val="superscript"/>
              </w:rPr>
              <w:t>3</w:t>
            </w:r>
          </w:p>
        </w:tc>
        <w:tc>
          <w:tcPr>
            <w:tcW w:w="1298" w:type="dxa"/>
            <w:tcBorders>
              <w:tl2br w:val="nil"/>
              <w:tr2bl w:val="nil"/>
            </w:tcBorders>
            <w:vAlign w:val="center"/>
          </w:tcPr>
          <w:p>
            <w:pPr>
              <w:jc w:val="center"/>
              <w:rPr>
                <w:color w:val="auto"/>
                <w:highlight w:val="none"/>
              </w:rPr>
            </w:pPr>
            <w:r>
              <w:rPr>
                <w:rFonts w:hint="eastAsia"/>
                <w:color w:val="auto"/>
                <w:highlight w:val="none"/>
                <w:lang w:val="en-US" w:eastAsia="zh-CN"/>
              </w:rPr>
              <w:t>0.33-0.53</w:t>
            </w:r>
            <w:r>
              <w:rPr>
                <w:color w:val="auto"/>
                <w:highlight w:val="none"/>
              </w:rPr>
              <w:t>mg</w:t>
            </w:r>
            <w:r>
              <w:rPr>
                <w:rFonts w:hint="eastAsia"/>
                <w:color w:val="auto"/>
                <w:highlight w:val="none"/>
              </w:rPr>
              <w:t>/</w:t>
            </w:r>
            <w:r>
              <w:rPr>
                <w:color w:val="auto"/>
                <w:highlight w:val="none"/>
              </w:rPr>
              <w:t>m</w:t>
            </w:r>
            <w:r>
              <w:rPr>
                <w:color w:val="auto"/>
                <w:highlight w:val="none"/>
                <w:vertAlign w:val="superscript"/>
              </w:rPr>
              <w:t>3</w:t>
            </w:r>
          </w:p>
        </w:tc>
        <w:tc>
          <w:tcPr>
            <w:tcW w:w="905" w:type="dxa"/>
            <w:tcBorders>
              <w:tl2br w:val="nil"/>
              <w:tr2bl w:val="nil"/>
            </w:tcBorders>
            <w:vAlign w:val="center"/>
          </w:tcPr>
          <w:p>
            <w:pPr>
              <w:jc w:val="center"/>
              <w:rPr>
                <w:rFonts w:hint="default" w:eastAsia="宋体"/>
                <w:color w:val="auto"/>
                <w:highlight w:val="none"/>
                <w:lang w:val="en-US" w:eastAsia="zh-CN"/>
              </w:rPr>
            </w:pPr>
            <w:r>
              <w:rPr>
                <w:rFonts w:hint="eastAsia"/>
                <w:color w:val="auto"/>
                <w:highlight w:val="none"/>
                <w:lang w:val="en-US" w:eastAsia="zh-CN"/>
              </w:rPr>
              <w:t>0.165-0.265</w:t>
            </w:r>
          </w:p>
        </w:tc>
        <w:tc>
          <w:tcPr>
            <w:tcW w:w="910" w:type="dxa"/>
            <w:tcBorders>
              <w:tl2br w:val="nil"/>
              <w:tr2bl w:val="nil"/>
            </w:tcBorders>
            <w:vAlign w:val="center"/>
          </w:tcPr>
          <w:p>
            <w:pPr>
              <w:jc w:val="center"/>
              <w:rPr>
                <w:color w:val="auto"/>
                <w:highlight w:val="none"/>
              </w:rPr>
            </w:pPr>
            <w:r>
              <w:rPr>
                <w:rFonts w:hint="eastAsia"/>
                <w:color w:val="auto"/>
                <w:highlight w:val="none"/>
              </w:rPr>
              <w:t>0</w:t>
            </w:r>
          </w:p>
        </w:tc>
        <w:tc>
          <w:tcPr>
            <w:tcW w:w="841" w:type="dxa"/>
            <w:tcBorders>
              <w:tl2br w:val="nil"/>
              <w:tr2bl w:val="nil"/>
            </w:tcBorders>
            <w:vAlign w:val="center"/>
          </w:tcPr>
          <w:p>
            <w:pPr>
              <w:jc w:val="center"/>
              <w:rPr>
                <w:b/>
                <w:color w:val="auto"/>
                <w:highlight w:val="none"/>
              </w:rPr>
            </w:pPr>
            <w:r>
              <w:rPr>
                <w:rFonts w:hint="eastAsia"/>
                <w:b/>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5" w:type="dxa"/>
            <w:vMerge w:val="continue"/>
            <w:tcBorders>
              <w:tl2br w:val="nil"/>
              <w:tr2bl w:val="nil"/>
            </w:tcBorders>
            <w:vAlign w:val="center"/>
          </w:tcPr>
          <w:p>
            <w:pPr>
              <w:jc w:val="center"/>
              <w:rPr>
                <w:color w:val="auto"/>
                <w:highlight w:val="none"/>
              </w:rPr>
            </w:pPr>
          </w:p>
        </w:tc>
        <w:tc>
          <w:tcPr>
            <w:tcW w:w="1094" w:type="dxa"/>
            <w:tcBorders>
              <w:tl2br w:val="nil"/>
              <w:tr2bl w:val="nil"/>
            </w:tcBorders>
            <w:vAlign w:val="center"/>
          </w:tcPr>
          <w:p>
            <w:pPr>
              <w:jc w:val="center"/>
              <w:rPr>
                <w:color w:val="auto"/>
                <w:highlight w:val="none"/>
              </w:rPr>
            </w:pPr>
            <w:r>
              <w:rPr>
                <w:rFonts w:hint="eastAsia"/>
                <w:color w:val="auto"/>
                <w:highlight w:val="none"/>
              </w:rPr>
              <w:t>T</w:t>
            </w:r>
            <w:r>
              <w:rPr>
                <w:color w:val="auto"/>
                <w:highlight w:val="none"/>
              </w:rPr>
              <w:t>VOC</w:t>
            </w:r>
          </w:p>
        </w:tc>
        <w:tc>
          <w:tcPr>
            <w:tcW w:w="1454" w:type="dxa"/>
            <w:tcBorders>
              <w:tl2br w:val="nil"/>
              <w:tr2bl w:val="nil"/>
            </w:tcBorders>
            <w:vAlign w:val="center"/>
          </w:tcPr>
          <w:p>
            <w:pPr>
              <w:jc w:val="center"/>
              <w:rPr>
                <w:color w:val="auto"/>
                <w:highlight w:val="none"/>
              </w:rPr>
            </w:pPr>
            <w:r>
              <w:rPr>
                <w:rFonts w:hint="eastAsia"/>
                <w:color w:val="auto"/>
                <w:highlight w:val="none"/>
              </w:rPr>
              <w:t>8</w:t>
            </w:r>
            <w:r>
              <w:rPr>
                <w:color w:val="auto"/>
                <w:highlight w:val="none"/>
              </w:rPr>
              <w:t>小时平均值</w:t>
            </w:r>
          </w:p>
        </w:tc>
        <w:tc>
          <w:tcPr>
            <w:tcW w:w="949" w:type="dxa"/>
            <w:tcBorders>
              <w:tl2br w:val="nil"/>
              <w:tr2bl w:val="nil"/>
            </w:tcBorders>
            <w:vAlign w:val="center"/>
          </w:tcPr>
          <w:p>
            <w:pPr>
              <w:jc w:val="center"/>
              <w:rPr>
                <w:color w:val="auto"/>
                <w:highlight w:val="none"/>
              </w:rPr>
            </w:pPr>
            <w:r>
              <w:rPr>
                <w:color w:val="auto"/>
                <w:highlight w:val="none"/>
              </w:rPr>
              <w:t>600</w:t>
            </w:r>
          </w:p>
        </w:tc>
        <w:tc>
          <w:tcPr>
            <w:tcW w:w="1298" w:type="dxa"/>
            <w:tcBorders>
              <w:tl2br w:val="nil"/>
              <w:tr2bl w:val="nil"/>
            </w:tcBorders>
            <w:vAlign w:val="center"/>
          </w:tcPr>
          <w:p>
            <w:pPr>
              <w:jc w:val="center"/>
              <w:rPr>
                <w:color w:val="auto"/>
                <w:highlight w:val="none"/>
              </w:rPr>
            </w:pPr>
            <w:r>
              <w:rPr>
                <w:rFonts w:hint="eastAsia"/>
                <w:color w:val="auto"/>
                <w:highlight w:val="none"/>
                <w:lang w:val="en-US" w:eastAsia="zh-CN"/>
              </w:rPr>
              <w:t>0.046-0.063m</w:t>
            </w:r>
            <w:r>
              <w:rPr>
                <w:color w:val="auto"/>
                <w:highlight w:val="none"/>
              </w:rPr>
              <w:t>g</w:t>
            </w:r>
            <w:r>
              <w:rPr>
                <w:rFonts w:hint="eastAsia"/>
                <w:color w:val="auto"/>
                <w:highlight w:val="none"/>
              </w:rPr>
              <w:t>/</w:t>
            </w:r>
            <w:r>
              <w:rPr>
                <w:color w:val="auto"/>
                <w:highlight w:val="none"/>
              </w:rPr>
              <w:t>m</w:t>
            </w:r>
            <w:r>
              <w:rPr>
                <w:color w:val="auto"/>
                <w:highlight w:val="none"/>
                <w:vertAlign w:val="superscript"/>
              </w:rPr>
              <w:t>3</w:t>
            </w:r>
          </w:p>
        </w:tc>
        <w:tc>
          <w:tcPr>
            <w:tcW w:w="905" w:type="dxa"/>
            <w:tcBorders>
              <w:tl2br w:val="nil"/>
              <w:tr2bl w:val="nil"/>
            </w:tcBorders>
            <w:vAlign w:val="center"/>
          </w:tcPr>
          <w:p>
            <w:pPr>
              <w:jc w:val="center"/>
              <w:rPr>
                <w:rFonts w:hint="default" w:eastAsia="宋体"/>
                <w:color w:val="auto"/>
                <w:highlight w:val="none"/>
                <w:lang w:val="en-US" w:eastAsia="zh-CN"/>
              </w:rPr>
            </w:pPr>
            <w:r>
              <w:rPr>
                <w:rFonts w:hint="eastAsia"/>
                <w:color w:val="auto"/>
                <w:highlight w:val="none"/>
                <w:lang w:val="en-US" w:eastAsia="zh-CN"/>
              </w:rPr>
              <w:t>0.0767-0.105</w:t>
            </w:r>
          </w:p>
        </w:tc>
        <w:tc>
          <w:tcPr>
            <w:tcW w:w="910" w:type="dxa"/>
            <w:tcBorders>
              <w:tl2br w:val="nil"/>
              <w:tr2bl w:val="nil"/>
            </w:tcBorders>
            <w:vAlign w:val="center"/>
          </w:tcPr>
          <w:p>
            <w:pPr>
              <w:jc w:val="center"/>
              <w:rPr>
                <w:color w:val="auto"/>
                <w:highlight w:val="none"/>
              </w:rPr>
            </w:pPr>
            <w:r>
              <w:rPr>
                <w:rFonts w:hint="eastAsia"/>
                <w:color w:val="auto"/>
                <w:highlight w:val="none"/>
              </w:rPr>
              <w:t>0</w:t>
            </w:r>
          </w:p>
        </w:tc>
        <w:tc>
          <w:tcPr>
            <w:tcW w:w="841" w:type="dxa"/>
            <w:tcBorders>
              <w:tl2br w:val="nil"/>
              <w:tr2bl w:val="nil"/>
            </w:tcBorders>
            <w:vAlign w:val="center"/>
          </w:tcPr>
          <w:p>
            <w:pPr>
              <w:jc w:val="center"/>
              <w:rPr>
                <w:b/>
                <w:color w:val="auto"/>
                <w:highlight w:val="none"/>
              </w:rPr>
            </w:pPr>
            <w:r>
              <w:rPr>
                <w:rFonts w:hint="eastAsia"/>
                <w:b/>
                <w:color w:val="auto"/>
                <w:highlight w:val="none"/>
              </w:rPr>
              <w:t>达标</w:t>
            </w:r>
          </w:p>
        </w:tc>
      </w:tr>
    </w:tbl>
    <w:p>
      <w:pPr>
        <w:adjustRightInd w:val="0"/>
        <w:snapToGrid w:val="0"/>
        <w:spacing w:line="360" w:lineRule="auto"/>
        <w:ind w:firstLine="484" w:firstLineChars="200"/>
        <w:jc w:val="left"/>
        <w:rPr>
          <w:color w:val="auto"/>
          <w:sz w:val="24"/>
          <w:highlight w:val="none"/>
        </w:rPr>
      </w:pPr>
      <w:r>
        <w:rPr>
          <w:color w:val="auto"/>
          <w:sz w:val="24"/>
          <w:highlight w:val="none"/>
        </w:rPr>
        <w:t>由以上监测结果可见，项目所在地TSP的日均值满足《环境空气质量标准》（GB3095-2012）中的二级标准，非甲烷总烃的小时浓度均值满足《大气污染物综合排放标准详解》中规定的2mg/m</w:t>
      </w:r>
      <w:r>
        <w:rPr>
          <w:color w:val="auto"/>
          <w:sz w:val="24"/>
          <w:highlight w:val="none"/>
          <w:vertAlign w:val="superscript"/>
        </w:rPr>
        <w:t>3</w:t>
      </w:r>
      <w:r>
        <w:rPr>
          <w:color w:val="auto"/>
          <w:sz w:val="24"/>
          <w:highlight w:val="none"/>
        </w:rPr>
        <w:t>标准限值。TVOC8h平均浓度能满足《环境影响评价技术导则大气环境（HJ2.2-2018）》附录D中规定的600μg/m</w:t>
      </w:r>
      <w:r>
        <w:rPr>
          <w:color w:val="auto"/>
          <w:sz w:val="24"/>
          <w:highlight w:val="none"/>
          <w:vertAlign w:val="superscript"/>
        </w:rPr>
        <w:t>3</w:t>
      </w:r>
      <w:r>
        <w:rPr>
          <w:color w:val="auto"/>
          <w:sz w:val="24"/>
          <w:highlight w:val="none"/>
        </w:rPr>
        <w:t>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color w:val="auto"/>
          <w:highlight w:val="none"/>
        </w:rPr>
      </w:pPr>
      <w:r>
        <w:rPr>
          <w:rFonts w:hint="default" w:ascii="Times New Roman" w:hAnsi="Times New Roman" w:eastAsia="宋体" w:cs="Times New Roman"/>
          <w:color w:val="auto"/>
          <w:sz w:val="24"/>
          <w:highlight w:val="none"/>
          <w:lang w:val="en-US" w:eastAsia="zh-CN"/>
        </w:rPr>
        <w:t>综上所述，项目所在区域的环境空气质量能达到《环境空气质量标准》（GB3095-2012）二级标准，项目区域的大气环境质量良好</w:t>
      </w:r>
      <w:r>
        <w:rPr>
          <w:rFonts w:hint="eastAsia" w:ascii="Times New Roman" w:hAnsi="Times New Roman" w:eastAsia="宋体" w:cs="Times New Roman"/>
          <w:color w:val="auto"/>
          <w:sz w:val="24"/>
          <w:highlight w:val="none"/>
          <w:lang w:val="en-US" w:eastAsia="zh-CN"/>
        </w:rPr>
        <w:t>。</w:t>
      </w:r>
    </w:p>
    <w:p>
      <w:pPr>
        <w:spacing w:line="360" w:lineRule="auto"/>
        <w:outlineLvl w:val="2"/>
        <w:rPr>
          <w:b/>
          <w:color w:val="auto"/>
          <w:sz w:val="28"/>
          <w:szCs w:val="28"/>
          <w:highlight w:val="none"/>
        </w:rPr>
      </w:pPr>
      <w:bookmarkStart w:id="525" w:name="_Toc8128"/>
      <w:r>
        <w:rPr>
          <w:b/>
          <w:color w:val="auto"/>
          <w:sz w:val="28"/>
          <w:szCs w:val="28"/>
          <w:highlight w:val="none"/>
        </w:rPr>
        <w:t>4.2.2地表水环境质量现状</w:t>
      </w:r>
      <w:bookmarkEnd w:id="522"/>
      <w:bookmarkEnd w:id="523"/>
      <w:bookmarkEnd w:id="525"/>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4" w:firstLineChars="200"/>
        <w:jc w:val="both"/>
        <w:textAlignment w:val="auto"/>
        <w:rPr>
          <w:rFonts w:hint="default" w:ascii="Times New Roman" w:hAnsi="Times New Roman" w:cs="Times New Roman"/>
          <w:color w:val="auto"/>
          <w:sz w:val="24"/>
          <w:szCs w:val="24"/>
          <w:highlight w:val="none"/>
          <w:lang w:val="en-US" w:eastAsia="zh-CN"/>
        </w:rPr>
      </w:pPr>
      <w:r>
        <w:rPr>
          <w:color w:val="auto"/>
          <w:kern w:val="0"/>
          <w:sz w:val="24"/>
          <w:highlight w:val="none"/>
        </w:rPr>
        <w:t>本</w:t>
      </w:r>
      <w:r>
        <w:rPr>
          <w:rFonts w:hint="default" w:ascii="Times New Roman" w:hAnsi="Times New Roman" w:cs="Times New Roman"/>
          <w:color w:val="auto"/>
          <w:sz w:val="24"/>
          <w:highlight w:val="none"/>
        </w:rPr>
        <w:t>项目附近的地表水为三月三水库和前进河，三月三水库位于项目</w:t>
      </w:r>
      <w:r>
        <w:rPr>
          <w:rFonts w:hint="eastAsia" w:cs="Times New Roman"/>
          <w:color w:val="auto"/>
          <w:sz w:val="24"/>
          <w:highlight w:val="none"/>
          <w:lang w:val="en-US" w:eastAsia="zh-CN"/>
        </w:rPr>
        <w:t>东</w:t>
      </w:r>
      <w:r>
        <w:rPr>
          <w:rFonts w:hint="default" w:ascii="Times New Roman" w:hAnsi="Times New Roman" w:cs="Times New Roman"/>
          <w:color w:val="auto"/>
          <w:sz w:val="24"/>
          <w:highlight w:val="none"/>
        </w:rPr>
        <w:t>侧约</w:t>
      </w:r>
      <w:r>
        <w:rPr>
          <w:rFonts w:hint="eastAsia" w:cs="Times New Roman"/>
          <w:color w:val="auto"/>
          <w:sz w:val="24"/>
          <w:highlight w:val="none"/>
          <w:lang w:val="en-US" w:eastAsia="zh-CN"/>
        </w:rPr>
        <w:t>1035</w:t>
      </w:r>
      <w:r>
        <w:rPr>
          <w:rFonts w:hint="default" w:ascii="Times New Roman" w:hAnsi="Times New Roman" w:cs="Times New Roman"/>
          <w:color w:val="auto"/>
          <w:sz w:val="24"/>
          <w:highlight w:val="none"/>
        </w:rPr>
        <w:t>m，前进河位于项目东侧约</w:t>
      </w:r>
      <w:r>
        <w:rPr>
          <w:rFonts w:hint="eastAsia" w:cs="Times New Roman"/>
          <w:color w:val="auto"/>
          <w:sz w:val="24"/>
          <w:highlight w:val="none"/>
          <w:lang w:val="en-US" w:eastAsia="zh-CN"/>
        </w:rPr>
        <w:t>2470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lang w:val="en-US" w:eastAsia="zh-CN"/>
        </w:rPr>
        <w:t>三月三水库汇入前进河，前进河汇入牛栏江，属牛栏江支流。</w:t>
      </w:r>
      <w:r>
        <w:rPr>
          <w:rFonts w:hint="default" w:ascii="Times New Roman" w:hAnsi="Times New Roman" w:cs="Times New Roman"/>
          <w:color w:val="auto"/>
          <w:sz w:val="24"/>
          <w:szCs w:val="24"/>
          <w:highlight w:val="none"/>
          <w:lang w:val="en-US" w:eastAsia="zh-CN"/>
        </w:rPr>
        <w:t>根据</w:t>
      </w:r>
      <w:r>
        <w:rPr>
          <w:rFonts w:hint="eastAsia" w:cs="Times New Roman"/>
          <w:color w:val="auto"/>
          <w:sz w:val="24"/>
          <w:szCs w:val="24"/>
          <w:highlight w:val="none"/>
          <w:lang w:val="en-US" w:eastAsia="zh-CN"/>
        </w:rPr>
        <w:t>《昆明市和滇中产业新区水功能区划》（2010~2030年）</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前进河寻甸农业用水区：三月三水库起始至入牛栏江口</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河长度10.7km，属前进河中下游段，主要流经仁德街道办事处，现状水质Ⅳ类，2030规划水平年水质保护目标为Ⅲ类。</w:t>
      </w:r>
      <w:r>
        <w:rPr>
          <w:rFonts w:hint="default" w:ascii="Times New Roman" w:hAnsi="Times New Roman" w:cs="Times New Roman"/>
          <w:color w:val="auto"/>
          <w:sz w:val="24"/>
          <w:szCs w:val="24"/>
          <w:highlight w:val="none"/>
          <w:lang w:val="en-US" w:eastAsia="zh-CN"/>
        </w:rPr>
        <w:t>前进河和三月三水库执行《地表水环境质量标准》（GB3838-2002）III类标准。</w:t>
      </w:r>
    </w:p>
    <w:p>
      <w:pPr>
        <w:keepNext w:val="0"/>
        <w:keepLines w:val="0"/>
        <w:pageBreakBefore w:val="0"/>
        <w:widowControl/>
        <w:shd w:val="clear"/>
        <w:kinsoku/>
        <w:wordWrap/>
        <w:overflowPunct/>
        <w:topLinePunct w:val="0"/>
        <w:bidi w:val="0"/>
        <w:adjustRightInd w:val="0"/>
        <w:snapToGrid w:val="0"/>
        <w:spacing w:line="360" w:lineRule="auto"/>
        <w:ind w:firstLine="484" w:firstLineChars="200"/>
        <w:jc w:val="left"/>
        <w:textAlignment w:val="auto"/>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bCs/>
          <w:color w:val="auto"/>
          <w:sz w:val="24"/>
          <w:highlight w:val="none"/>
          <w:lang w:val="zh-CN" w:eastAsia="zh-CN"/>
        </w:rPr>
        <w:t>根据</w:t>
      </w:r>
      <w:r>
        <w:rPr>
          <w:rFonts w:hint="eastAsia" w:ascii="Times New Roman" w:hAnsi="Times New Roman" w:eastAsia="宋体" w:cs="Times New Roman"/>
          <w:bCs/>
          <w:color w:val="auto"/>
          <w:sz w:val="24"/>
          <w:highlight w:val="none"/>
          <w:lang w:val="en-US" w:eastAsia="zh-CN"/>
        </w:rPr>
        <w:t>寻甸县人民政府发布的</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i w:val="0"/>
          <w:iCs w:val="0"/>
          <w:caps w:val="0"/>
          <w:color w:val="auto"/>
          <w:spacing w:val="0"/>
          <w:sz w:val="24"/>
          <w:szCs w:val="24"/>
          <w:highlight w:val="none"/>
          <w:shd w:val="clear"/>
          <w:lang w:val="en-US" w:eastAsia="zh-CN"/>
        </w:rPr>
        <w:t>2023</w:t>
      </w:r>
      <w:r>
        <w:rPr>
          <w:rFonts w:hint="default" w:ascii="Times New Roman" w:hAnsi="Times New Roman" w:eastAsia="宋体" w:cs="Times New Roman"/>
          <w:bCs/>
          <w:i w:val="0"/>
          <w:iCs w:val="0"/>
          <w:caps w:val="0"/>
          <w:color w:val="auto"/>
          <w:spacing w:val="0"/>
          <w:sz w:val="24"/>
          <w:szCs w:val="24"/>
          <w:highlight w:val="none"/>
          <w:shd w:val="clear"/>
          <w:lang w:val="zh-CN"/>
        </w:rPr>
        <w:t>年</w:t>
      </w:r>
      <w:r>
        <w:rPr>
          <w:rFonts w:hint="default" w:ascii="Times New Roman" w:hAnsi="Times New Roman" w:eastAsia="宋体" w:cs="Times New Roman"/>
          <w:bCs/>
          <w:i w:val="0"/>
          <w:iCs w:val="0"/>
          <w:caps w:val="0"/>
          <w:color w:val="auto"/>
          <w:spacing w:val="0"/>
          <w:sz w:val="24"/>
          <w:szCs w:val="24"/>
          <w:highlight w:val="none"/>
          <w:shd w:val="clear"/>
          <w:lang w:val="en-US" w:eastAsia="zh-CN"/>
        </w:rPr>
        <w:t>0</w:t>
      </w:r>
      <w:r>
        <w:rPr>
          <w:rFonts w:hint="eastAsia" w:ascii="Times New Roman" w:hAnsi="Times New Roman" w:eastAsia="宋体" w:cs="Times New Roman"/>
          <w:bCs/>
          <w:i w:val="0"/>
          <w:iCs w:val="0"/>
          <w:caps w:val="0"/>
          <w:color w:val="auto"/>
          <w:spacing w:val="0"/>
          <w:sz w:val="24"/>
          <w:szCs w:val="24"/>
          <w:highlight w:val="none"/>
          <w:shd w:val="clear"/>
          <w:lang w:val="en-US" w:eastAsia="zh-CN"/>
        </w:rPr>
        <w:t>6</w:t>
      </w:r>
      <w:r>
        <w:rPr>
          <w:rFonts w:hint="default" w:ascii="Times New Roman" w:hAnsi="Times New Roman" w:eastAsia="宋体" w:cs="Times New Roman"/>
          <w:bCs/>
          <w:i w:val="0"/>
          <w:iCs w:val="0"/>
          <w:caps w:val="0"/>
          <w:color w:val="auto"/>
          <w:spacing w:val="0"/>
          <w:sz w:val="24"/>
          <w:szCs w:val="24"/>
          <w:highlight w:val="none"/>
          <w:shd w:val="clear"/>
          <w:lang w:val="zh-CN"/>
        </w:rPr>
        <w:t>月寻甸县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eastAsia" w:ascii="Times New Roman" w:hAnsi="Times New Roman" w:eastAsia="宋体" w:cs="Times New Roman"/>
          <w:i w:val="0"/>
          <w:iCs w:val="0"/>
          <w:caps w:val="0"/>
          <w:color w:val="auto"/>
          <w:spacing w:val="0"/>
          <w:kern w:val="2"/>
          <w:sz w:val="24"/>
          <w:szCs w:val="24"/>
          <w:highlight w:val="none"/>
          <w:shd w:val="clear"/>
          <w:lang w:val="en-US" w:eastAsia="zh-CN"/>
        </w:rPr>
        <w:t>6</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hint="eastAsia" w:ascii="Times New Roman" w:hAnsi="Times New Roman" w:eastAsia="宋体" w:cs="Times New Roman"/>
          <w:bCs/>
          <w:i w:val="0"/>
          <w:iCs w:val="0"/>
          <w:caps w:val="0"/>
          <w:color w:val="auto"/>
          <w:spacing w:val="0"/>
          <w:kern w:val="2"/>
          <w:sz w:val="24"/>
          <w:szCs w:val="24"/>
          <w:highlight w:val="none"/>
          <w:shd w:val="clear"/>
          <w:lang w:val="en-US" w:eastAsia="zh-CN"/>
        </w:rPr>
        <w:t>河流14条共设17个监测断面，除1个断面断流外，其他断面均正常监测，依据监测数据，16个监测断面中达到</w:t>
      </w:r>
      <w:r>
        <w:rPr>
          <w:rFonts w:hint="default" w:ascii="Times New Roman" w:hAnsi="Times New Roman" w:cs="Times New Roman"/>
          <w:color w:val="auto"/>
          <w:sz w:val="24"/>
          <w:szCs w:val="24"/>
          <w:highlight w:val="none"/>
          <w:lang w:val="en-US" w:eastAsia="zh-CN"/>
        </w:rPr>
        <w:t>III类</w:t>
      </w:r>
      <w:r>
        <w:rPr>
          <w:rFonts w:hint="eastAsia" w:ascii="Times New Roman" w:hAnsi="Times New Roman" w:cs="Times New Roman"/>
          <w:color w:val="auto"/>
          <w:sz w:val="24"/>
          <w:szCs w:val="24"/>
          <w:highlight w:val="none"/>
          <w:lang w:val="en-US" w:eastAsia="zh-CN"/>
        </w:rPr>
        <w:t>以上水质标准的有11个断面，水质达标率为68.75%；</w:t>
      </w:r>
      <w:r>
        <w:rPr>
          <w:rFonts w:hint="default" w:ascii="Times New Roman" w:hAnsi="Times New Roman" w:eastAsia="宋体" w:cs="Times New Roman"/>
          <w:bCs/>
          <w:i w:val="0"/>
          <w:iCs w:val="0"/>
          <w:caps w:val="0"/>
          <w:color w:val="auto"/>
          <w:spacing w:val="0"/>
          <w:kern w:val="2"/>
          <w:sz w:val="24"/>
          <w:szCs w:val="24"/>
          <w:highlight w:val="none"/>
          <w:shd w:val="clear"/>
        </w:rPr>
        <w:t>湖库7个，共设7个监测点位，依据监测数据，7个监测断面中新田河干涸无水，达到Ⅲ类以上水质标准的有</w:t>
      </w:r>
      <w:r>
        <w:rPr>
          <w:rFonts w:hint="eastAsia" w:ascii="Times New Roman" w:hAnsi="Times New Roman" w:eastAsia="宋体" w:cs="Times New Roman"/>
          <w:bCs/>
          <w:i w:val="0"/>
          <w:iCs w:val="0"/>
          <w:caps w:val="0"/>
          <w:color w:val="auto"/>
          <w:spacing w:val="0"/>
          <w:kern w:val="2"/>
          <w:sz w:val="24"/>
          <w:szCs w:val="24"/>
          <w:highlight w:val="none"/>
          <w:shd w:val="clear"/>
          <w:lang w:val="en-US" w:eastAsia="zh-CN"/>
        </w:rPr>
        <w:t>4</w:t>
      </w:r>
      <w:r>
        <w:rPr>
          <w:rFonts w:hint="default" w:ascii="Times New Roman" w:hAnsi="Times New Roman" w:eastAsia="宋体" w:cs="Times New Roman"/>
          <w:bCs/>
          <w:i w:val="0"/>
          <w:iCs w:val="0"/>
          <w:caps w:val="0"/>
          <w:color w:val="auto"/>
          <w:spacing w:val="0"/>
          <w:kern w:val="2"/>
          <w:sz w:val="24"/>
          <w:szCs w:val="24"/>
          <w:highlight w:val="none"/>
          <w:shd w:val="clear"/>
        </w:rPr>
        <w:t>个，水质达标率为</w:t>
      </w:r>
      <w:r>
        <w:rPr>
          <w:rFonts w:hint="eastAsia" w:ascii="Times New Roman" w:hAnsi="Times New Roman" w:eastAsia="宋体" w:cs="Times New Roman"/>
          <w:bCs/>
          <w:i w:val="0"/>
          <w:iCs w:val="0"/>
          <w:caps w:val="0"/>
          <w:color w:val="auto"/>
          <w:spacing w:val="0"/>
          <w:kern w:val="2"/>
          <w:sz w:val="24"/>
          <w:szCs w:val="24"/>
          <w:highlight w:val="none"/>
          <w:shd w:val="clear"/>
          <w:lang w:val="en-US" w:eastAsia="zh-CN"/>
        </w:rPr>
        <w:t>66.67</w:t>
      </w:r>
      <w:r>
        <w:rPr>
          <w:rFonts w:hint="default" w:ascii="Times New Roman" w:hAnsi="Times New Roman" w:eastAsia="宋体" w:cs="Times New Roman"/>
          <w:bCs/>
          <w:i w:val="0"/>
          <w:iCs w:val="0"/>
          <w:caps w:val="0"/>
          <w:color w:val="auto"/>
          <w:spacing w:val="0"/>
          <w:kern w:val="2"/>
          <w:sz w:val="24"/>
          <w:szCs w:val="24"/>
          <w:highlight w:val="none"/>
          <w:shd w:val="clear"/>
        </w:rPr>
        <w:t>%</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4.2-8</w:t>
      </w:r>
      <w:r>
        <w:rPr>
          <w:rFonts w:hint="default" w:ascii="Times New Roman" w:hAnsi="Times New Roman" w:eastAsia="宋体" w:cs="Times New Roman"/>
          <w:b/>
          <w:bCs/>
          <w:color w:val="auto"/>
          <w:sz w:val="24"/>
          <w:szCs w:val="24"/>
          <w:highlight w:val="none"/>
          <w:lang w:val="en-US" w:eastAsia="zh-CN"/>
        </w:rPr>
        <w:t xml:space="preserve">   </w:t>
      </w:r>
      <w:r>
        <w:rPr>
          <w:rStyle w:val="62"/>
          <w:rFonts w:hint="default" w:ascii="Times New Roman" w:hAnsi="Times New Roman" w:eastAsia="宋体" w:cs="Times New Roman"/>
          <w:b/>
          <w:bCs/>
          <w:i w:val="0"/>
          <w:iCs w:val="0"/>
          <w:caps w:val="0"/>
          <w:color w:val="auto"/>
          <w:spacing w:val="0"/>
          <w:sz w:val="24"/>
          <w:szCs w:val="24"/>
          <w:highlight w:val="none"/>
          <w:shd w:val="clear" w:fill="FFFFFF"/>
        </w:rPr>
        <w:t>2023年0</w:t>
      </w:r>
      <w:r>
        <w:rPr>
          <w:rStyle w:val="62"/>
          <w:rFonts w:hint="eastAsia" w:ascii="Times New Roman" w:hAnsi="Times New Roman" w:eastAsia="宋体" w:cs="Times New Roman"/>
          <w:b/>
          <w:bCs/>
          <w:i w:val="0"/>
          <w:iCs w:val="0"/>
          <w:caps w:val="0"/>
          <w:color w:val="auto"/>
          <w:spacing w:val="0"/>
          <w:sz w:val="24"/>
          <w:szCs w:val="24"/>
          <w:highlight w:val="none"/>
          <w:shd w:val="clear" w:fill="FFFFFF"/>
          <w:lang w:val="en-US" w:eastAsia="zh-CN"/>
        </w:rPr>
        <w:t>6</w:t>
      </w:r>
      <w:r>
        <w:rPr>
          <w:rStyle w:val="62"/>
          <w:rFonts w:hint="default" w:ascii="Times New Roman" w:hAnsi="Times New Roman" w:eastAsia="宋体" w:cs="Times New Roman"/>
          <w:b/>
          <w:bCs/>
          <w:i w:val="0"/>
          <w:iCs w:val="0"/>
          <w:caps w:val="0"/>
          <w:color w:val="auto"/>
          <w:spacing w:val="0"/>
          <w:sz w:val="24"/>
          <w:szCs w:val="24"/>
          <w:highlight w:val="none"/>
          <w:shd w:val="clear" w:fill="FFFFFF"/>
        </w:rPr>
        <w:t>月寻甸境内湖库质状况统计表</w:t>
      </w:r>
    </w:p>
    <w:tbl>
      <w:tblPr>
        <w:tblStyle w:val="56"/>
        <w:tblW w:w="8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681"/>
        <w:gridCol w:w="656"/>
        <w:gridCol w:w="610"/>
        <w:gridCol w:w="1141"/>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8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65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610"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14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4090"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62"/>
                <w:rFonts w:hint="default" w:ascii="Times New Roman" w:hAnsi="Times New Roman" w:eastAsia="宋体" w:cs="Times New Roman"/>
                <w:b/>
                <w:bCs/>
                <w:i w:val="0"/>
                <w:iCs w:val="0"/>
                <w:caps w:val="0"/>
                <w:color w:val="auto"/>
                <w:spacing w:val="0"/>
                <w:sz w:val="21"/>
                <w:szCs w:val="21"/>
                <w:highlight w:val="none"/>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eastAsia" w:ascii="Times New Roman" w:hAnsi="Times New Roman" w:eastAsia="宋体" w:cs="Times New Roman"/>
                <w:bCs w:val="0"/>
                <w:color w:val="auto"/>
                <w:sz w:val="21"/>
                <w:szCs w:val="21"/>
                <w:highlight w:val="none"/>
                <w:vertAlign w:val="baseline"/>
                <w:lang w:val="en-US" w:eastAsia="zh-CN"/>
              </w:rPr>
              <w:t>前进河哦嘎电站</w:t>
            </w:r>
          </w:p>
        </w:tc>
        <w:tc>
          <w:tcPr>
            <w:tcW w:w="68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ascii="Times New Roman" w:hAnsi="Times New Roman" w:eastAsia="宋体" w:cs="Times New Roman"/>
                <w:bCs w:val="0"/>
                <w:color w:val="auto"/>
                <w:sz w:val="21"/>
                <w:szCs w:val="21"/>
                <w:highlight w:val="none"/>
                <w:vertAlign w:val="baseline"/>
                <w:lang w:val="en-US" w:eastAsia="zh-CN"/>
              </w:rPr>
              <w:t>6</w:t>
            </w:r>
          </w:p>
        </w:tc>
        <w:tc>
          <w:tcPr>
            <w:tcW w:w="610"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ascii="Times New Roman" w:hAnsi="Times New Roman" w:eastAsia="宋体" w:cs="Times New Roman"/>
                <w:bCs w:val="0"/>
                <w:color w:val="auto"/>
                <w:sz w:val="21"/>
                <w:szCs w:val="21"/>
                <w:highlight w:val="none"/>
                <w:vertAlign w:val="baseline"/>
                <w:lang w:val="en-US" w:eastAsia="zh-CN"/>
              </w:rPr>
              <w:t>6</w:t>
            </w:r>
          </w:p>
        </w:tc>
        <w:tc>
          <w:tcPr>
            <w:tcW w:w="114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Ⅳ类</w:t>
            </w:r>
          </w:p>
        </w:tc>
        <w:tc>
          <w:tcPr>
            <w:tcW w:w="4090"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i w:val="0"/>
                <w:iCs w:val="0"/>
                <w:caps w:val="0"/>
                <w:color w:val="auto"/>
                <w:spacing w:val="0"/>
                <w:sz w:val="21"/>
                <w:szCs w:val="21"/>
                <w:highlight w:val="none"/>
                <w:shd w:val="clear" w:fill="FFFFFF"/>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五日生化需氧量(0.</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2</w:t>
            </w:r>
            <w:r>
              <w:rPr>
                <w:rFonts w:hint="default" w:ascii="Times New Roman" w:hAnsi="Times New Roman" w:eastAsia="宋体" w:cs="Times New Roman"/>
                <w:i w:val="0"/>
                <w:iCs w:val="0"/>
                <w:caps w:val="0"/>
                <w:color w:val="auto"/>
                <w:spacing w:val="0"/>
                <w:sz w:val="21"/>
                <w:szCs w:val="21"/>
                <w:highlight w:val="none"/>
                <w:shd w:val="clear" w:fill="FFFFFF"/>
              </w:rPr>
              <w:t>)(Ⅳ类)</w:t>
            </w:r>
            <w:r>
              <w:rPr>
                <w:rFonts w:hint="eastAsia" w:ascii="Times New Roman" w:hAnsi="Times New Roman" w:eastAsia="宋体" w:cs="Times New Roman"/>
                <w:i w:val="0"/>
                <w:iCs w:val="0"/>
                <w:caps w:val="0"/>
                <w:color w:val="auto"/>
                <w:spacing w:val="0"/>
                <w:sz w:val="21"/>
                <w:szCs w:val="21"/>
                <w:highlight w:val="none"/>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三月三水库</w:t>
            </w:r>
          </w:p>
        </w:tc>
        <w:tc>
          <w:tcPr>
            <w:tcW w:w="68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ascii="Times New Roman" w:hAnsi="Times New Roman" w:eastAsia="宋体" w:cs="Times New Roman"/>
                <w:bCs w:val="0"/>
                <w:color w:val="auto"/>
                <w:sz w:val="21"/>
                <w:szCs w:val="21"/>
                <w:highlight w:val="none"/>
                <w:vertAlign w:val="baseline"/>
                <w:lang w:val="en-US" w:eastAsia="zh-CN"/>
              </w:rPr>
              <w:t>6</w:t>
            </w:r>
          </w:p>
        </w:tc>
        <w:tc>
          <w:tcPr>
            <w:tcW w:w="610"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ascii="Times New Roman" w:hAnsi="Times New Roman" w:eastAsia="宋体" w:cs="Times New Roman"/>
                <w:bCs w:val="0"/>
                <w:color w:val="auto"/>
                <w:sz w:val="21"/>
                <w:szCs w:val="21"/>
                <w:highlight w:val="none"/>
                <w:vertAlign w:val="baseline"/>
                <w:lang w:val="en-US" w:eastAsia="zh-CN"/>
              </w:rPr>
              <w:t>6</w:t>
            </w:r>
          </w:p>
        </w:tc>
        <w:tc>
          <w:tcPr>
            <w:tcW w:w="114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Ⅳ类</w:t>
            </w:r>
          </w:p>
        </w:tc>
        <w:tc>
          <w:tcPr>
            <w:tcW w:w="4090"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zh-CN" w:eastAsia="zh-CN"/>
              </w:rPr>
            </w:pP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总磷(0.40)(</w:t>
            </w:r>
            <w:r>
              <w:rPr>
                <w:rFonts w:hint="default" w:ascii="Times New Roman" w:hAnsi="Times New Roman" w:eastAsia="宋体" w:cs="Times New Roman"/>
                <w:i w:val="0"/>
                <w:iCs w:val="0"/>
                <w:caps w:val="0"/>
                <w:color w:val="auto"/>
                <w:spacing w:val="0"/>
                <w:sz w:val="21"/>
                <w:szCs w:val="21"/>
                <w:highlight w:val="none"/>
                <w:shd w:val="clear" w:fill="FFFFFF"/>
              </w:rPr>
              <w:t>Ⅳ类)</w:t>
            </w:r>
            <w:r>
              <w:rPr>
                <w:rFonts w:hint="eastAsia" w:ascii="Times New Roman" w:hAnsi="Times New Roman" w:eastAsia="宋体" w:cs="Times New Roman"/>
                <w:i w:val="0"/>
                <w:iCs w:val="0"/>
                <w:caps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color w:val="auto"/>
                <w:spacing w:val="0"/>
                <w:sz w:val="21"/>
                <w:szCs w:val="21"/>
                <w:highlight w:val="none"/>
                <w:shd w:val="clear" w:fill="FFFFFF"/>
              </w:rPr>
              <w:t>化学需氧量(</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0.10</w:t>
            </w:r>
            <w:r>
              <w:rPr>
                <w:rFonts w:hint="default" w:ascii="Times New Roman" w:hAnsi="Times New Roman" w:eastAsia="宋体" w:cs="Times New Roman"/>
                <w:i w:val="0"/>
                <w:iCs w:val="0"/>
                <w:caps w:val="0"/>
                <w:color w:val="auto"/>
                <w:spacing w:val="0"/>
                <w:sz w:val="21"/>
                <w:szCs w:val="21"/>
                <w:highlight w:val="none"/>
                <w:shd w:val="clear" w:fill="FFFFFF"/>
              </w:rPr>
              <w:t>)</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Ⅳ类</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，高锰酸盐指数(0.03)(</w:t>
            </w:r>
            <w:r>
              <w:rPr>
                <w:rFonts w:hint="default" w:ascii="Times New Roman" w:hAnsi="Times New Roman" w:eastAsia="宋体" w:cs="Times New Roman"/>
                <w:i w:val="0"/>
                <w:iCs w:val="0"/>
                <w:caps w:val="0"/>
                <w:color w:val="auto"/>
                <w:spacing w:val="0"/>
                <w:sz w:val="21"/>
                <w:szCs w:val="21"/>
                <w:highlight w:val="none"/>
                <w:shd w:val="clear" w:fill="FFFFFF"/>
              </w:rPr>
              <w:t>Ⅳ类</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w:t>
            </w:r>
          </w:p>
        </w:tc>
      </w:tr>
    </w:tbl>
    <w:p>
      <w:pPr>
        <w:keepNext w:val="0"/>
        <w:keepLines w:val="0"/>
        <w:pageBreakBefore w:val="0"/>
        <w:widowControl w:val="0"/>
        <w:shd w:val="clear"/>
        <w:kinsoku/>
        <w:wordWrap/>
        <w:overflowPunct/>
        <w:topLinePunct w:val="0"/>
        <w:autoSpaceDE/>
        <w:autoSpaceDN/>
        <w:bidi w:val="0"/>
        <w:snapToGrid w:val="0"/>
        <w:spacing w:line="348" w:lineRule="auto"/>
        <w:ind w:firstLine="48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前进河哦嘎电站位于项目区下游</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bCs/>
          <w:i w:val="0"/>
          <w:iCs w:val="0"/>
          <w:caps w:val="0"/>
          <w:color w:val="auto"/>
          <w:spacing w:val="0"/>
          <w:sz w:val="24"/>
          <w:szCs w:val="24"/>
          <w:highlight w:val="none"/>
          <w:shd w:val="clear"/>
          <w:lang w:val="en-US" w:eastAsia="zh-CN"/>
        </w:rPr>
        <w:t>根据统计表中可知，</w:t>
      </w:r>
      <w:r>
        <w:rPr>
          <w:rFonts w:hint="eastAsia" w:ascii="Times New Roman" w:hAnsi="Times New Roman" w:eastAsia="宋体" w:cs="Times New Roman"/>
          <w:bCs/>
          <w:i w:val="0"/>
          <w:iCs w:val="0"/>
          <w:caps w:val="0"/>
          <w:color w:val="auto"/>
          <w:spacing w:val="0"/>
          <w:sz w:val="24"/>
          <w:szCs w:val="24"/>
          <w:highlight w:val="none"/>
          <w:shd w:val="clear"/>
          <w:lang w:val="en-US" w:eastAsia="zh-CN"/>
        </w:rPr>
        <w:t>前进河哦嘎电站</w:t>
      </w:r>
      <w:r>
        <w:rPr>
          <w:rFonts w:hint="default" w:ascii="Times New Roman" w:hAnsi="Times New Roman" w:eastAsia="宋体" w:cs="Times New Roman"/>
          <w:bCs/>
          <w:i w:val="0"/>
          <w:iCs w:val="0"/>
          <w:caps w:val="0"/>
          <w:color w:val="auto"/>
          <w:spacing w:val="0"/>
          <w:sz w:val="24"/>
          <w:szCs w:val="24"/>
          <w:highlight w:val="none"/>
          <w:shd w:val="clear"/>
          <w:lang w:val="en-US" w:eastAsia="zh-CN"/>
        </w:rPr>
        <w:t>为</w:t>
      </w:r>
      <w:r>
        <w:rPr>
          <w:rFonts w:hint="default" w:ascii="Times New Roman" w:hAnsi="Times New Roman" w:eastAsia="宋体" w:cs="Times New Roman"/>
          <w:i w:val="0"/>
          <w:iCs w:val="0"/>
          <w:caps w:val="0"/>
          <w:color w:val="auto"/>
          <w:spacing w:val="0"/>
          <w:sz w:val="24"/>
          <w:szCs w:val="24"/>
          <w:highlight w:val="none"/>
          <w:shd w:val="clear" w:fill="FFFFFF"/>
        </w:rPr>
        <w:t>Ⅳ类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4"/>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rPr>
        <w:t>五日生化</w:t>
      </w:r>
      <w:r>
        <w:rPr>
          <w:rFonts w:hint="default" w:ascii="Times New Roman" w:hAnsi="Times New Roman" w:eastAsia="宋体" w:cs="Times New Roman"/>
          <w:i w:val="0"/>
          <w:iCs w:val="0"/>
          <w:caps w:val="0"/>
          <w:color w:val="auto"/>
          <w:spacing w:val="0"/>
          <w:sz w:val="24"/>
          <w:szCs w:val="24"/>
          <w:highlight w:val="none"/>
          <w:shd w:val="clear" w:fill="FFFFFF"/>
        </w:rPr>
        <w:t>需氧量</w:t>
      </w:r>
      <w:r>
        <w:rPr>
          <w:rFonts w:hint="default" w:ascii="Times New Roman" w:hAnsi="Times New Roman" w:eastAsia="宋体" w:cs="Times New Roman"/>
          <w:color w:val="auto"/>
          <w:sz w:val="24"/>
          <w:szCs w:val="24"/>
          <w:highlight w:val="none"/>
        </w:rPr>
        <w:t>超标，超标</w:t>
      </w:r>
      <w:r>
        <w:rPr>
          <w:rFonts w:hint="eastAsia"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bCs/>
          <w:i w:val="0"/>
          <w:iCs w:val="0"/>
          <w:caps w:val="0"/>
          <w:color w:val="auto"/>
          <w:spacing w:val="0"/>
          <w:sz w:val="24"/>
          <w:szCs w:val="24"/>
          <w:highlight w:val="none"/>
          <w:shd w:val="clear"/>
          <w:lang w:val="en-US" w:eastAsia="zh-CN"/>
        </w:rPr>
        <w:t>为</w:t>
      </w:r>
      <w:r>
        <w:rPr>
          <w:rFonts w:hint="default" w:ascii="Times New Roman" w:hAnsi="Times New Roman" w:eastAsia="宋体" w:cs="Times New Roman"/>
          <w:i w:val="0"/>
          <w:iCs w:val="0"/>
          <w:caps w:val="0"/>
          <w:color w:val="auto"/>
          <w:spacing w:val="0"/>
          <w:sz w:val="24"/>
          <w:szCs w:val="24"/>
          <w:highlight w:val="none"/>
          <w:shd w:val="clear" w:fill="FFFFFF"/>
        </w:rPr>
        <w:t>Ⅳ类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4"/>
          <w:highlight w:val="none"/>
        </w:rPr>
        <w:t>监测指标中</w:t>
      </w:r>
      <w:r>
        <w:rPr>
          <w:rFonts w:hint="eastAsia" w:ascii="Times New Roman" w:hAnsi="Times New Roman" w:eastAsia="宋体" w:cs="Times New Roman"/>
          <w:color w:val="auto"/>
          <w:sz w:val="24"/>
          <w:szCs w:val="24"/>
          <w:highlight w:val="none"/>
          <w:lang w:val="en-US" w:eastAsia="zh-CN"/>
        </w:rPr>
        <w:t>总磷、</w:t>
      </w:r>
      <w:r>
        <w:rPr>
          <w:rFonts w:hint="default" w:ascii="Times New Roman" w:hAnsi="Times New Roman" w:eastAsia="宋体" w:cs="Times New Roman"/>
          <w:i w:val="0"/>
          <w:iCs w:val="0"/>
          <w:caps w:val="0"/>
          <w:color w:val="auto"/>
          <w:spacing w:val="0"/>
          <w:sz w:val="24"/>
          <w:szCs w:val="24"/>
          <w:highlight w:val="none"/>
          <w:shd w:val="clear" w:fill="FFFFFF"/>
        </w:rPr>
        <w:t>化学</w:t>
      </w:r>
      <w:r>
        <w:rPr>
          <w:rFonts w:hint="default" w:ascii="Times New Roman" w:hAnsi="Times New Roman" w:eastAsia="宋体" w:cs="Times New Roman"/>
          <w:i w:val="0"/>
          <w:iCs w:val="0"/>
          <w:caps w:val="0"/>
          <w:color w:val="auto"/>
          <w:spacing w:val="0"/>
          <w:sz w:val="24"/>
          <w:szCs w:val="24"/>
          <w:highlight w:val="none"/>
          <w:shd w:val="clear"/>
        </w:rPr>
        <w:t>需氧量</w:t>
      </w:r>
      <w:r>
        <w:rPr>
          <w:rFonts w:hint="eastAsia" w:ascii="Times New Roman" w:hAnsi="Times New Roman" w:eastAsia="宋体" w:cs="Times New Roman"/>
          <w:i w:val="0"/>
          <w:iCs w:val="0"/>
          <w:caps w:val="0"/>
          <w:color w:val="auto"/>
          <w:spacing w:val="0"/>
          <w:sz w:val="24"/>
          <w:szCs w:val="24"/>
          <w:highlight w:val="none"/>
          <w:shd w:val="clear"/>
          <w:lang w:eastAsia="zh-CN"/>
        </w:rPr>
        <w:t>、</w:t>
      </w:r>
      <w:r>
        <w:rPr>
          <w:rFonts w:hint="eastAsia" w:ascii="Times New Roman" w:hAnsi="Times New Roman" w:eastAsia="宋体" w:cs="Times New Roman"/>
          <w:i w:val="0"/>
          <w:iCs w:val="0"/>
          <w:caps w:val="0"/>
          <w:color w:val="auto"/>
          <w:spacing w:val="0"/>
          <w:sz w:val="24"/>
          <w:szCs w:val="24"/>
          <w:highlight w:val="none"/>
          <w:shd w:val="clear"/>
          <w:lang w:val="en-US" w:eastAsia="zh-CN"/>
        </w:rPr>
        <w:t>高锰酸盐指数</w:t>
      </w:r>
      <w:r>
        <w:rPr>
          <w:rFonts w:hint="default" w:ascii="Times New Roman" w:hAnsi="Times New Roman" w:eastAsia="宋体" w:cs="Times New Roman"/>
          <w:color w:val="auto"/>
          <w:sz w:val="24"/>
          <w:szCs w:val="24"/>
          <w:highlight w:val="none"/>
        </w:rPr>
        <w:t>超标，</w:t>
      </w:r>
      <w:r>
        <w:rPr>
          <w:rFonts w:hint="eastAsia"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超标</w:t>
      </w:r>
      <w:r>
        <w:rPr>
          <w:rFonts w:hint="eastAsia" w:ascii="Times New Roman" w:hAnsi="Times New Roman" w:eastAsia="宋体" w:cs="Times New Roman"/>
          <w:color w:val="auto"/>
          <w:sz w:val="24"/>
          <w:szCs w:val="24"/>
          <w:highlight w:val="none"/>
          <w:lang w:val="en-US" w:eastAsia="zh-CN"/>
        </w:rPr>
        <w:t>0.4倍、0.1</w:t>
      </w:r>
      <w:r>
        <w:rPr>
          <w:rFonts w:hint="default" w:ascii="Times New Roman" w:hAnsi="Times New Roman" w:eastAsia="宋体" w:cs="Times New Roman"/>
          <w:color w:val="auto"/>
          <w:sz w:val="24"/>
          <w:szCs w:val="24"/>
          <w:highlight w:val="none"/>
        </w:rPr>
        <w:t>倍</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0.03倍</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前进河</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color w:val="auto"/>
          <w:sz w:val="24"/>
          <w:szCs w:val="24"/>
          <w:highlight w:val="none"/>
        </w:rPr>
        <w:t>水质</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不能达到《地表水环境质量标准》（GB3838-2002）Ⅲ类标准限值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不能满足相关功能区划要求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根据本次环评调查分析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超标原因主要是由于</w:t>
      </w:r>
      <w:r>
        <w:rPr>
          <w:rFonts w:hint="default" w:ascii="Times New Roman" w:hAnsi="Times New Roman" w:eastAsia="宋体" w:cs="Times New Roman"/>
          <w:color w:val="auto"/>
          <w:sz w:val="24"/>
          <w:szCs w:val="24"/>
          <w:highlight w:val="none"/>
          <w:lang w:val="en-US" w:eastAsia="zh-CN"/>
        </w:rPr>
        <w:t>入湖</w:t>
      </w:r>
      <w:r>
        <w:rPr>
          <w:rFonts w:hint="default" w:ascii="Times New Roman" w:hAnsi="Times New Roman" w:eastAsia="宋体" w:cs="Times New Roman"/>
          <w:color w:val="auto"/>
          <w:sz w:val="24"/>
          <w:szCs w:val="24"/>
          <w:highlight w:val="none"/>
        </w:rPr>
        <w:t>河道沿岸仍有生活污水汇入河道，生活面源污染导致水质变差，</w:t>
      </w:r>
      <w:r>
        <w:rPr>
          <w:rFonts w:hint="eastAsia" w:cs="Times New Roman"/>
          <w:color w:val="auto"/>
          <w:sz w:val="24"/>
          <w:szCs w:val="24"/>
          <w:highlight w:val="none"/>
          <w:lang w:val="en-US" w:eastAsia="zh-CN"/>
        </w:rPr>
        <w:t>地表水环境</w:t>
      </w:r>
      <w:r>
        <w:rPr>
          <w:rFonts w:hint="default" w:ascii="Times New Roman" w:hAnsi="Times New Roman" w:eastAsia="宋体" w:cs="Times New Roman"/>
          <w:color w:val="auto"/>
          <w:sz w:val="24"/>
          <w:szCs w:val="24"/>
          <w:highlight w:val="none"/>
        </w:rPr>
        <w:t>不能满足功能区划的要求。</w:t>
      </w:r>
    </w:p>
    <w:bookmarkEnd w:id="524"/>
    <w:p>
      <w:pPr>
        <w:spacing w:line="360" w:lineRule="auto"/>
        <w:outlineLvl w:val="2"/>
        <w:rPr>
          <w:b/>
          <w:color w:val="auto"/>
          <w:sz w:val="28"/>
          <w:szCs w:val="28"/>
          <w:highlight w:val="none"/>
        </w:rPr>
      </w:pPr>
      <w:bookmarkStart w:id="526" w:name="_Toc27979"/>
      <w:bookmarkStart w:id="527" w:name="_Toc28492"/>
      <w:bookmarkStart w:id="528" w:name="_Toc7503"/>
      <w:bookmarkStart w:id="529" w:name="_Toc15907956"/>
      <w:r>
        <w:rPr>
          <w:b/>
          <w:color w:val="auto"/>
          <w:sz w:val="28"/>
          <w:szCs w:val="28"/>
          <w:highlight w:val="none"/>
        </w:rPr>
        <w:t>4.2.3地下水环境质量现状</w:t>
      </w:r>
      <w:bookmarkEnd w:id="526"/>
      <w:bookmarkEnd w:id="527"/>
      <w:bookmarkEnd w:id="528"/>
    </w:p>
    <w:p>
      <w:pPr>
        <w:spacing w:line="360" w:lineRule="auto"/>
        <w:ind w:firstLine="480"/>
        <w:rPr>
          <w:rFonts w:hint="default" w:eastAsia="宋体"/>
          <w:color w:val="auto"/>
          <w:sz w:val="24"/>
          <w:highlight w:val="none"/>
          <w:lang w:val="en-US" w:eastAsia="zh-CN"/>
        </w:rPr>
      </w:pPr>
      <w:r>
        <w:rPr>
          <w:rFonts w:hint="eastAsia"/>
          <w:color w:val="auto"/>
          <w:sz w:val="24"/>
          <w:highlight w:val="none"/>
          <w:lang w:val="en-US" w:eastAsia="zh-CN"/>
        </w:rPr>
        <w:t>本项目为塑料制品制造，项目不涉及人造革、发泡胶等有毒原材料，不涉及电镀</w:t>
      </w:r>
      <w:r>
        <w:rPr>
          <w:color w:val="auto"/>
          <w:sz w:val="24"/>
          <w:highlight w:val="none"/>
        </w:rPr>
        <w:t>。</w:t>
      </w:r>
      <w:r>
        <w:rPr>
          <w:rFonts w:hint="eastAsia"/>
          <w:color w:val="auto"/>
          <w:sz w:val="24"/>
          <w:highlight w:val="none"/>
          <w:lang w:val="en-US" w:eastAsia="zh-CN"/>
        </w:rPr>
        <w:t>根据《环境影响评价技术导则-地下水环境》（HJ610-2016）中附录A地下水环境影响评价行业分类表，项目为N轻工中的“116、塑料制品制造”中的“其他”，为Ⅳ类项目，评价等级为不设等级。因此，不需开展地下水环境质量现状调查。</w:t>
      </w:r>
    </w:p>
    <w:p>
      <w:pPr>
        <w:spacing w:line="360" w:lineRule="auto"/>
        <w:outlineLvl w:val="2"/>
        <w:rPr>
          <w:b/>
          <w:color w:val="auto"/>
          <w:sz w:val="28"/>
          <w:szCs w:val="28"/>
          <w:highlight w:val="none"/>
        </w:rPr>
      </w:pPr>
      <w:bookmarkStart w:id="530" w:name="_Toc15907954"/>
      <w:bookmarkStart w:id="531" w:name="_Toc25192"/>
      <w:bookmarkStart w:id="532" w:name="_Toc22798"/>
      <w:bookmarkStart w:id="533" w:name="_Toc11510"/>
      <w:r>
        <w:rPr>
          <w:b/>
          <w:color w:val="auto"/>
          <w:sz w:val="28"/>
          <w:szCs w:val="28"/>
          <w:highlight w:val="none"/>
        </w:rPr>
        <w:t>4.2.</w:t>
      </w:r>
      <w:bookmarkEnd w:id="530"/>
      <w:r>
        <w:rPr>
          <w:b/>
          <w:color w:val="auto"/>
          <w:sz w:val="28"/>
          <w:szCs w:val="28"/>
          <w:highlight w:val="none"/>
        </w:rPr>
        <w:t>4声环境质量现状</w:t>
      </w:r>
      <w:bookmarkEnd w:id="531"/>
      <w:bookmarkEnd w:id="532"/>
      <w:bookmarkEnd w:id="533"/>
    </w:p>
    <w:p>
      <w:pPr>
        <w:pStyle w:val="9"/>
        <w:spacing w:line="360" w:lineRule="auto"/>
        <w:ind w:firstLine="486"/>
        <w:rPr>
          <w:color w:val="auto"/>
          <w:sz w:val="24"/>
          <w:highlight w:val="none"/>
        </w:rPr>
      </w:pPr>
      <w:r>
        <w:rPr>
          <w:color w:val="auto"/>
          <w:sz w:val="24"/>
          <w:highlight w:val="none"/>
        </w:rPr>
        <w:t>本项目地位于昆明市寻甸回族彝族自治县</w:t>
      </w:r>
      <w:r>
        <w:rPr>
          <w:rFonts w:hint="eastAsia"/>
          <w:color w:val="auto"/>
          <w:sz w:val="24"/>
          <w:highlight w:val="none"/>
          <w:lang w:val="en-US" w:eastAsia="zh-CN"/>
        </w:rPr>
        <w:t>仁德街道三月三村</w:t>
      </w:r>
      <w:r>
        <w:rPr>
          <w:color w:val="auto"/>
          <w:sz w:val="24"/>
          <w:highlight w:val="none"/>
        </w:rPr>
        <w:t>，</w:t>
      </w:r>
      <w:r>
        <w:rPr>
          <w:rFonts w:hint="eastAsia"/>
          <w:color w:val="auto"/>
          <w:sz w:val="24"/>
          <w:highlight w:val="none"/>
          <w:lang w:val="en-US" w:eastAsia="zh-CN"/>
        </w:rPr>
        <w:t>项目厂界北侧15m为S102省道（柯沙线），S102省道属于二级公路，根据</w:t>
      </w:r>
      <w:r>
        <w:rPr>
          <w:color w:val="auto"/>
          <w:sz w:val="24"/>
          <w:highlight w:val="none"/>
        </w:rPr>
        <w:t>《声环境质量标准》（GB3096-2008）</w:t>
      </w:r>
      <w:r>
        <w:rPr>
          <w:rFonts w:hint="eastAsia"/>
          <w:color w:val="auto"/>
          <w:sz w:val="24"/>
          <w:highlight w:val="none"/>
          <w:lang w:eastAsia="zh-CN"/>
        </w:rPr>
        <w:t>，</w:t>
      </w:r>
      <w:r>
        <w:rPr>
          <w:rFonts w:hint="eastAsia"/>
          <w:color w:val="auto"/>
          <w:sz w:val="24"/>
          <w:highlight w:val="none"/>
          <w:lang w:val="en-US" w:eastAsia="zh-CN"/>
        </w:rPr>
        <w:t>项目临S102省道边界向外至项目北侧边界30m区域范围属于声环境4a类区，执行《声环境质量标准》（GB3096-2008）4a</w:t>
      </w:r>
      <w:r>
        <w:rPr>
          <w:color w:val="auto"/>
          <w:sz w:val="24"/>
          <w:highlight w:val="none"/>
        </w:rPr>
        <w:t>类</w:t>
      </w:r>
      <w:r>
        <w:rPr>
          <w:rFonts w:hint="eastAsia"/>
          <w:color w:val="auto"/>
          <w:sz w:val="24"/>
          <w:highlight w:val="none"/>
          <w:lang w:val="en-US" w:eastAsia="zh-CN"/>
        </w:rPr>
        <w:t>标准，项目其他厂界区域声环境功能区划为声环境2类区，执行《声环境质量标准》（GB3096-2008）2</w:t>
      </w:r>
      <w:r>
        <w:rPr>
          <w:color w:val="auto"/>
          <w:sz w:val="24"/>
          <w:highlight w:val="none"/>
        </w:rPr>
        <w:t>类</w:t>
      </w:r>
      <w:r>
        <w:rPr>
          <w:rFonts w:hint="eastAsia"/>
          <w:color w:val="auto"/>
          <w:sz w:val="24"/>
          <w:highlight w:val="none"/>
          <w:lang w:val="en-US" w:eastAsia="zh-CN"/>
        </w:rPr>
        <w:t>标准</w:t>
      </w:r>
      <w:r>
        <w:rPr>
          <w:color w:val="auto"/>
          <w:sz w:val="24"/>
          <w:highlight w:val="none"/>
        </w:rPr>
        <w:t>。为了解本项目所在区域声环境质量现状，</w:t>
      </w:r>
      <w:r>
        <w:rPr>
          <w:rFonts w:hint="eastAsia" w:ascii="Times New Roman" w:hAnsi="Times New Roman" w:eastAsia="宋体" w:cs="Times New Roman"/>
          <w:color w:val="auto"/>
          <w:sz w:val="24"/>
          <w:highlight w:val="none"/>
          <w:lang w:val="en-US" w:eastAsia="zh-CN"/>
        </w:rPr>
        <w:t>寻甸县蜀滇塑料制品经营部</w:t>
      </w:r>
      <w:r>
        <w:rPr>
          <w:color w:val="auto"/>
          <w:sz w:val="24"/>
          <w:highlight w:val="none"/>
        </w:rPr>
        <w:t>委托</w:t>
      </w:r>
      <w:r>
        <w:rPr>
          <w:color w:val="auto"/>
          <w:sz w:val="24"/>
          <w:highlight w:val="none"/>
          <w:lang w:val="zh-CN"/>
        </w:rPr>
        <w:t>云南</w:t>
      </w:r>
      <w:r>
        <w:rPr>
          <w:rFonts w:hint="eastAsia"/>
          <w:color w:val="auto"/>
          <w:sz w:val="24"/>
          <w:highlight w:val="none"/>
        </w:rPr>
        <w:t>鼎祺检测</w:t>
      </w:r>
      <w:r>
        <w:rPr>
          <w:color w:val="auto"/>
          <w:sz w:val="24"/>
          <w:highlight w:val="none"/>
          <w:lang w:val="zh-CN"/>
        </w:rPr>
        <w:t>有限公司于</w:t>
      </w:r>
      <w:r>
        <w:rPr>
          <w:color w:val="auto"/>
          <w:sz w:val="24"/>
          <w:highlight w:val="none"/>
        </w:rPr>
        <w:t>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2</w:t>
      </w:r>
      <w:r>
        <w:rPr>
          <w:rFonts w:hint="eastAsia"/>
          <w:color w:val="auto"/>
          <w:sz w:val="24"/>
          <w:highlight w:val="none"/>
        </w:rPr>
        <w:t>7</w:t>
      </w:r>
      <w:r>
        <w:rPr>
          <w:color w:val="auto"/>
          <w:sz w:val="24"/>
          <w:highlight w:val="none"/>
        </w:rPr>
        <w:t>日至202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2</w:t>
      </w:r>
      <w:r>
        <w:rPr>
          <w:rFonts w:hint="eastAsia"/>
          <w:color w:val="auto"/>
          <w:sz w:val="24"/>
          <w:highlight w:val="none"/>
        </w:rPr>
        <w:t>8</w:t>
      </w:r>
      <w:r>
        <w:rPr>
          <w:color w:val="auto"/>
          <w:sz w:val="24"/>
          <w:highlight w:val="none"/>
        </w:rPr>
        <w:t>日对项目区东南西北厂界</w:t>
      </w:r>
      <w:r>
        <w:rPr>
          <w:rFonts w:hint="eastAsia"/>
          <w:color w:val="auto"/>
          <w:sz w:val="24"/>
          <w:highlight w:val="none"/>
          <w:lang w:val="en-US" w:eastAsia="zh-CN"/>
        </w:rPr>
        <w:t>及三月三散户</w:t>
      </w:r>
      <w:r>
        <w:rPr>
          <w:color w:val="auto"/>
          <w:sz w:val="24"/>
          <w:highlight w:val="none"/>
        </w:rPr>
        <w:t>进行了声环境质量现状监测。具体监测情况如下：</w:t>
      </w:r>
    </w:p>
    <w:p>
      <w:pPr>
        <w:spacing w:line="360" w:lineRule="auto"/>
        <w:ind w:firstLine="486"/>
        <w:rPr>
          <w:color w:val="auto"/>
          <w:sz w:val="24"/>
          <w:highlight w:val="none"/>
          <w:vertAlign w:val="superscript"/>
        </w:rPr>
      </w:pPr>
      <w:r>
        <w:rPr>
          <w:color w:val="auto"/>
          <w:sz w:val="24"/>
          <w:highlight w:val="none"/>
        </w:rPr>
        <w:t>监测因子：等效A声级L</w:t>
      </w:r>
      <w:r>
        <w:rPr>
          <w:color w:val="auto"/>
          <w:sz w:val="24"/>
          <w:highlight w:val="none"/>
          <w:vertAlign w:val="subscript"/>
        </w:rPr>
        <w:t>Aeq</w:t>
      </w:r>
    </w:p>
    <w:p>
      <w:pPr>
        <w:spacing w:line="360" w:lineRule="auto"/>
        <w:ind w:firstLine="486"/>
        <w:rPr>
          <w:color w:val="auto"/>
          <w:sz w:val="24"/>
          <w:highlight w:val="none"/>
        </w:rPr>
      </w:pPr>
      <w:r>
        <w:rPr>
          <w:color w:val="auto"/>
          <w:sz w:val="24"/>
          <w:highlight w:val="none"/>
        </w:rPr>
        <w:t>监测点位：项目东、南、西、北厂界外1m处</w:t>
      </w:r>
      <w:r>
        <w:rPr>
          <w:rFonts w:hint="eastAsia"/>
          <w:color w:val="auto"/>
          <w:sz w:val="24"/>
          <w:highlight w:val="none"/>
          <w:lang w:eastAsia="zh-CN"/>
        </w:rPr>
        <w:t>、</w:t>
      </w:r>
      <w:r>
        <w:rPr>
          <w:rFonts w:hint="eastAsia"/>
          <w:color w:val="auto"/>
          <w:sz w:val="24"/>
          <w:highlight w:val="none"/>
          <w:lang w:val="en-US" w:eastAsia="zh-CN"/>
        </w:rPr>
        <w:t>三月三散户</w:t>
      </w:r>
      <w:r>
        <w:rPr>
          <w:color w:val="auto"/>
          <w:sz w:val="24"/>
          <w:highlight w:val="none"/>
        </w:rPr>
        <w:t>，共</w:t>
      </w:r>
      <w:r>
        <w:rPr>
          <w:rFonts w:hint="eastAsia"/>
          <w:color w:val="auto"/>
          <w:sz w:val="24"/>
          <w:highlight w:val="none"/>
          <w:lang w:val="en-US" w:eastAsia="zh-CN"/>
        </w:rPr>
        <w:t>5</w:t>
      </w:r>
      <w:r>
        <w:rPr>
          <w:color w:val="auto"/>
          <w:sz w:val="24"/>
          <w:highlight w:val="none"/>
        </w:rPr>
        <w:t>个。</w:t>
      </w:r>
    </w:p>
    <w:p>
      <w:pPr>
        <w:spacing w:line="360" w:lineRule="auto"/>
        <w:ind w:firstLine="486"/>
        <w:rPr>
          <w:color w:val="auto"/>
          <w:sz w:val="24"/>
          <w:highlight w:val="none"/>
        </w:rPr>
      </w:pPr>
      <w:r>
        <w:rPr>
          <w:color w:val="auto"/>
          <w:sz w:val="24"/>
          <w:highlight w:val="none"/>
        </w:rPr>
        <w:t>监测频次：连续监测2天，每天昼夜各监测一次。</w:t>
      </w:r>
    </w:p>
    <w:p>
      <w:pPr>
        <w:spacing w:line="360" w:lineRule="auto"/>
        <w:ind w:firstLine="486"/>
        <w:rPr>
          <w:color w:val="auto"/>
          <w:sz w:val="24"/>
          <w:highlight w:val="none"/>
        </w:rPr>
      </w:pPr>
      <w:r>
        <w:rPr>
          <w:color w:val="auto"/>
          <w:sz w:val="24"/>
          <w:highlight w:val="none"/>
        </w:rPr>
        <w:t>监测时间：202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2</w:t>
      </w:r>
      <w:r>
        <w:rPr>
          <w:rFonts w:hint="eastAsia"/>
          <w:color w:val="auto"/>
          <w:sz w:val="24"/>
          <w:highlight w:val="none"/>
        </w:rPr>
        <w:t>7</w:t>
      </w:r>
      <w:r>
        <w:rPr>
          <w:color w:val="auto"/>
          <w:sz w:val="24"/>
          <w:highlight w:val="none"/>
        </w:rPr>
        <w:t>日至</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2</w:t>
      </w:r>
      <w:r>
        <w:rPr>
          <w:rFonts w:hint="eastAsia"/>
          <w:color w:val="auto"/>
          <w:sz w:val="24"/>
          <w:highlight w:val="none"/>
        </w:rPr>
        <w:t>8</w:t>
      </w:r>
      <w:r>
        <w:rPr>
          <w:color w:val="auto"/>
          <w:sz w:val="24"/>
          <w:highlight w:val="none"/>
        </w:rPr>
        <w:t>日。</w:t>
      </w:r>
    </w:p>
    <w:p>
      <w:pPr>
        <w:spacing w:line="360" w:lineRule="auto"/>
        <w:ind w:firstLine="486"/>
        <w:rPr>
          <w:color w:val="auto"/>
          <w:sz w:val="24"/>
          <w:highlight w:val="none"/>
        </w:rPr>
      </w:pPr>
      <w:r>
        <w:rPr>
          <w:color w:val="auto"/>
          <w:sz w:val="24"/>
          <w:highlight w:val="none"/>
        </w:rPr>
        <w:t>监测方法：按国家规定的标准和规范进行。</w:t>
      </w:r>
    </w:p>
    <w:p>
      <w:pPr>
        <w:spacing w:line="360" w:lineRule="auto"/>
        <w:ind w:firstLine="486"/>
        <w:rPr>
          <w:color w:val="auto"/>
          <w:sz w:val="24"/>
          <w:highlight w:val="none"/>
        </w:rPr>
      </w:pPr>
      <w:r>
        <w:rPr>
          <w:color w:val="auto"/>
          <w:sz w:val="24"/>
          <w:highlight w:val="none"/>
        </w:rPr>
        <w:t>监测结果见表4.2-</w:t>
      </w:r>
      <w:r>
        <w:rPr>
          <w:rFonts w:hint="eastAsia"/>
          <w:color w:val="auto"/>
          <w:sz w:val="24"/>
          <w:highlight w:val="none"/>
          <w:lang w:val="en-US" w:eastAsia="zh-CN"/>
        </w:rPr>
        <w:t>9</w:t>
      </w:r>
      <w:r>
        <w:rPr>
          <w:color w:val="auto"/>
          <w:sz w:val="24"/>
          <w:highlight w:val="none"/>
        </w:rPr>
        <w:t>。</w:t>
      </w:r>
    </w:p>
    <w:p>
      <w:pPr>
        <w:spacing w:line="360" w:lineRule="auto"/>
        <w:ind w:firstLine="488"/>
        <w:jc w:val="center"/>
        <w:rPr>
          <w:rStyle w:val="68"/>
          <w:color w:val="auto"/>
          <w:sz w:val="24"/>
          <w:szCs w:val="24"/>
          <w:highlight w:val="none"/>
        </w:rPr>
      </w:pPr>
      <w:r>
        <w:rPr>
          <w:b/>
          <w:color w:val="auto"/>
          <w:sz w:val="24"/>
          <w:highlight w:val="none"/>
        </w:rPr>
        <w:t>表4.2-</w:t>
      </w:r>
      <w:r>
        <w:rPr>
          <w:rFonts w:hint="eastAsia"/>
          <w:b/>
          <w:color w:val="auto"/>
          <w:sz w:val="24"/>
          <w:highlight w:val="none"/>
          <w:lang w:val="en-US" w:eastAsia="zh-CN"/>
        </w:rPr>
        <w:t>9</w:t>
      </w:r>
      <w:r>
        <w:rPr>
          <w:b/>
          <w:color w:val="auto"/>
          <w:sz w:val="24"/>
          <w:highlight w:val="none"/>
        </w:rPr>
        <w:t xml:space="preserve">  噪声现状检测结果一览表</w:t>
      </w:r>
    </w:p>
    <w:tbl>
      <w:tblPr>
        <w:tblStyle w:val="5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14"/>
        <w:gridCol w:w="855"/>
        <w:gridCol w:w="1065"/>
        <w:gridCol w:w="690"/>
        <w:gridCol w:w="708"/>
        <w:gridCol w:w="845"/>
        <w:gridCol w:w="996"/>
        <w:gridCol w:w="709"/>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restart"/>
            <w:vAlign w:val="center"/>
          </w:tcPr>
          <w:p>
            <w:pPr>
              <w:jc w:val="center"/>
              <w:rPr>
                <w:color w:val="auto"/>
                <w:szCs w:val="21"/>
                <w:highlight w:val="none"/>
              </w:rPr>
            </w:pPr>
            <w:r>
              <w:rPr>
                <w:color w:val="auto"/>
                <w:szCs w:val="21"/>
                <w:highlight w:val="none"/>
              </w:rPr>
              <w:t>监测</w:t>
            </w:r>
          </w:p>
          <w:p>
            <w:pPr>
              <w:jc w:val="center"/>
              <w:rPr>
                <w:color w:val="auto"/>
                <w:szCs w:val="21"/>
                <w:highlight w:val="none"/>
              </w:rPr>
            </w:pPr>
            <w:r>
              <w:rPr>
                <w:color w:val="auto"/>
                <w:szCs w:val="21"/>
                <w:highlight w:val="none"/>
              </w:rPr>
              <w:t>日期</w:t>
            </w:r>
          </w:p>
        </w:tc>
        <w:tc>
          <w:tcPr>
            <w:tcW w:w="1114" w:type="dxa"/>
            <w:vMerge w:val="restart"/>
            <w:vAlign w:val="center"/>
          </w:tcPr>
          <w:p>
            <w:pPr>
              <w:jc w:val="center"/>
              <w:rPr>
                <w:color w:val="auto"/>
                <w:szCs w:val="21"/>
                <w:highlight w:val="none"/>
              </w:rPr>
            </w:pPr>
            <w:r>
              <w:rPr>
                <w:color w:val="auto"/>
                <w:szCs w:val="21"/>
                <w:highlight w:val="none"/>
              </w:rPr>
              <w:t>监测点位</w:t>
            </w:r>
          </w:p>
        </w:tc>
        <w:tc>
          <w:tcPr>
            <w:tcW w:w="3318" w:type="dxa"/>
            <w:gridSpan w:val="4"/>
            <w:vAlign w:val="center"/>
          </w:tcPr>
          <w:p>
            <w:pPr>
              <w:jc w:val="center"/>
              <w:rPr>
                <w:color w:val="auto"/>
                <w:szCs w:val="21"/>
                <w:highlight w:val="none"/>
              </w:rPr>
            </w:pPr>
            <w:r>
              <w:rPr>
                <w:color w:val="auto"/>
                <w:szCs w:val="21"/>
                <w:highlight w:val="none"/>
              </w:rPr>
              <w:t>昼间测量值</w:t>
            </w:r>
          </w:p>
        </w:tc>
        <w:tc>
          <w:tcPr>
            <w:tcW w:w="3196" w:type="dxa"/>
            <w:gridSpan w:val="4"/>
            <w:vAlign w:val="center"/>
          </w:tcPr>
          <w:p>
            <w:pPr>
              <w:jc w:val="center"/>
              <w:rPr>
                <w:color w:val="auto"/>
                <w:szCs w:val="21"/>
                <w:highlight w:val="none"/>
              </w:rPr>
            </w:pPr>
            <w:r>
              <w:rPr>
                <w:color w:val="auto"/>
                <w:szCs w:val="21"/>
                <w:highlight w:val="none"/>
              </w:rPr>
              <w:t>夜间测量值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Merge w:val="continue"/>
            <w:vAlign w:val="center"/>
          </w:tcPr>
          <w:p>
            <w:pPr>
              <w:jc w:val="center"/>
              <w:rPr>
                <w:color w:val="auto"/>
                <w:szCs w:val="21"/>
                <w:highlight w:val="none"/>
              </w:rPr>
            </w:pPr>
          </w:p>
        </w:tc>
        <w:tc>
          <w:tcPr>
            <w:tcW w:w="855" w:type="dxa"/>
            <w:vAlign w:val="center"/>
          </w:tcPr>
          <w:p>
            <w:pPr>
              <w:jc w:val="center"/>
              <w:rPr>
                <w:rFonts w:hint="eastAsia" w:eastAsia="宋体"/>
                <w:color w:val="auto"/>
                <w:szCs w:val="21"/>
                <w:highlight w:val="none"/>
                <w:lang w:val="en-US" w:eastAsia="zh-CN"/>
              </w:rPr>
            </w:pPr>
            <w:r>
              <w:rPr>
                <w:color w:val="auto"/>
                <w:szCs w:val="21"/>
                <w:highlight w:val="none"/>
              </w:rPr>
              <w:t>监测时</w:t>
            </w:r>
            <w:r>
              <w:rPr>
                <w:rFonts w:hint="eastAsia"/>
                <w:color w:val="auto"/>
                <w:szCs w:val="21"/>
                <w:highlight w:val="none"/>
                <w:lang w:val="en-US" w:eastAsia="zh-CN"/>
              </w:rPr>
              <w:t>段</w:t>
            </w:r>
          </w:p>
        </w:tc>
        <w:tc>
          <w:tcPr>
            <w:tcW w:w="1065" w:type="dxa"/>
            <w:vAlign w:val="center"/>
          </w:tcPr>
          <w:p>
            <w:pPr>
              <w:jc w:val="center"/>
              <w:rPr>
                <w:color w:val="auto"/>
                <w:szCs w:val="21"/>
                <w:highlight w:val="none"/>
              </w:rPr>
            </w:pPr>
            <w:r>
              <w:rPr>
                <w:color w:val="auto"/>
                <w:szCs w:val="21"/>
                <w:highlight w:val="none"/>
              </w:rPr>
              <w:t>等效声级（Leq）</w:t>
            </w:r>
          </w:p>
        </w:tc>
        <w:tc>
          <w:tcPr>
            <w:tcW w:w="690" w:type="dxa"/>
            <w:vAlign w:val="center"/>
          </w:tcPr>
          <w:p>
            <w:pPr>
              <w:jc w:val="center"/>
              <w:rPr>
                <w:color w:val="auto"/>
                <w:szCs w:val="21"/>
                <w:highlight w:val="none"/>
              </w:rPr>
            </w:pPr>
            <w:r>
              <w:rPr>
                <w:color w:val="auto"/>
                <w:szCs w:val="21"/>
                <w:highlight w:val="none"/>
              </w:rPr>
              <w:t>标准值</w:t>
            </w:r>
          </w:p>
        </w:tc>
        <w:tc>
          <w:tcPr>
            <w:tcW w:w="708" w:type="dxa"/>
            <w:vAlign w:val="center"/>
          </w:tcPr>
          <w:p>
            <w:pPr>
              <w:jc w:val="center"/>
              <w:rPr>
                <w:color w:val="auto"/>
                <w:szCs w:val="21"/>
                <w:highlight w:val="none"/>
              </w:rPr>
            </w:pPr>
            <w:r>
              <w:rPr>
                <w:color w:val="auto"/>
                <w:szCs w:val="21"/>
                <w:highlight w:val="none"/>
              </w:rPr>
              <w:t>达标情况</w:t>
            </w:r>
          </w:p>
        </w:tc>
        <w:tc>
          <w:tcPr>
            <w:tcW w:w="845" w:type="dxa"/>
            <w:vAlign w:val="center"/>
          </w:tcPr>
          <w:p>
            <w:pPr>
              <w:jc w:val="center"/>
              <w:rPr>
                <w:color w:val="auto"/>
                <w:szCs w:val="21"/>
                <w:highlight w:val="none"/>
              </w:rPr>
            </w:pPr>
            <w:r>
              <w:rPr>
                <w:color w:val="auto"/>
                <w:szCs w:val="21"/>
                <w:highlight w:val="none"/>
              </w:rPr>
              <w:t>监测时间</w:t>
            </w:r>
          </w:p>
        </w:tc>
        <w:tc>
          <w:tcPr>
            <w:tcW w:w="996" w:type="dxa"/>
            <w:vAlign w:val="center"/>
          </w:tcPr>
          <w:p>
            <w:pPr>
              <w:jc w:val="center"/>
              <w:rPr>
                <w:color w:val="auto"/>
                <w:szCs w:val="21"/>
                <w:highlight w:val="none"/>
              </w:rPr>
            </w:pPr>
            <w:r>
              <w:rPr>
                <w:color w:val="auto"/>
                <w:szCs w:val="21"/>
                <w:highlight w:val="none"/>
              </w:rPr>
              <w:t>等效声级（Leq）</w:t>
            </w:r>
          </w:p>
        </w:tc>
        <w:tc>
          <w:tcPr>
            <w:tcW w:w="709" w:type="dxa"/>
            <w:vAlign w:val="center"/>
          </w:tcPr>
          <w:p>
            <w:pPr>
              <w:jc w:val="center"/>
              <w:rPr>
                <w:color w:val="auto"/>
                <w:szCs w:val="21"/>
                <w:highlight w:val="none"/>
              </w:rPr>
            </w:pPr>
            <w:r>
              <w:rPr>
                <w:color w:val="auto"/>
                <w:szCs w:val="21"/>
                <w:highlight w:val="none"/>
              </w:rPr>
              <w:t>标准值</w:t>
            </w:r>
          </w:p>
        </w:tc>
        <w:tc>
          <w:tcPr>
            <w:tcW w:w="646" w:type="dxa"/>
            <w:vAlign w:val="center"/>
          </w:tcPr>
          <w:p>
            <w:pPr>
              <w:jc w:val="center"/>
              <w:rPr>
                <w:color w:val="auto"/>
                <w:szCs w:val="21"/>
                <w:highlight w:val="none"/>
              </w:rPr>
            </w:pPr>
            <w:r>
              <w:rPr>
                <w:color w:val="auto"/>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restar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2023年12月27日</w:t>
            </w:r>
          </w:p>
        </w:tc>
        <w:tc>
          <w:tcPr>
            <w:tcW w:w="1114" w:type="dxa"/>
            <w:vAlign w:val="center"/>
          </w:tcPr>
          <w:p>
            <w:pPr>
              <w:jc w:val="center"/>
              <w:rPr>
                <w:color w:val="auto"/>
                <w:szCs w:val="21"/>
                <w:highlight w:val="none"/>
              </w:rPr>
            </w:pPr>
            <w:r>
              <w:rPr>
                <w:color w:val="auto"/>
                <w:szCs w:val="21"/>
                <w:highlight w:val="none"/>
              </w:rPr>
              <w:t>厂界东侧</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11:05~11:06</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690" w:type="dxa"/>
            <w:vAlign w:val="center"/>
          </w:tcPr>
          <w:p>
            <w:pPr>
              <w:jc w:val="center"/>
              <w:rPr>
                <w:rFonts w:hint="eastAsia" w:eastAsia="宋体"/>
                <w:color w:val="auto"/>
                <w:szCs w:val="21"/>
                <w:highlight w:val="none"/>
                <w:lang w:val="en-US" w:eastAsia="zh-CN"/>
              </w:rPr>
            </w:pPr>
            <w:r>
              <w:rPr>
                <w:rFonts w:hint="eastAsia"/>
                <w:color w:val="auto"/>
                <w:szCs w:val="21"/>
                <w:highlight w:val="none"/>
              </w:rPr>
              <w:t>6</w:t>
            </w:r>
            <w:r>
              <w:rPr>
                <w:rFonts w:hint="eastAsia"/>
                <w:color w:val="auto"/>
                <w:szCs w:val="21"/>
                <w:highlight w:val="none"/>
                <w:lang w:val="en-US" w:eastAsia="zh-CN"/>
              </w:rPr>
              <w:t>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22:04~22:05</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48</w:t>
            </w:r>
          </w:p>
        </w:tc>
        <w:tc>
          <w:tcPr>
            <w:tcW w:w="709" w:type="dxa"/>
            <w:vAlign w:val="center"/>
          </w:tcPr>
          <w:p>
            <w:pPr>
              <w:jc w:val="center"/>
              <w:rPr>
                <w:rFonts w:hint="eastAsia" w:eastAsia="宋体"/>
                <w:color w:val="auto"/>
                <w:szCs w:val="21"/>
                <w:highlight w:val="none"/>
                <w:lang w:val="en-US" w:eastAsia="zh-CN"/>
              </w:rPr>
            </w:pPr>
            <w:r>
              <w:rPr>
                <w:rFonts w:hint="eastAsia"/>
                <w:color w:val="auto"/>
                <w:szCs w:val="21"/>
                <w:highlight w:val="none"/>
              </w:rPr>
              <w:t>5</w:t>
            </w:r>
            <w:r>
              <w:rPr>
                <w:rFonts w:hint="eastAsia"/>
                <w:color w:val="auto"/>
                <w:szCs w:val="21"/>
                <w:highlight w:val="none"/>
                <w:lang w:val="en-US" w:eastAsia="zh-CN"/>
              </w:rPr>
              <w:t>0</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color w:val="auto"/>
                <w:szCs w:val="21"/>
                <w:highlight w:val="none"/>
              </w:rPr>
            </w:pPr>
            <w:r>
              <w:rPr>
                <w:color w:val="auto"/>
                <w:szCs w:val="21"/>
                <w:highlight w:val="none"/>
              </w:rPr>
              <w:t>厂界南侧</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11:20~11:21</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690" w:type="dxa"/>
            <w:vAlign w:val="center"/>
          </w:tcPr>
          <w:p>
            <w:pPr>
              <w:jc w:val="center"/>
              <w:rPr>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22:19~22:20</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709" w:type="dxa"/>
            <w:vAlign w:val="center"/>
          </w:tcPr>
          <w:p>
            <w:pPr>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color w:val="auto"/>
                <w:szCs w:val="21"/>
                <w:highlight w:val="none"/>
              </w:rPr>
            </w:pPr>
            <w:r>
              <w:rPr>
                <w:color w:val="auto"/>
                <w:szCs w:val="21"/>
                <w:highlight w:val="none"/>
              </w:rPr>
              <w:t>厂界西侧</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11:36~11:37</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690" w:type="dxa"/>
            <w:vAlign w:val="center"/>
          </w:tcPr>
          <w:p>
            <w:pPr>
              <w:jc w:val="center"/>
              <w:rPr>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22:34~22:35</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44</w:t>
            </w:r>
          </w:p>
        </w:tc>
        <w:tc>
          <w:tcPr>
            <w:tcW w:w="709" w:type="dxa"/>
            <w:vAlign w:val="center"/>
          </w:tcPr>
          <w:p>
            <w:pPr>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color w:val="auto"/>
                <w:szCs w:val="21"/>
                <w:highlight w:val="none"/>
              </w:rPr>
            </w:pPr>
            <w:r>
              <w:rPr>
                <w:color w:val="auto"/>
                <w:szCs w:val="21"/>
                <w:highlight w:val="none"/>
              </w:rPr>
              <w:t>厂界北侧</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11:52~11:53</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58</w:t>
            </w:r>
          </w:p>
        </w:tc>
        <w:tc>
          <w:tcPr>
            <w:tcW w:w="690"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22:56~22:57</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48</w:t>
            </w:r>
          </w:p>
        </w:tc>
        <w:tc>
          <w:tcPr>
            <w:tcW w:w="709"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55</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三月三散户</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12:13~12:14</w:t>
            </w:r>
          </w:p>
        </w:tc>
        <w:tc>
          <w:tcPr>
            <w:tcW w:w="1065"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58</w:t>
            </w:r>
          </w:p>
        </w:tc>
        <w:tc>
          <w:tcPr>
            <w:tcW w:w="690"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60</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23:11~23:12</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49</w:t>
            </w:r>
          </w:p>
        </w:tc>
        <w:tc>
          <w:tcPr>
            <w:tcW w:w="709"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50</w:t>
            </w:r>
          </w:p>
        </w:tc>
        <w:tc>
          <w:tcPr>
            <w:tcW w:w="64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restar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2023年12月28日</w:t>
            </w:r>
          </w:p>
        </w:tc>
        <w:tc>
          <w:tcPr>
            <w:tcW w:w="1114" w:type="dxa"/>
            <w:vAlign w:val="center"/>
          </w:tcPr>
          <w:p>
            <w:pPr>
              <w:jc w:val="center"/>
              <w:rPr>
                <w:color w:val="auto"/>
                <w:szCs w:val="21"/>
                <w:highlight w:val="none"/>
              </w:rPr>
            </w:pPr>
            <w:r>
              <w:rPr>
                <w:color w:val="auto"/>
                <w:szCs w:val="21"/>
                <w:highlight w:val="none"/>
              </w:rPr>
              <w:t>厂界东侧</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11:14~11:15</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690" w:type="dxa"/>
            <w:vAlign w:val="center"/>
          </w:tcPr>
          <w:p>
            <w:pPr>
              <w:jc w:val="center"/>
              <w:rPr>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22:03~22:04</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48</w:t>
            </w:r>
          </w:p>
        </w:tc>
        <w:tc>
          <w:tcPr>
            <w:tcW w:w="709" w:type="dxa"/>
            <w:vAlign w:val="center"/>
          </w:tcPr>
          <w:p>
            <w:pPr>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color w:val="auto"/>
                <w:szCs w:val="21"/>
                <w:highlight w:val="none"/>
              </w:rPr>
            </w:pPr>
            <w:r>
              <w:rPr>
                <w:color w:val="auto"/>
                <w:szCs w:val="21"/>
                <w:highlight w:val="none"/>
              </w:rPr>
              <w:t>厂界南侧</w:t>
            </w:r>
          </w:p>
        </w:tc>
        <w:tc>
          <w:tcPr>
            <w:tcW w:w="855" w:type="dxa"/>
            <w:vAlign w:val="center"/>
          </w:tcPr>
          <w:p>
            <w:pPr>
              <w:jc w:val="center"/>
              <w:rPr>
                <w:rFonts w:hint="default"/>
                <w:color w:val="auto"/>
                <w:highlight w:val="none"/>
                <w:lang w:val="en-US" w:eastAsia="zh-CN"/>
              </w:rPr>
            </w:pPr>
            <w:r>
              <w:rPr>
                <w:rFonts w:hint="eastAsia"/>
                <w:color w:val="auto"/>
                <w:szCs w:val="21"/>
                <w:highlight w:val="none"/>
                <w:lang w:val="en-US" w:eastAsia="zh-CN"/>
              </w:rPr>
              <w:t>11:31~11:32</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690" w:type="dxa"/>
            <w:vAlign w:val="center"/>
          </w:tcPr>
          <w:p>
            <w:pPr>
              <w:jc w:val="center"/>
              <w:rPr>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22:19~22:20</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709" w:type="dxa"/>
            <w:vAlign w:val="center"/>
          </w:tcPr>
          <w:p>
            <w:pPr>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color w:val="auto"/>
                <w:szCs w:val="21"/>
                <w:highlight w:val="none"/>
              </w:rPr>
            </w:pPr>
            <w:r>
              <w:rPr>
                <w:color w:val="auto"/>
                <w:szCs w:val="21"/>
                <w:highlight w:val="none"/>
              </w:rPr>
              <w:t>厂界西侧</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11:48~11:49</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55</w:t>
            </w:r>
          </w:p>
        </w:tc>
        <w:tc>
          <w:tcPr>
            <w:tcW w:w="690" w:type="dxa"/>
            <w:vAlign w:val="center"/>
          </w:tcPr>
          <w:p>
            <w:pPr>
              <w:jc w:val="center"/>
              <w:rPr>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22:35~22:36</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43</w:t>
            </w:r>
          </w:p>
        </w:tc>
        <w:tc>
          <w:tcPr>
            <w:tcW w:w="709" w:type="dxa"/>
            <w:vAlign w:val="center"/>
          </w:tcPr>
          <w:p>
            <w:pPr>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color w:val="auto"/>
                <w:szCs w:val="21"/>
                <w:highlight w:val="none"/>
              </w:rPr>
            </w:pPr>
            <w:r>
              <w:rPr>
                <w:color w:val="auto"/>
                <w:szCs w:val="21"/>
                <w:highlight w:val="none"/>
              </w:rPr>
              <w:t>厂界北侧</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12:05~12:06</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58</w:t>
            </w:r>
          </w:p>
        </w:tc>
        <w:tc>
          <w:tcPr>
            <w:tcW w:w="690" w:type="dxa"/>
            <w:vAlign w:val="center"/>
          </w:tcPr>
          <w:p>
            <w:pPr>
              <w:jc w:val="center"/>
              <w:rPr>
                <w:color w:val="auto"/>
                <w:szCs w:val="21"/>
                <w:highlight w:val="none"/>
              </w:rPr>
            </w:pPr>
            <w:r>
              <w:rPr>
                <w:rFonts w:hint="eastAsia"/>
                <w:color w:val="auto"/>
                <w:szCs w:val="21"/>
                <w:highlight w:val="none"/>
                <w:lang w:val="en-US" w:eastAsia="zh-CN"/>
              </w:rPr>
              <w:t>70</w:t>
            </w:r>
          </w:p>
        </w:tc>
        <w:tc>
          <w:tcPr>
            <w:tcW w:w="708" w:type="dxa"/>
            <w:vAlign w:val="center"/>
          </w:tcPr>
          <w:p>
            <w:pPr>
              <w:jc w:val="center"/>
              <w:rPr>
                <w:color w:val="auto"/>
                <w:szCs w:val="21"/>
                <w:highlight w:val="none"/>
              </w:rPr>
            </w:pPr>
            <w:r>
              <w:rPr>
                <w:color w:val="auto"/>
                <w:szCs w:val="21"/>
                <w:highlight w:val="none"/>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22:55~22:56</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47</w:t>
            </w:r>
          </w:p>
        </w:tc>
        <w:tc>
          <w:tcPr>
            <w:tcW w:w="709" w:type="dxa"/>
            <w:vAlign w:val="center"/>
          </w:tcPr>
          <w:p>
            <w:pPr>
              <w:jc w:val="center"/>
              <w:rPr>
                <w:rFonts w:hint="eastAsia" w:eastAsia="宋体"/>
                <w:color w:val="auto"/>
                <w:szCs w:val="21"/>
                <w:highlight w:val="none"/>
                <w:lang w:val="en-US" w:eastAsia="zh-CN"/>
              </w:rPr>
            </w:pPr>
            <w:r>
              <w:rPr>
                <w:rFonts w:hint="eastAsia"/>
                <w:color w:val="auto"/>
                <w:szCs w:val="21"/>
                <w:highlight w:val="none"/>
              </w:rPr>
              <w:t>5</w:t>
            </w:r>
            <w:r>
              <w:rPr>
                <w:rFonts w:hint="eastAsia"/>
                <w:color w:val="auto"/>
                <w:szCs w:val="21"/>
                <w:highlight w:val="none"/>
                <w:lang w:val="en-US" w:eastAsia="zh-CN"/>
              </w:rPr>
              <w:t>5</w:t>
            </w:r>
          </w:p>
        </w:tc>
        <w:tc>
          <w:tcPr>
            <w:tcW w:w="646" w:type="dxa"/>
            <w:vAlign w:val="center"/>
          </w:tcPr>
          <w:p>
            <w:pPr>
              <w:jc w:val="center"/>
              <w:rPr>
                <w:color w:val="auto"/>
                <w:szCs w:val="21"/>
                <w:highlight w:val="none"/>
              </w:rPr>
            </w:pPr>
            <w:r>
              <w:rPr>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color w:val="auto"/>
                <w:szCs w:val="21"/>
                <w:highlight w:val="none"/>
              </w:rPr>
            </w:pPr>
          </w:p>
        </w:tc>
        <w:tc>
          <w:tcPr>
            <w:tcW w:w="111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三月三散户</w:t>
            </w:r>
          </w:p>
        </w:tc>
        <w:tc>
          <w:tcPr>
            <w:tcW w:w="85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12:23~12:24</w:t>
            </w:r>
          </w:p>
        </w:tc>
        <w:tc>
          <w:tcPr>
            <w:tcW w:w="106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58</w:t>
            </w:r>
          </w:p>
        </w:tc>
        <w:tc>
          <w:tcPr>
            <w:tcW w:w="690"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60</w:t>
            </w:r>
          </w:p>
        </w:tc>
        <w:tc>
          <w:tcPr>
            <w:tcW w:w="70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达标</w:t>
            </w:r>
          </w:p>
        </w:tc>
        <w:tc>
          <w:tcPr>
            <w:tcW w:w="8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23:18~23:19</w:t>
            </w:r>
          </w:p>
        </w:tc>
        <w:tc>
          <w:tcPr>
            <w:tcW w:w="9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49</w:t>
            </w:r>
          </w:p>
        </w:tc>
        <w:tc>
          <w:tcPr>
            <w:tcW w:w="709"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64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jc w:val="left"/>
              <w:rPr>
                <w:rFonts w:hint="default"/>
                <w:color w:val="auto"/>
                <w:szCs w:val="21"/>
                <w:highlight w:val="none"/>
                <w:lang w:val="en-US" w:eastAsia="zh-CN"/>
              </w:rPr>
            </w:pPr>
            <w:r>
              <w:rPr>
                <w:rFonts w:hint="eastAsia"/>
                <w:color w:val="auto"/>
                <w:szCs w:val="21"/>
                <w:highlight w:val="none"/>
                <w:lang w:val="en-US" w:eastAsia="zh-CN"/>
              </w:rPr>
              <w:t>气象条件</w:t>
            </w:r>
          </w:p>
        </w:tc>
        <w:tc>
          <w:tcPr>
            <w:tcW w:w="7628" w:type="dxa"/>
            <w:gridSpan w:val="9"/>
            <w:vAlign w:val="center"/>
          </w:tcPr>
          <w:p>
            <w:pPr>
              <w:jc w:val="left"/>
              <w:rPr>
                <w:rFonts w:hint="eastAsia"/>
                <w:color w:val="auto"/>
                <w:szCs w:val="21"/>
                <w:highlight w:val="none"/>
                <w:lang w:val="en-US" w:eastAsia="zh-CN"/>
              </w:rPr>
            </w:pPr>
            <w:r>
              <w:rPr>
                <w:rFonts w:hint="eastAsia"/>
                <w:color w:val="auto"/>
                <w:szCs w:val="21"/>
                <w:highlight w:val="none"/>
                <w:lang w:val="en-US" w:eastAsia="zh-CN"/>
              </w:rPr>
              <w:t>12月27日：天气：晴、风向：西南风、风速：2.7m/s</w:t>
            </w:r>
          </w:p>
          <w:p>
            <w:pPr>
              <w:jc w:val="left"/>
              <w:rPr>
                <w:rFonts w:hint="default"/>
                <w:color w:val="auto"/>
                <w:szCs w:val="21"/>
                <w:highlight w:val="none"/>
                <w:lang w:val="en-US" w:eastAsia="zh-CN"/>
              </w:rPr>
            </w:pPr>
            <w:r>
              <w:rPr>
                <w:rFonts w:hint="eastAsia"/>
                <w:color w:val="auto"/>
                <w:szCs w:val="21"/>
                <w:highlight w:val="none"/>
                <w:lang w:val="en-US" w:eastAsia="zh-CN"/>
              </w:rPr>
              <w:t>12月28日：天气：晴、风向：西南风、风速：2.3m/s</w:t>
            </w:r>
          </w:p>
        </w:tc>
      </w:tr>
    </w:tbl>
    <w:p>
      <w:pPr>
        <w:spacing w:line="360" w:lineRule="auto"/>
        <w:ind w:firstLine="486"/>
        <w:rPr>
          <w:color w:val="auto"/>
          <w:sz w:val="24"/>
          <w:highlight w:val="none"/>
        </w:rPr>
      </w:pPr>
      <w:r>
        <w:rPr>
          <w:color w:val="auto"/>
          <w:sz w:val="24"/>
          <w:highlight w:val="none"/>
        </w:rPr>
        <w:t>声环境现状评价：</w:t>
      </w:r>
    </w:p>
    <w:p>
      <w:pPr>
        <w:pStyle w:val="9"/>
        <w:spacing w:line="360" w:lineRule="auto"/>
        <w:ind w:firstLine="486"/>
        <w:rPr>
          <w:color w:val="auto"/>
          <w:sz w:val="24"/>
          <w:highlight w:val="none"/>
        </w:rPr>
      </w:pPr>
      <w:r>
        <w:rPr>
          <w:color w:val="auto"/>
          <w:sz w:val="24"/>
          <w:highlight w:val="none"/>
        </w:rPr>
        <w:t>据上表，项目</w:t>
      </w:r>
      <w:r>
        <w:rPr>
          <w:rFonts w:hint="eastAsia"/>
          <w:color w:val="auto"/>
          <w:sz w:val="24"/>
          <w:highlight w:val="none"/>
          <w:lang w:val="en-US" w:eastAsia="zh-CN"/>
        </w:rPr>
        <w:t>北侧厂界</w:t>
      </w:r>
      <w:r>
        <w:rPr>
          <w:color w:val="auto"/>
          <w:sz w:val="24"/>
          <w:highlight w:val="none"/>
        </w:rPr>
        <w:t>声环境可达《声环境质量标准》（GB3096-2008）</w:t>
      </w:r>
      <w:r>
        <w:rPr>
          <w:rFonts w:hint="eastAsia"/>
          <w:color w:val="auto"/>
          <w:sz w:val="24"/>
          <w:highlight w:val="none"/>
          <w:lang w:val="en-US" w:eastAsia="zh-CN"/>
        </w:rPr>
        <w:t>4a类标准，其他区域厂界及敏感目标三月三散户声环境可达《声环境质量标准》（GB3096-2008）2</w:t>
      </w:r>
      <w:r>
        <w:rPr>
          <w:color w:val="auto"/>
          <w:sz w:val="24"/>
          <w:highlight w:val="none"/>
        </w:rPr>
        <w:t>类标准，声环境质量良好，满足其声环境功能要求。</w:t>
      </w:r>
    </w:p>
    <w:p>
      <w:pPr>
        <w:spacing w:line="360" w:lineRule="auto"/>
        <w:outlineLvl w:val="2"/>
        <w:rPr>
          <w:b/>
          <w:color w:val="auto"/>
          <w:sz w:val="28"/>
          <w:szCs w:val="28"/>
          <w:highlight w:val="none"/>
        </w:rPr>
      </w:pPr>
      <w:bookmarkStart w:id="534" w:name="_Toc20330"/>
      <w:bookmarkStart w:id="535" w:name="_Toc13758"/>
      <w:bookmarkStart w:id="536" w:name="_Toc28293"/>
      <w:r>
        <w:rPr>
          <w:b/>
          <w:color w:val="auto"/>
          <w:sz w:val="28"/>
          <w:szCs w:val="28"/>
          <w:highlight w:val="none"/>
        </w:rPr>
        <w:t>4.2.5土壤环境质量现状</w:t>
      </w:r>
      <w:bookmarkEnd w:id="534"/>
      <w:bookmarkEnd w:id="535"/>
      <w:bookmarkEnd w:id="536"/>
    </w:p>
    <w:p>
      <w:pPr>
        <w:spacing w:line="360" w:lineRule="auto"/>
        <w:ind w:firstLine="484" w:firstLineChars="200"/>
        <w:rPr>
          <w:color w:val="auto"/>
          <w:sz w:val="24"/>
          <w:highlight w:val="none"/>
        </w:rPr>
      </w:pPr>
      <w:r>
        <w:rPr>
          <w:color w:val="auto"/>
          <w:sz w:val="24"/>
          <w:highlight w:val="none"/>
        </w:rPr>
        <w:t>为调查项目区土壤环境质量现状，建设单位委托云南</w:t>
      </w:r>
      <w:r>
        <w:rPr>
          <w:rFonts w:hint="eastAsia"/>
          <w:color w:val="auto"/>
          <w:sz w:val="24"/>
          <w:highlight w:val="none"/>
        </w:rPr>
        <w:t>鼎祺检测</w:t>
      </w:r>
      <w:r>
        <w:rPr>
          <w:color w:val="auto"/>
          <w:sz w:val="24"/>
          <w:highlight w:val="none"/>
        </w:rPr>
        <w:t>有限公司对项目</w:t>
      </w:r>
      <w:r>
        <w:rPr>
          <w:rFonts w:hint="eastAsia"/>
          <w:color w:val="auto"/>
          <w:sz w:val="24"/>
          <w:highlight w:val="none"/>
          <w:lang w:val="en-US" w:eastAsia="zh-CN"/>
        </w:rPr>
        <w:t>占地范围内</w:t>
      </w:r>
      <w:r>
        <w:rPr>
          <w:color w:val="auto"/>
          <w:sz w:val="24"/>
          <w:highlight w:val="none"/>
        </w:rPr>
        <w:t>土壤进行了检测，具体监测情况如下所述。</w:t>
      </w:r>
    </w:p>
    <w:p>
      <w:pPr>
        <w:spacing w:line="360" w:lineRule="auto"/>
        <w:ind w:firstLine="484" w:firstLineChars="200"/>
        <w:rPr>
          <w:color w:val="auto"/>
          <w:sz w:val="24"/>
          <w:highlight w:val="none"/>
        </w:rPr>
      </w:pPr>
      <w:r>
        <w:rPr>
          <w:color w:val="auto"/>
          <w:sz w:val="24"/>
          <w:highlight w:val="none"/>
        </w:rPr>
        <w:t>1、土壤环境质量现状调查</w:t>
      </w:r>
    </w:p>
    <w:p>
      <w:pPr>
        <w:spacing w:line="360" w:lineRule="auto"/>
        <w:ind w:firstLine="484" w:firstLineChars="200"/>
        <w:rPr>
          <w:color w:val="auto"/>
          <w:sz w:val="24"/>
          <w:highlight w:val="none"/>
          <w:lang w:val="zh-CN"/>
        </w:rPr>
      </w:pPr>
      <w:r>
        <w:rPr>
          <w:color w:val="auto"/>
          <w:sz w:val="24"/>
          <w:highlight w:val="none"/>
          <w:lang w:val="zh-CN"/>
        </w:rPr>
        <w:t>项目为污染影响型项目，本次评价针对项目反应合成占地的土壤理化性质进行分析，主要包括pH、土体结构、土壤结构、土壤质地、阳离子交换量、氧化还原电位、饱和导水率、土壤容重、孔隙度等。分析结果如下表所示。</w:t>
      </w:r>
    </w:p>
    <w:p>
      <w:pPr>
        <w:spacing w:line="360" w:lineRule="auto"/>
        <w:ind w:firstLine="484" w:firstLineChars="200"/>
        <w:rPr>
          <w:color w:val="auto"/>
          <w:sz w:val="24"/>
          <w:highlight w:val="none"/>
        </w:rPr>
      </w:pPr>
      <w:r>
        <w:rPr>
          <w:color w:val="auto"/>
          <w:sz w:val="24"/>
          <w:highlight w:val="none"/>
        </w:rPr>
        <w:t>2、土壤环境质量现状监测与评价</w:t>
      </w:r>
    </w:p>
    <w:p>
      <w:pPr>
        <w:spacing w:line="360" w:lineRule="auto"/>
        <w:ind w:firstLine="486"/>
        <w:rPr>
          <w:color w:val="auto"/>
          <w:sz w:val="24"/>
          <w:highlight w:val="none"/>
        </w:rPr>
      </w:pPr>
      <w:r>
        <w:rPr>
          <w:color w:val="auto"/>
          <w:sz w:val="24"/>
          <w:highlight w:val="none"/>
        </w:rPr>
        <w:t>建设单位委托云南</w:t>
      </w:r>
      <w:r>
        <w:rPr>
          <w:rFonts w:hint="eastAsia"/>
          <w:color w:val="auto"/>
          <w:sz w:val="24"/>
          <w:highlight w:val="none"/>
        </w:rPr>
        <w:t>鼎祺检测</w:t>
      </w:r>
      <w:r>
        <w:rPr>
          <w:color w:val="auto"/>
          <w:sz w:val="24"/>
          <w:highlight w:val="none"/>
        </w:rPr>
        <w:t>有限公司对评价区进行了土壤环境现状监测。</w:t>
      </w:r>
    </w:p>
    <w:p>
      <w:pPr>
        <w:spacing w:line="360" w:lineRule="auto"/>
        <w:ind w:firstLine="486"/>
        <w:rPr>
          <w:color w:val="auto"/>
          <w:sz w:val="24"/>
          <w:highlight w:val="none"/>
        </w:rPr>
      </w:pPr>
      <w:r>
        <w:rPr>
          <w:color w:val="auto"/>
          <w:sz w:val="24"/>
          <w:highlight w:val="none"/>
        </w:rPr>
        <w:t>监测点位：在项目占地范围内分别于3个不同位置取表层样（0~0.2m取样）</w:t>
      </w:r>
    </w:p>
    <w:p>
      <w:pPr>
        <w:spacing w:line="360" w:lineRule="auto"/>
        <w:ind w:firstLine="484" w:firstLineChars="200"/>
        <w:rPr>
          <w:color w:val="auto"/>
          <w:kern w:val="0"/>
          <w:sz w:val="24"/>
          <w:highlight w:val="none"/>
        </w:rPr>
      </w:pPr>
      <w:r>
        <w:rPr>
          <w:color w:val="auto"/>
          <w:sz w:val="24"/>
          <w:highlight w:val="none"/>
        </w:rPr>
        <w:t>监测因子：</w:t>
      </w:r>
      <w:r>
        <w:rPr>
          <w:color w:val="auto"/>
          <w:kern w:val="0"/>
          <w:sz w:val="24"/>
          <w:highlight w:val="none"/>
        </w:rPr>
        <w:t>pH、</w:t>
      </w:r>
      <w:r>
        <w:rPr>
          <w:color w:val="auto"/>
          <w:sz w:val="24"/>
          <w:highlight w:val="none"/>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硝基苯、苯胺、2-氯酚、苯并[a]蒽、苯并[a]芘、苯并[b]荧蒽、苯并[k]荧蒽、䓛、二苯并[a, h]蒽、茚并[1,2,3-cd]芘、萘共45项。</w:t>
      </w:r>
    </w:p>
    <w:p>
      <w:pPr>
        <w:spacing w:line="360" w:lineRule="auto"/>
        <w:ind w:firstLine="486"/>
        <w:rPr>
          <w:color w:val="auto"/>
          <w:sz w:val="24"/>
          <w:highlight w:val="none"/>
        </w:rPr>
      </w:pPr>
      <w:r>
        <w:rPr>
          <w:color w:val="auto"/>
          <w:sz w:val="24"/>
          <w:highlight w:val="none"/>
        </w:rPr>
        <w:t>监测时间：202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2</w:t>
      </w:r>
      <w:r>
        <w:rPr>
          <w:rFonts w:hint="eastAsia"/>
          <w:color w:val="auto"/>
          <w:sz w:val="24"/>
          <w:highlight w:val="none"/>
        </w:rPr>
        <w:t>7</w:t>
      </w:r>
      <w:r>
        <w:rPr>
          <w:color w:val="auto"/>
          <w:sz w:val="24"/>
          <w:highlight w:val="none"/>
        </w:rPr>
        <w:t>日。</w:t>
      </w:r>
    </w:p>
    <w:p>
      <w:pPr>
        <w:spacing w:line="360" w:lineRule="auto"/>
        <w:ind w:firstLine="486"/>
        <w:rPr>
          <w:color w:val="auto"/>
          <w:sz w:val="24"/>
          <w:highlight w:val="none"/>
        </w:rPr>
      </w:pPr>
      <w:r>
        <w:rPr>
          <w:color w:val="auto"/>
          <w:sz w:val="24"/>
          <w:highlight w:val="none"/>
        </w:rPr>
        <w:t>监测方法：采样方法及样品分析方法均按国家有关技术规范执行。</w:t>
      </w:r>
    </w:p>
    <w:p>
      <w:pPr>
        <w:spacing w:line="360" w:lineRule="auto"/>
        <w:ind w:firstLine="486"/>
        <w:rPr>
          <w:b/>
          <w:color w:val="auto"/>
          <w:highlight w:val="none"/>
        </w:rPr>
        <w:sectPr>
          <w:type w:val="continuous"/>
          <w:pgSz w:w="11900" w:h="16838"/>
          <w:pgMar w:top="1440" w:right="1800" w:bottom="1440" w:left="1800" w:header="0" w:footer="0" w:gutter="0"/>
          <w:pgBorders>
            <w:top w:val="none" w:sz="0" w:space="0"/>
            <w:left w:val="none" w:sz="0" w:space="0"/>
            <w:bottom w:val="none" w:sz="0" w:space="0"/>
            <w:right w:val="none" w:sz="0" w:space="0"/>
          </w:pgBorders>
          <w:pgNumType w:fmt="decimal"/>
          <w:cols w:space="720" w:num="1"/>
          <w:docGrid w:type="linesAndChars" w:linePitch="363" w:charSpace="614"/>
        </w:sectPr>
      </w:pPr>
      <w:r>
        <w:rPr>
          <w:color w:val="auto"/>
          <w:sz w:val="24"/>
          <w:highlight w:val="none"/>
        </w:rPr>
        <w:t>监测结果见表4.2-</w:t>
      </w:r>
      <w:r>
        <w:rPr>
          <w:rFonts w:hint="eastAsia"/>
          <w:color w:val="auto"/>
          <w:sz w:val="24"/>
          <w:highlight w:val="none"/>
          <w:lang w:val="en-US" w:eastAsia="zh-CN"/>
        </w:rPr>
        <w:t>10。</w:t>
      </w:r>
    </w:p>
    <w:p>
      <w:pPr>
        <w:pStyle w:val="485"/>
        <w:ind w:left="0" w:leftChars="0" w:firstLine="0" w:firstLineChars="0"/>
        <w:jc w:val="center"/>
        <w:rPr>
          <w:b/>
          <w:color w:val="auto"/>
          <w:szCs w:val="24"/>
          <w:highlight w:val="none"/>
        </w:rPr>
      </w:pPr>
      <w:bookmarkStart w:id="537" w:name="_Toc29640"/>
      <w:bookmarkStart w:id="538" w:name="_Toc11616"/>
      <w:r>
        <w:rPr>
          <w:b/>
          <w:color w:val="auto"/>
          <w:szCs w:val="24"/>
          <w:highlight w:val="none"/>
        </w:rPr>
        <w:t>表</w:t>
      </w:r>
      <w:r>
        <w:rPr>
          <w:rFonts w:hint="eastAsia"/>
          <w:b/>
          <w:color w:val="auto"/>
          <w:szCs w:val="24"/>
          <w:highlight w:val="none"/>
        </w:rPr>
        <w:t>4.2-</w:t>
      </w:r>
      <w:r>
        <w:rPr>
          <w:rFonts w:hint="eastAsia"/>
          <w:b/>
          <w:color w:val="auto"/>
          <w:szCs w:val="24"/>
          <w:highlight w:val="none"/>
          <w:lang w:val="en-US" w:eastAsia="zh-CN"/>
        </w:rPr>
        <w:t>10</w:t>
      </w:r>
      <w:r>
        <w:rPr>
          <w:rFonts w:hint="eastAsia"/>
          <w:b/>
          <w:color w:val="auto"/>
          <w:szCs w:val="24"/>
          <w:highlight w:val="none"/>
        </w:rPr>
        <w:t xml:space="preserve">  土壤环境</w:t>
      </w:r>
      <w:r>
        <w:rPr>
          <w:b/>
          <w:color w:val="auto"/>
          <w:szCs w:val="24"/>
          <w:highlight w:val="none"/>
        </w:rPr>
        <w:t>监测结果统计表</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2"/>
        <w:gridCol w:w="1276"/>
        <w:gridCol w:w="1274"/>
        <w:gridCol w:w="1323"/>
        <w:gridCol w:w="110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892" w:type="dxa"/>
            <w:vMerge w:val="restart"/>
            <w:tcBorders>
              <w:tl2br w:val="nil"/>
              <w:tr2bl w:val="nil"/>
            </w:tcBorders>
            <w:vAlign w:val="center"/>
          </w:tcPr>
          <w:p>
            <w:pPr>
              <w:ind w:left="105" w:hanging="105" w:hangingChars="50"/>
              <w:jc w:val="right"/>
              <w:rPr>
                <w:color w:val="auto"/>
                <w:szCs w:val="21"/>
                <w:highlight w:val="none"/>
              </w:rPr>
            </w:pPr>
            <w:r>
              <w:rPr>
                <w:color w:val="auto"/>
                <w:szCs w:val="21"/>
                <w:highlight w:val="none"/>
              </w:rPr>
              <mc:AlternateContent>
                <mc:Choice Requires="wps">
                  <w:drawing>
                    <wp:anchor distT="0" distB="0" distL="114300" distR="114300" simplePos="0" relativeHeight="251668480" behindDoc="0" locked="0" layoutInCell="1" allowOverlap="1">
                      <wp:simplePos x="0" y="0"/>
                      <wp:positionH relativeFrom="column">
                        <wp:posOffset>-62230</wp:posOffset>
                      </wp:positionH>
                      <wp:positionV relativeFrom="paragraph">
                        <wp:posOffset>-8890</wp:posOffset>
                      </wp:positionV>
                      <wp:extent cx="1828800" cy="588010"/>
                      <wp:effectExtent l="1270" t="4445" r="17780" b="17145"/>
                      <wp:wrapNone/>
                      <wp:docPr id="65" name="直接箭头连接符 65"/>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58801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4.9pt;margin-top:-0.7pt;height:46.3pt;width:144pt;z-index:251668480;mso-width-relative:page;mso-height-relative:page;" filled="f" stroked="t" coordsize="21600,21600" o:gfxdata="UEsDBAoAAAAAAIdO4kAAAAAAAAAAAAAAAAAEAAAAZHJzL1BLAwQUAAAACACHTuJA99DlpNkAAAAI&#10;AQAADwAAAGRycy9kb3ducmV2LnhtbE2PT0vDQBDF74LfYRnBi7SbhNI/MZseBIvFg9iK50l2TILZ&#10;2ZDdNtVP73jS0/B4j/d+U2wvrldnGkPn2UA6T0AR19523Bh4Oz7O1qBCRLbYeyYDXxRgW15fFZhb&#10;P/ErnQ+xUVLCIUcDbYxDrnWoW3IY5n4gFu/Djw6jyLHRdsRJyl2vsyRZaocdy0KLAz20VH8eTs7A&#10;YnmsdlNN+5V++Z7s89P7bn/njLm9SZN7UJEu8S8Mv/iCDqUwVf7ENqjewGwj5FFuugAlfrZaZ6Aq&#10;A5s0A10W+v8D5Q9QSwMEFAAAAAgAh07iQPWsUdkEAgAA2QMAAA4AAABkcnMvZTJvRG9jLnhtbK1T&#10;wY7TMBC9I/EPlu80baWuStR0D60WDgtU2oW76ziJheOxPG7T/gQ/gMQJOAGnvfM17O5nMHZKd1ku&#10;eyCHaJzxezPvzWR2umsN2yqPGmzBR4MhZ8pKKLWtC/728uzZlDMMwpbCgFUF3yvkp/OnT2ady9UY&#10;GjCl8oxILOadK3gTgsuzDGWjWoEDcMpSsgLfikBHX2elFx2xtyYbD4cnWQe+dB6kQqSvyz7JD4z+&#10;MYRQVVqqJchNq2zoWb0yIpAkbLRDPk/dVpWS4U1VoQrMFJyUhvSmIhSv4zubz0Ree+EaLQ8tiMe0&#10;8EBTK7SlokeqpQiCbbz+h6rV0gNCFQYS2qwXkhwhFaPhA28uGuFU0kJWozuajv+PVr7erjzTZcFP&#10;JpxZ0dLEbz5eXX/4cvPj+6/PV7c/P8X421dGeTKrc5gTZmFXPsqVO3vhzkG+R2Zh0Qhbq9T05d4R&#10;0Sgisr8g8YCOSq67V1DSHbEJkJzbVb5lldHuZQSm6F2MYhnyie3S0PbHoaldYJI+jqbj6XRI85SU&#10;m1A4SlPNRB4ZI9p5DC8UtCwGBcfgha6bsABraT/A9zXE9hxD7PcOEMEWzrQxaU2MZV3Bn0/Gk9QU&#10;gtFlTMZr6Ov1wni2FXHR0pPEU+b+NQ8bW/ZFjD14E+3ojV1DuV/5P57RxFM3h+2MK3X/nNB3f+T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Q5aTZAAAACAEAAA8AAAAAAAAAAQAgAAAAIgAAAGRy&#10;cy9kb3ducmV2LnhtbFBLAQIUABQAAAAIAIdO4kD1rFHZBAIAANkDAAAOAAAAAAAAAAEAIAAAACgB&#10;AABkcnMvZTJvRG9jLnhtbFBLBQYAAAAABgAGAFkBAACeBQAAAAA=&#10;">
                      <v:fill on="f" focussize="0,0"/>
                      <v:stroke color="#000000" joinstyle="round"/>
                      <v:imagedata o:title=""/>
                      <o:lock v:ext="edit" aspectratio="f"/>
                    </v:shape>
                  </w:pict>
                </mc:Fallback>
              </mc:AlternateContent>
            </w:r>
            <w:r>
              <w:rPr>
                <w:rFonts w:hint="eastAsia"/>
                <w:color w:val="auto"/>
                <w:szCs w:val="21"/>
                <w:highlight w:val="none"/>
              </w:rPr>
              <w:t>采样地点、</w:t>
            </w:r>
          </w:p>
          <w:p>
            <w:pPr>
              <w:ind w:firstLine="420" w:firstLineChars="200"/>
              <w:jc w:val="left"/>
              <w:rPr>
                <w:color w:val="auto"/>
                <w:szCs w:val="21"/>
                <w:highlight w:val="none"/>
              </w:rPr>
            </w:pPr>
            <w:r>
              <w:rPr>
                <w:color w:val="auto"/>
                <w:szCs w:val="21"/>
                <w:highlight w:val="none"/>
              </w:rPr>
              <mc:AlternateContent>
                <mc:Choice Requires="wps">
                  <w:drawing>
                    <wp:anchor distT="0" distB="0" distL="114300" distR="114300" simplePos="0" relativeHeight="251669504" behindDoc="0" locked="0" layoutInCell="1" allowOverlap="1">
                      <wp:simplePos x="0" y="0"/>
                      <wp:positionH relativeFrom="column">
                        <wp:posOffset>-62230</wp:posOffset>
                      </wp:positionH>
                      <wp:positionV relativeFrom="paragraph">
                        <wp:posOffset>104140</wp:posOffset>
                      </wp:positionV>
                      <wp:extent cx="1824355" cy="301625"/>
                      <wp:effectExtent l="635" t="4445" r="3810" b="17780"/>
                      <wp:wrapNone/>
                      <wp:docPr id="64" name="直接箭头连接符 64"/>
                      <wp:cNvGraphicFramePr/>
                      <a:graphic xmlns:a="http://schemas.openxmlformats.org/drawingml/2006/main">
                        <a:graphicData uri="http://schemas.microsoft.com/office/word/2010/wordprocessingShape">
                          <wps:wsp>
                            <wps:cNvCnPr>
                              <a:cxnSpLocks noChangeShapeType="1"/>
                            </wps:cNvCnPr>
                            <wps:spPr bwMode="auto">
                              <a:xfrm>
                                <a:off x="0" y="0"/>
                                <a:ext cx="1824355" cy="3016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9pt;margin-top:8.2pt;height:23.75pt;width:143.65pt;z-index:251669504;mso-width-relative:page;mso-height-relative:page;" filled="f" stroked="t" coordsize="21600,21600" o:gfxdata="UEsDBAoAAAAAAIdO4kAAAAAAAAAAAAAAAAAEAAAAZHJzL1BLAwQUAAAACACHTuJAGP/XdtgAAAAI&#10;AQAADwAAAGRycy9kb3ducmV2LnhtbE2PwU7DMBBE70j8g7VIXFBrJ9CUhDgVQuLAkbYSVzdekkC8&#10;jmKnKf16llM57sxo5m25ObleHHEMnScNyVKBQKq97ajRsN+9Lh5BhGjImt4TavjBAJvq+qo0hfUz&#10;veNxGxvBJRQKo6GNcSikDHWLzoSlH5DY+/SjM5HPsZF2NDOXu16mSmXSmY54oTUDvrRYf28npwHD&#10;tErUc+6a/dt5vvtIz1/zsNP69iZRTyAinuIlDH/4jA4VMx38RDaIXsMiZ/LIevYAgv10vV6BOGjI&#10;7nOQVSn/P1D9AlBLAwQUAAAACACHTuJAcXXD8/sBAADFAwAADgAAAGRycy9lMm9Eb2MueG1srVPN&#10;bhMxEL4j8Q6W72SzaROVVTY9JCqXApVaHsDxenctvB5r7GSTl+AFkDgBJ+DUO08D5TEYOz/QcumB&#10;PVgej+f75vs8Oz3fdIatFXoNtuT5YMiZshIqbZuSv7m5eHbGmQ/CVsKAVSXfKs/PZ0+fTHtXqBG0&#10;YCqFjECsL3pX8jYEV2SZl63qhB+AU5aSNWAnAoXYZBWKntA7k42Gw0nWA1YOQSrv6XSxS/I9Ij4G&#10;EOpaS7UAueqUDTtUVEYEkuRb7TyfpW7rWsnwuq69CsyUnJSGtBIJ7ZdxzWZTUTQoXKvlvgXxmBYe&#10;aOqEtkR6hFqIINgK9T9QnZYIHuowkNBlOyHJEVKRDx94c90Kp5IWstq7o+n+/8HKV+srZLoq+eSU&#10;Mys6evG797c/3326+/b1x8fbX98/xP2Xz4zyZFbvfEE1c3uFUa7c2Gt3CfKtZxbmrbCNSk3fbB0B&#10;5bEiu1cSA++Ictm/hIruiFWA5Nymxi5Ckidskx5oe3wgtQlM0mF+Njo9GY85k5Q7GeaT0ThRiOJQ&#10;7dCHFwo6Fjcl9wGFbtowB2tpFgDzxCXWlz7E3kRxKIjUFi60MWkkjGV9yZ+PiSBmPBhdxWQKsFnO&#10;DbK1iEOVvn0X964hrGy1IzF270OUvjNxCdX2Cg/+0OumbvaTGMfn7zhV//n7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P/XdtgAAAAIAQAADwAAAAAAAAABACAAAAAiAAAAZHJzL2Rvd25yZXYu&#10;eG1sUEsBAhQAFAAAAAgAh07iQHF1w/P7AQAAxQMAAA4AAAAAAAAAAQAgAAAAJwEAAGRycy9lMm9E&#10;b2MueG1sUEsFBgAAAAAGAAYAWQEAAJQFAAAAAA==&#10;">
                      <v:fill on="f" focussize="0,0"/>
                      <v:stroke color="#000000" joinstyle="round"/>
                      <v:imagedata o:title=""/>
                      <o:lock v:ext="edit" aspectratio="f"/>
                    </v:shape>
                  </w:pict>
                </mc:Fallback>
              </mc:AlternateContent>
            </w:r>
            <w:r>
              <w:rPr>
                <w:rFonts w:hint="eastAsia"/>
                <w:color w:val="auto"/>
                <w:szCs w:val="21"/>
                <w:highlight w:val="none"/>
              </w:rPr>
              <w:t>结果         采样时间</w:t>
            </w:r>
          </w:p>
          <w:p>
            <w:pPr>
              <w:rPr>
                <w:color w:val="auto"/>
                <w:szCs w:val="21"/>
                <w:highlight w:val="none"/>
              </w:rPr>
            </w:pPr>
            <w:r>
              <w:rPr>
                <w:rFonts w:hint="eastAsia"/>
                <w:color w:val="auto"/>
                <w:szCs w:val="21"/>
                <w:highlight w:val="none"/>
              </w:rPr>
              <w:t>检测项目</w:t>
            </w:r>
          </w:p>
        </w:tc>
        <w:tc>
          <w:tcPr>
            <w:tcW w:w="1276"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项目区内1#</w:t>
            </w:r>
          </w:p>
        </w:tc>
        <w:tc>
          <w:tcPr>
            <w:tcW w:w="1274" w:type="dxa"/>
            <w:tcBorders>
              <w:tl2br w:val="nil"/>
              <w:tr2bl w:val="nil"/>
            </w:tcBorders>
            <w:vAlign w:val="center"/>
          </w:tcPr>
          <w:p>
            <w:pPr>
              <w:adjustRightInd w:val="0"/>
              <w:snapToGrid w:val="0"/>
              <w:jc w:val="center"/>
              <w:rPr>
                <w:rFonts w:hint="eastAsia"/>
                <w:color w:val="auto"/>
                <w:szCs w:val="21"/>
                <w:highlight w:val="none"/>
              </w:rPr>
            </w:pPr>
            <w:r>
              <w:rPr>
                <w:rFonts w:hint="eastAsia"/>
                <w:color w:val="auto"/>
                <w:szCs w:val="21"/>
                <w:highlight w:val="none"/>
              </w:rPr>
              <w:t>项目区内</w:t>
            </w:r>
            <w:r>
              <w:rPr>
                <w:rFonts w:hint="eastAsia"/>
                <w:color w:val="auto"/>
                <w:szCs w:val="21"/>
                <w:highlight w:val="none"/>
                <w:lang w:val="en-US" w:eastAsia="zh-CN"/>
              </w:rPr>
              <w:t>2</w:t>
            </w:r>
            <w:r>
              <w:rPr>
                <w:rFonts w:hint="eastAsia"/>
                <w:color w:val="auto"/>
                <w:szCs w:val="21"/>
                <w:highlight w:val="none"/>
              </w:rPr>
              <w:t>#</w:t>
            </w:r>
          </w:p>
        </w:tc>
        <w:tc>
          <w:tcPr>
            <w:tcW w:w="1323" w:type="dxa"/>
            <w:tcBorders>
              <w:tl2br w:val="nil"/>
              <w:tr2bl w:val="nil"/>
            </w:tcBorders>
            <w:vAlign w:val="center"/>
          </w:tcPr>
          <w:p>
            <w:pPr>
              <w:adjustRightInd w:val="0"/>
              <w:snapToGrid w:val="0"/>
              <w:jc w:val="center"/>
              <w:rPr>
                <w:rFonts w:hint="eastAsia"/>
                <w:color w:val="auto"/>
                <w:szCs w:val="21"/>
                <w:highlight w:val="none"/>
              </w:rPr>
            </w:pPr>
            <w:r>
              <w:rPr>
                <w:rFonts w:hint="eastAsia"/>
                <w:color w:val="auto"/>
                <w:szCs w:val="21"/>
                <w:highlight w:val="none"/>
              </w:rPr>
              <w:t>项目区内</w:t>
            </w:r>
            <w:r>
              <w:rPr>
                <w:rFonts w:hint="eastAsia"/>
                <w:color w:val="auto"/>
                <w:szCs w:val="21"/>
                <w:highlight w:val="none"/>
                <w:lang w:val="en-US" w:eastAsia="zh-CN"/>
              </w:rPr>
              <w:t>3</w:t>
            </w:r>
            <w:r>
              <w:rPr>
                <w:rFonts w:hint="eastAsia"/>
                <w:color w:val="auto"/>
                <w:szCs w:val="21"/>
                <w:highlight w:val="none"/>
              </w:rPr>
              <w:t>#</w:t>
            </w:r>
          </w:p>
        </w:tc>
        <w:tc>
          <w:tcPr>
            <w:tcW w:w="1105" w:type="dxa"/>
            <w:vMerge w:val="restar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风险筛选值（</w:t>
            </w:r>
            <w:r>
              <w:rPr>
                <w:color w:val="auto"/>
                <w:szCs w:val="21"/>
                <w:highlight w:val="none"/>
              </w:rPr>
              <w:t>mg/kg</w:t>
            </w:r>
            <w:r>
              <w:rPr>
                <w:rFonts w:hint="eastAsia"/>
                <w:color w:val="auto"/>
                <w:szCs w:val="21"/>
                <w:highlight w:val="none"/>
              </w:rPr>
              <w:t>）</w:t>
            </w:r>
          </w:p>
        </w:tc>
        <w:tc>
          <w:tcPr>
            <w:tcW w:w="679" w:type="dxa"/>
            <w:vMerge w:val="restar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2892" w:type="dxa"/>
            <w:vMerge w:val="continue"/>
            <w:tcBorders>
              <w:tl2br w:val="nil"/>
              <w:tr2bl w:val="nil"/>
            </w:tcBorders>
            <w:vAlign w:val="center"/>
          </w:tcPr>
          <w:p>
            <w:pPr>
              <w:ind w:left="105" w:hanging="105" w:hangingChars="50"/>
              <w:jc w:val="right"/>
              <w:rPr>
                <w:color w:val="auto"/>
                <w:szCs w:val="21"/>
                <w:highlight w:val="none"/>
              </w:rPr>
            </w:pPr>
          </w:p>
        </w:tc>
        <w:tc>
          <w:tcPr>
            <w:tcW w:w="3873" w:type="dxa"/>
            <w:gridSpan w:val="3"/>
            <w:tcBorders>
              <w:tl2br w:val="nil"/>
              <w:tr2bl w:val="nil"/>
            </w:tcBorders>
            <w:vAlign w:val="center"/>
          </w:tcPr>
          <w:p>
            <w:pPr>
              <w:jc w:val="center"/>
              <w:rPr>
                <w:rFonts w:hint="eastAsia"/>
                <w:bCs/>
                <w:color w:val="auto"/>
                <w:szCs w:val="21"/>
                <w:highlight w:val="none"/>
                <w:lang w:val="en-GB"/>
              </w:rPr>
            </w:pPr>
            <w:r>
              <w:rPr>
                <w:rFonts w:hint="eastAsia"/>
                <w:bCs/>
                <w:color w:val="auto"/>
                <w:szCs w:val="21"/>
                <w:highlight w:val="none"/>
                <w:lang w:val="en-GB"/>
              </w:rPr>
              <w:t>202</w:t>
            </w:r>
            <w:r>
              <w:rPr>
                <w:rFonts w:hint="eastAsia"/>
                <w:bCs/>
                <w:color w:val="auto"/>
                <w:szCs w:val="21"/>
                <w:highlight w:val="none"/>
                <w:lang w:val="en-US" w:eastAsia="zh-CN"/>
              </w:rPr>
              <w:t>3</w:t>
            </w:r>
            <w:r>
              <w:rPr>
                <w:rFonts w:hint="eastAsia"/>
                <w:bCs/>
                <w:color w:val="auto"/>
                <w:szCs w:val="21"/>
                <w:highlight w:val="none"/>
              </w:rPr>
              <w:t>年</w:t>
            </w:r>
            <w:r>
              <w:rPr>
                <w:rFonts w:hint="eastAsia"/>
                <w:bCs/>
                <w:color w:val="auto"/>
                <w:szCs w:val="21"/>
                <w:highlight w:val="none"/>
                <w:lang w:val="en-US" w:eastAsia="zh-CN"/>
              </w:rPr>
              <w:t>12</w:t>
            </w:r>
            <w:r>
              <w:rPr>
                <w:rFonts w:hint="eastAsia"/>
                <w:bCs/>
                <w:color w:val="auto"/>
                <w:szCs w:val="21"/>
                <w:highlight w:val="none"/>
              </w:rPr>
              <w:t>月</w:t>
            </w:r>
            <w:r>
              <w:rPr>
                <w:rFonts w:hint="eastAsia"/>
                <w:bCs/>
                <w:color w:val="auto"/>
                <w:szCs w:val="21"/>
                <w:highlight w:val="none"/>
                <w:lang w:val="en-US" w:eastAsia="zh-CN"/>
              </w:rPr>
              <w:t>2</w:t>
            </w:r>
            <w:r>
              <w:rPr>
                <w:rFonts w:hint="eastAsia"/>
                <w:bCs/>
                <w:color w:val="auto"/>
                <w:szCs w:val="21"/>
                <w:highlight w:val="none"/>
              </w:rPr>
              <w:t>7</w:t>
            </w:r>
            <w:r>
              <w:rPr>
                <w:rFonts w:hint="eastAsia"/>
                <w:bCs/>
                <w:color w:val="auto"/>
                <w:szCs w:val="21"/>
                <w:highlight w:val="none"/>
                <w:lang w:val="en-GB"/>
              </w:rPr>
              <w:t>日</w:t>
            </w:r>
          </w:p>
        </w:tc>
        <w:tc>
          <w:tcPr>
            <w:tcW w:w="1105" w:type="dxa"/>
            <w:vMerge w:val="continue"/>
            <w:tcBorders>
              <w:tl2br w:val="nil"/>
              <w:tr2bl w:val="nil"/>
            </w:tcBorders>
            <w:vAlign w:val="center"/>
          </w:tcPr>
          <w:p>
            <w:pPr>
              <w:jc w:val="center"/>
              <w:rPr>
                <w:bCs/>
                <w:color w:val="auto"/>
                <w:szCs w:val="21"/>
                <w:highlight w:val="none"/>
                <w:lang w:val="en-GB"/>
              </w:rPr>
            </w:pPr>
          </w:p>
        </w:tc>
        <w:tc>
          <w:tcPr>
            <w:tcW w:w="679" w:type="dxa"/>
            <w:vMerge w:val="continue"/>
            <w:tcBorders>
              <w:tl2br w:val="nil"/>
              <w:tr2bl w:val="nil"/>
            </w:tcBorders>
            <w:vAlign w:val="center"/>
          </w:tcPr>
          <w:p>
            <w:pPr>
              <w:jc w:val="center"/>
              <w:rPr>
                <w:bCs/>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89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采样深度（m）</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0~0.2</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0~0.2</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0~0.2</w:t>
            </w:r>
          </w:p>
        </w:tc>
        <w:tc>
          <w:tcPr>
            <w:tcW w:w="1105"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679"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89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采样点位（经纬度）</w:t>
            </w:r>
          </w:p>
        </w:tc>
        <w:tc>
          <w:tcPr>
            <w:tcW w:w="1276" w:type="dxa"/>
            <w:tcBorders>
              <w:tl2br w:val="nil"/>
              <w:tr2bl w:val="nil"/>
            </w:tcBorders>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103.2298411°E，25.5446588°N</w:t>
            </w:r>
            <w:r>
              <w:rPr>
                <w:rFonts w:hint="default" w:ascii="Times New Roman" w:hAnsi="Times New Roman" w:cs="Times New Roman"/>
                <w:color w:val="auto"/>
                <w:szCs w:val="21"/>
                <w:highlight w:val="none"/>
                <w:lang w:eastAsia="zh-CN"/>
              </w:rPr>
              <w:t>）</w:t>
            </w:r>
          </w:p>
        </w:tc>
        <w:tc>
          <w:tcPr>
            <w:tcW w:w="1274"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103.</w:t>
            </w:r>
            <w:r>
              <w:rPr>
                <w:rFonts w:hint="eastAsia" w:cs="Times New Roman"/>
                <w:color w:val="auto"/>
                <w:szCs w:val="21"/>
                <w:highlight w:val="none"/>
                <w:lang w:val="en-US" w:eastAsia="zh-CN"/>
              </w:rPr>
              <w:t>32296291</w:t>
            </w:r>
            <w:r>
              <w:rPr>
                <w:rFonts w:hint="default" w:ascii="Times New Roman" w:hAnsi="Times New Roman" w:cs="Times New Roman"/>
                <w:color w:val="auto"/>
                <w:szCs w:val="21"/>
                <w:highlight w:val="none"/>
                <w:lang w:val="en-US" w:eastAsia="zh-CN"/>
              </w:rPr>
              <w:t>°E，25.</w:t>
            </w:r>
            <w:r>
              <w:rPr>
                <w:rFonts w:hint="eastAsia" w:cs="Times New Roman"/>
                <w:color w:val="auto"/>
                <w:szCs w:val="21"/>
                <w:highlight w:val="none"/>
                <w:lang w:val="en-US" w:eastAsia="zh-CN"/>
              </w:rPr>
              <w:t>5447260</w:t>
            </w:r>
            <w:r>
              <w:rPr>
                <w:rFonts w:hint="default" w:ascii="Times New Roman" w:hAnsi="Times New Roman" w:cs="Times New Roman"/>
                <w:color w:val="auto"/>
                <w:szCs w:val="21"/>
                <w:highlight w:val="none"/>
                <w:lang w:val="en-US" w:eastAsia="zh-CN"/>
              </w:rPr>
              <w:t>°N</w:t>
            </w:r>
            <w:r>
              <w:rPr>
                <w:rFonts w:hint="default" w:ascii="Times New Roman" w:hAnsi="Times New Roman" w:cs="Times New Roman"/>
                <w:color w:val="auto"/>
                <w:szCs w:val="21"/>
                <w:highlight w:val="none"/>
                <w:lang w:eastAsia="zh-CN"/>
              </w:rPr>
              <w:t>）</w:t>
            </w:r>
          </w:p>
        </w:tc>
        <w:tc>
          <w:tcPr>
            <w:tcW w:w="132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103.</w:t>
            </w:r>
            <w:r>
              <w:rPr>
                <w:rFonts w:hint="eastAsia" w:cs="Times New Roman"/>
                <w:color w:val="auto"/>
                <w:szCs w:val="21"/>
                <w:highlight w:val="none"/>
                <w:lang w:val="en-US" w:eastAsia="zh-CN"/>
              </w:rPr>
              <w:t>2286630</w:t>
            </w:r>
            <w:r>
              <w:rPr>
                <w:rFonts w:hint="default" w:ascii="Times New Roman" w:hAnsi="Times New Roman" w:cs="Times New Roman"/>
                <w:color w:val="auto"/>
                <w:szCs w:val="21"/>
                <w:highlight w:val="none"/>
                <w:lang w:val="en-US" w:eastAsia="zh-CN"/>
              </w:rPr>
              <w:t>°E，25.</w:t>
            </w:r>
            <w:r>
              <w:rPr>
                <w:rFonts w:hint="eastAsia" w:cs="Times New Roman"/>
                <w:color w:val="auto"/>
                <w:szCs w:val="21"/>
                <w:highlight w:val="none"/>
                <w:lang w:val="en-US" w:eastAsia="zh-CN"/>
              </w:rPr>
              <w:t>5441600</w:t>
            </w:r>
            <w:r>
              <w:rPr>
                <w:rFonts w:hint="default" w:ascii="Times New Roman" w:hAnsi="Times New Roman" w:cs="Times New Roman"/>
                <w:color w:val="auto"/>
                <w:szCs w:val="21"/>
                <w:highlight w:val="none"/>
                <w:lang w:val="en-US" w:eastAsia="zh-CN"/>
              </w:rPr>
              <w:t>°N</w:t>
            </w:r>
            <w:r>
              <w:rPr>
                <w:rFonts w:hint="default" w:ascii="Times New Roman" w:hAnsi="Times New Roman" w:cs="Times New Roman"/>
                <w:color w:val="auto"/>
                <w:szCs w:val="21"/>
                <w:highlight w:val="none"/>
                <w:lang w:eastAsia="zh-CN"/>
              </w:rPr>
              <w:t>）</w:t>
            </w:r>
          </w:p>
        </w:tc>
        <w:tc>
          <w:tcPr>
            <w:tcW w:w="1105" w:type="dxa"/>
            <w:tcBorders>
              <w:tl2br w:val="nil"/>
              <w:tr2bl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679"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892"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样品状态</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红色，颗粒状，干燥</w:t>
            </w:r>
          </w:p>
        </w:tc>
        <w:tc>
          <w:tcPr>
            <w:tcW w:w="127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红色，颗粒状，干燥</w:t>
            </w:r>
          </w:p>
        </w:tc>
        <w:tc>
          <w:tcPr>
            <w:tcW w:w="1323"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红色，颗粒状，干燥</w:t>
            </w:r>
          </w:p>
        </w:tc>
        <w:tc>
          <w:tcPr>
            <w:tcW w:w="1105"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679"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892"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w:t>
            </w:r>
            <w:r>
              <w:rPr>
                <w:color w:val="auto"/>
                <w:szCs w:val="21"/>
                <w:highlight w:val="none"/>
              </w:rPr>
              <w:t>四氯化碳</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color w:val="auto"/>
                <w:szCs w:val="21"/>
                <w:highlight w:val="none"/>
              </w:rPr>
              <w:t>.8</w:t>
            </w:r>
          </w:p>
        </w:tc>
        <w:tc>
          <w:tcPr>
            <w:tcW w:w="679"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氯仿</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0</w:t>
            </w:r>
            <w:r>
              <w:rPr>
                <w:color w:val="auto"/>
                <w:szCs w:val="21"/>
                <w:highlight w:val="none"/>
              </w:rPr>
              <w:t>.9</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氯甲烷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3</w:t>
            </w:r>
            <w:r>
              <w:rPr>
                <w:color w:val="auto"/>
                <w:szCs w:val="21"/>
                <w:highlight w:val="none"/>
              </w:rPr>
              <w:t>7</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1,1-二氯乙烷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9</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1,2-二氯乙烷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1,1-二氯乙烯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6</w:t>
            </w:r>
            <w:r>
              <w:rPr>
                <w:color w:val="auto"/>
                <w:szCs w:val="21"/>
                <w:highlight w:val="none"/>
              </w:rPr>
              <w:t>6</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顺-1,2-二氯乙烯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vertAlign w:val="superscript"/>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r>
              <w:rPr>
                <w:color w:val="auto"/>
                <w:szCs w:val="21"/>
                <w:highlight w:val="none"/>
              </w:rPr>
              <w:t>96</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反-1,2-二氯乙烯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r>
              <w:rPr>
                <w:color w:val="auto"/>
                <w:szCs w:val="21"/>
                <w:highlight w:val="none"/>
              </w:rPr>
              <w:t>4</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二氯甲烷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6</w:t>
            </w:r>
            <w:r>
              <w:rPr>
                <w:color w:val="auto"/>
                <w:szCs w:val="21"/>
                <w:highlight w:val="none"/>
              </w:rPr>
              <w:t>16</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1,2-二氯丙烷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1,1,1,2四氯乙烷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1,1,2,2-四氯乙烷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6</w:t>
            </w:r>
            <w:r>
              <w:rPr>
                <w:color w:val="auto"/>
                <w:szCs w:val="21"/>
                <w:highlight w:val="none"/>
              </w:rPr>
              <w:t>.8</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四氯乙烯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r>
              <w:rPr>
                <w:color w:val="auto"/>
                <w:szCs w:val="21"/>
                <w:highlight w:val="none"/>
              </w:rPr>
              <w:t>3</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1,1,1-三氯乙烷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8</w:t>
            </w:r>
            <w:r>
              <w:rPr>
                <w:color w:val="auto"/>
                <w:szCs w:val="21"/>
                <w:highlight w:val="none"/>
              </w:rPr>
              <w:t>40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1,1,2-三氯乙烷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.8</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三氯乙烯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.8</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1,2,3-三氯丙烷</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0</w:t>
            </w:r>
            <w:r>
              <w:rPr>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氯乙烯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0</w:t>
            </w:r>
            <w:r>
              <w:rPr>
                <w:color w:val="auto"/>
                <w:szCs w:val="21"/>
                <w:highlight w:val="none"/>
              </w:rPr>
              <w:t>.43</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4</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氯苯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70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1,2-二氯苯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r>
              <w:rPr>
                <w:color w:val="auto"/>
                <w:szCs w:val="21"/>
                <w:highlight w:val="none"/>
              </w:rPr>
              <w:t>60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1,4-二氯苯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乙苯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8</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苯乙烯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290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甲苯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200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间二甲苯+对二甲苯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r>
              <w:rPr>
                <w:color w:val="auto"/>
                <w:szCs w:val="21"/>
                <w:highlight w:val="none"/>
              </w:rPr>
              <w:t>70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邻二甲苯</w:t>
            </w:r>
            <w:r>
              <w:rPr>
                <w:rFonts w:hint="eastAsia" w:ascii="宋体" w:hAnsi="宋体" w:cs="宋体"/>
                <w:color w:val="auto"/>
                <w:szCs w:val="21"/>
                <w:highlight w:val="none"/>
              </w:rPr>
              <w:t>(</w:t>
            </w:r>
            <w:r>
              <w:rPr>
                <w:color w:val="auto"/>
                <w:szCs w:val="21"/>
                <w:highlight w:val="none"/>
              </w:rPr>
              <w:t>μg/kg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6</w:t>
            </w:r>
            <w:r>
              <w:rPr>
                <w:color w:val="auto"/>
                <w:szCs w:val="21"/>
                <w:highlight w:val="none"/>
              </w:rPr>
              <w:t>40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*硝基苯</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7</w:t>
            </w:r>
            <w:r>
              <w:rPr>
                <w:color w:val="auto"/>
                <w:szCs w:val="21"/>
                <w:highlight w:val="none"/>
              </w:rPr>
              <w:t>6</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*苯胺</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60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氯酚</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256</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苯并</w:t>
            </w:r>
            <w:r>
              <w:rPr>
                <w:rFonts w:hint="eastAsia"/>
                <w:color w:val="auto"/>
                <w:szCs w:val="21"/>
                <w:highlight w:val="none"/>
              </w:rPr>
              <w:t>[a]</w:t>
            </w:r>
            <w:r>
              <w:rPr>
                <w:color w:val="auto"/>
                <w:szCs w:val="21"/>
                <w:highlight w:val="none"/>
              </w:rPr>
              <w:t>蒽</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苯并</w:t>
            </w:r>
            <w:r>
              <w:rPr>
                <w:rFonts w:hint="eastAsia"/>
                <w:color w:val="auto"/>
                <w:szCs w:val="21"/>
                <w:highlight w:val="none"/>
              </w:rPr>
              <w:t>[a]</w:t>
            </w:r>
            <w:r>
              <w:rPr>
                <w:color w:val="auto"/>
                <w:szCs w:val="21"/>
                <w:highlight w:val="none"/>
              </w:rPr>
              <w:t>芘</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苯并</w:t>
            </w:r>
            <w:r>
              <w:rPr>
                <w:rFonts w:hint="eastAsia"/>
                <w:color w:val="auto"/>
                <w:szCs w:val="21"/>
                <w:highlight w:val="none"/>
              </w:rPr>
              <w:t>[b]</w:t>
            </w:r>
            <w:r>
              <w:rPr>
                <w:color w:val="auto"/>
                <w:szCs w:val="21"/>
                <w:highlight w:val="none"/>
              </w:rPr>
              <w:t>荧蒽</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苯并</w:t>
            </w:r>
            <w:r>
              <w:rPr>
                <w:rFonts w:hint="eastAsia"/>
                <w:color w:val="auto"/>
                <w:szCs w:val="21"/>
                <w:highlight w:val="none"/>
              </w:rPr>
              <w:t>[k]</w:t>
            </w:r>
            <w:r>
              <w:rPr>
                <w:color w:val="auto"/>
                <w:szCs w:val="21"/>
                <w:highlight w:val="none"/>
              </w:rPr>
              <w:t>荧蒽</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51</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*䓛</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293</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*二苯并[</w:t>
            </w:r>
            <w:r>
              <w:rPr>
                <w:color w:val="auto"/>
                <w:szCs w:val="21"/>
                <w:highlight w:val="none"/>
              </w:rPr>
              <w:t>a</w:t>
            </w:r>
            <w:r>
              <w:rPr>
                <w:rFonts w:hint="eastAsia"/>
                <w:color w:val="auto"/>
                <w:szCs w:val="21"/>
                <w:highlight w:val="none"/>
              </w:rPr>
              <w:t>，h]蒽</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*茚并[1,2,3-cd]芘</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*萘</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g/L</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color w:val="auto"/>
                <w:szCs w:val="21"/>
                <w:highlight w:val="none"/>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7</w:t>
            </w:r>
            <w:r>
              <w:rPr>
                <w:color w:val="auto"/>
                <w:szCs w:val="21"/>
                <w:highlight w:val="none"/>
              </w:rPr>
              <w:t>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892"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rPr>
              <w:t>*pH</w:t>
            </w:r>
            <w:r>
              <w:rPr>
                <w:rFonts w:hint="eastAsia"/>
                <w:color w:val="auto"/>
                <w:szCs w:val="21"/>
                <w:highlight w:val="none"/>
                <w:lang w:val="en-US" w:eastAsia="zh-CN"/>
              </w:rPr>
              <w:t>值（无量纲）</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7.98</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7.87</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7.85</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w:t>
            </w:r>
          </w:p>
        </w:tc>
        <w:tc>
          <w:tcPr>
            <w:tcW w:w="679" w:type="dxa"/>
            <w:tcBorders>
              <w:tl2br w:val="nil"/>
              <w:tr2bl w:val="nil"/>
            </w:tcBorders>
          </w:tcPr>
          <w:p>
            <w:pPr>
              <w:jc w:val="center"/>
              <w:rPr>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*铜</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42</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21</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29</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8000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*铅</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30.2</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14.8</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20.5</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8</w:t>
            </w:r>
            <w:r>
              <w:rPr>
                <w:color w:val="auto"/>
                <w:szCs w:val="21"/>
                <w:highlight w:val="none"/>
              </w:rPr>
              <w:t>00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*镉</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0.14</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0.03</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6</w:t>
            </w:r>
            <w:r>
              <w:rPr>
                <w:color w:val="auto"/>
                <w:szCs w:val="21"/>
                <w:highlight w:val="none"/>
              </w:rPr>
              <w:t>5</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*镍</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29</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9</w:t>
            </w:r>
            <w:r>
              <w:rPr>
                <w:color w:val="auto"/>
                <w:szCs w:val="21"/>
                <w:highlight w:val="none"/>
              </w:rPr>
              <w:t>00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*砷</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17.6</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11.2</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13.5</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6</w:t>
            </w:r>
            <w:r>
              <w:rPr>
                <w:color w:val="auto"/>
                <w:szCs w:val="21"/>
                <w:highlight w:val="none"/>
              </w:rPr>
              <w:t>0</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*汞</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0.031</w:t>
            </w:r>
          </w:p>
        </w:tc>
        <w:tc>
          <w:tcPr>
            <w:tcW w:w="127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0.026</w:t>
            </w:r>
          </w:p>
        </w:tc>
        <w:tc>
          <w:tcPr>
            <w:tcW w:w="132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0.031</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3</w:t>
            </w:r>
            <w:r>
              <w:rPr>
                <w:color w:val="auto"/>
                <w:szCs w:val="21"/>
                <w:highlight w:val="none"/>
              </w:rPr>
              <w:t>8</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892" w:type="dxa"/>
            <w:tcBorders>
              <w:tl2br w:val="nil"/>
              <w:tr2bl w:val="nil"/>
            </w:tcBorders>
            <w:vAlign w:val="center"/>
          </w:tcPr>
          <w:p>
            <w:pPr>
              <w:jc w:val="center"/>
              <w:rPr>
                <w:color w:val="auto"/>
                <w:szCs w:val="21"/>
                <w:highlight w:val="none"/>
              </w:rPr>
            </w:pPr>
            <w:r>
              <w:rPr>
                <w:rFonts w:hint="eastAsia"/>
                <w:color w:val="auto"/>
                <w:szCs w:val="21"/>
                <w:highlight w:val="none"/>
              </w:rPr>
              <w:t>*六价铬</w:t>
            </w:r>
            <w:r>
              <w:rPr>
                <w:rFonts w:hint="eastAsia" w:ascii="宋体" w:hAnsi="宋体" w:cs="宋体"/>
                <w:color w:val="auto"/>
                <w:szCs w:val="21"/>
                <w:highlight w:val="none"/>
              </w:rPr>
              <w:t>(</w:t>
            </w:r>
            <w:r>
              <w:rPr>
                <w:rFonts w:hint="eastAsia"/>
                <w:color w:val="auto"/>
                <w:szCs w:val="21"/>
                <w:highlight w:val="none"/>
              </w:rPr>
              <w:t>m</w:t>
            </w:r>
            <w:r>
              <w:rPr>
                <w:color w:val="auto"/>
                <w:szCs w:val="21"/>
                <w:highlight w:val="none"/>
              </w:rPr>
              <w:t>g/</w:t>
            </w:r>
            <w:r>
              <w:rPr>
                <w:rFonts w:hint="eastAsia"/>
                <w:color w:val="auto"/>
                <w:szCs w:val="21"/>
                <w:highlight w:val="none"/>
              </w:rPr>
              <w:t>kg</w:t>
            </w:r>
            <w:r>
              <w:rPr>
                <w:rFonts w:hint="eastAsia" w:ascii="宋体" w:hAnsi="宋体" w:cs="宋体"/>
                <w:color w:val="auto"/>
                <w:szCs w:val="21"/>
                <w:highlight w:val="none"/>
              </w:rPr>
              <w:t>)</w:t>
            </w:r>
          </w:p>
        </w:tc>
        <w:tc>
          <w:tcPr>
            <w:tcW w:w="1276" w:type="dxa"/>
            <w:tcBorders>
              <w:tl2br w:val="nil"/>
              <w:tr2bl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未检出</w:t>
            </w:r>
          </w:p>
        </w:tc>
        <w:tc>
          <w:tcPr>
            <w:tcW w:w="1274" w:type="dxa"/>
            <w:tcBorders>
              <w:tl2br w:val="nil"/>
              <w:tr2bl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未检出</w:t>
            </w:r>
          </w:p>
        </w:tc>
        <w:tc>
          <w:tcPr>
            <w:tcW w:w="1323" w:type="dxa"/>
            <w:tcBorders>
              <w:tl2br w:val="nil"/>
              <w:tr2bl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未检出</w:t>
            </w:r>
          </w:p>
        </w:tc>
        <w:tc>
          <w:tcPr>
            <w:tcW w:w="1105" w:type="dxa"/>
            <w:tcBorders>
              <w:tl2br w:val="nil"/>
              <w:tr2bl w:val="nil"/>
            </w:tcBorders>
            <w:vAlign w:val="center"/>
          </w:tcPr>
          <w:p>
            <w:pPr>
              <w:jc w:val="center"/>
              <w:rPr>
                <w:color w:val="auto"/>
                <w:szCs w:val="21"/>
                <w:highlight w:val="none"/>
              </w:rPr>
            </w:pPr>
            <w:r>
              <w:rPr>
                <w:rFonts w:hint="eastAsia"/>
                <w:color w:val="auto"/>
                <w:szCs w:val="21"/>
                <w:highlight w:val="none"/>
              </w:rPr>
              <w:t>5</w:t>
            </w:r>
            <w:r>
              <w:rPr>
                <w:color w:val="auto"/>
                <w:szCs w:val="21"/>
                <w:highlight w:val="none"/>
              </w:rPr>
              <w:t>.7</w:t>
            </w:r>
          </w:p>
        </w:tc>
        <w:tc>
          <w:tcPr>
            <w:tcW w:w="679" w:type="dxa"/>
            <w:tcBorders>
              <w:tl2br w:val="nil"/>
              <w:tr2bl w:val="nil"/>
            </w:tcBorders>
          </w:tcPr>
          <w:p>
            <w:pPr>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9" w:type="dxa"/>
            <w:gridSpan w:val="6"/>
            <w:tcBorders>
              <w:tl2br w:val="nil"/>
              <w:tr2bl w:val="nil"/>
            </w:tcBorders>
            <w:vAlign w:val="center"/>
          </w:tcPr>
          <w:p>
            <w:pPr>
              <w:adjustRightInd w:val="0"/>
              <w:jc w:val="left"/>
              <w:rPr>
                <w:rFonts w:hint="eastAsia"/>
                <w:color w:val="auto"/>
                <w:szCs w:val="21"/>
                <w:highlight w:val="none"/>
              </w:rPr>
            </w:pPr>
            <w:r>
              <w:rPr>
                <w:color w:val="auto"/>
                <w:szCs w:val="21"/>
                <w:highlight w:val="none"/>
              </w:rPr>
              <w:t>备注</w:t>
            </w:r>
            <w:r>
              <w:rPr>
                <w:rFonts w:hint="eastAsia"/>
                <w:color w:val="auto"/>
                <w:szCs w:val="21"/>
                <w:highlight w:val="none"/>
              </w:rPr>
              <w:t>：1、检测结果低于分析方法检出限</w:t>
            </w:r>
            <w:r>
              <w:rPr>
                <w:rFonts w:hint="eastAsia"/>
                <w:color w:val="auto"/>
                <w:szCs w:val="21"/>
                <w:highlight w:val="none"/>
                <w:lang w:val="en-US" w:eastAsia="zh-CN"/>
              </w:rPr>
              <w:t>时，该项检测结果以“</w:t>
            </w:r>
            <w:r>
              <w:rPr>
                <w:rFonts w:hint="eastAsia" w:cs="Times New Roman"/>
                <w:color w:val="auto"/>
                <w:szCs w:val="21"/>
                <w:highlight w:val="none"/>
                <w:lang w:val="en-US" w:eastAsia="zh-CN"/>
              </w:rPr>
              <w:t>未检出</w:t>
            </w:r>
            <w:r>
              <w:rPr>
                <w:rFonts w:hint="eastAsia"/>
                <w:color w:val="auto"/>
                <w:szCs w:val="21"/>
                <w:highlight w:val="none"/>
                <w:lang w:val="en-US" w:eastAsia="zh-CN"/>
              </w:rPr>
              <w:t>”表示</w:t>
            </w:r>
            <w:r>
              <w:rPr>
                <w:rFonts w:hint="eastAsia"/>
                <w:color w:val="auto"/>
                <w:szCs w:val="21"/>
                <w:highlight w:val="none"/>
              </w:rPr>
              <w:t>。</w:t>
            </w:r>
          </w:p>
          <w:p>
            <w:pPr>
              <w:adjustRightInd w:val="0"/>
              <w:jc w:val="left"/>
              <w:rPr>
                <w:color w:val="auto"/>
                <w:szCs w:val="21"/>
                <w:highlight w:val="none"/>
              </w:rPr>
            </w:pPr>
            <w:r>
              <w:rPr>
                <w:rFonts w:hint="eastAsia"/>
                <w:color w:val="auto"/>
                <w:szCs w:val="21"/>
                <w:highlight w:val="none"/>
              </w:rPr>
              <w:t>2、表中*</w:t>
            </w:r>
            <w:r>
              <w:rPr>
                <w:rFonts w:hint="eastAsia"/>
                <w:color w:val="auto"/>
                <w:szCs w:val="21"/>
                <w:highlight w:val="none"/>
                <w:lang w:val="en-US" w:eastAsia="zh-CN"/>
              </w:rPr>
              <w:t>为分包项目，由</w:t>
            </w:r>
            <w:r>
              <w:rPr>
                <w:rFonts w:hint="eastAsia"/>
                <w:color w:val="auto"/>
                <w:szCs w:val="21"/>
                <w:highlight w:val="none"/>
              </w:rPr>
              <w:t>江苏格林勒斯检测科技有限公司</w:t>
            </w:r>
            <w:r>
              <w:rPr>
                <w:rFonts w:hint="eastAsia"/>
                <w:color w:val="auto"/>
                <w:szCs w:val="21"/>
                <w:highlight w:val="none"/>
                <w:lang w:val="en-US" w:eastAsia="zh-CN"/>
              </w:rPr>
              <w:t>检测数据提供，CMA编号为：171012050433</w:t>
            </w:r>
            <w:r>
              <w:rPr>
                <w:rFonts w:hint="eastAsia"/>
                <w:color w:val="auto"/>
                <w:szCs w:val="21"/>
                <w:highlight w:val="none"/>
              </w:rPr>
              <w:t>。</w:t>
            </w:r>
          </w:p>
        </w:tc>
      </w:tr>
    </w:tbl>
    <w:p>
      <w:pPr>
        <w:pStyle w:val="9"/>
        <w:spacing w:line="360" w:lineRule="auto"/>
        <w:ind w:firstLine="480"/>
        <w:rPr>
          <w:color w:val="auto"/>
          <w:sz w:val="24"/>
          <w:highlight w:val="none"/>
        </w:rPr>
      </w:pPr>
      <w:r>
        <w:rPr>
          <w:rFonts w:hint="eastAsia"/>
          <w:color w:val="auto"/>
          <w:sz w:val="24"/>
          <w:highlight w:val="none"/>
        </w:rPr>
        <w:t>根据监测结果可知，土壤现状调查范围内土壤监测点各污染物含量均小于《土壤环境质量 建设用地土壤污染风险管控标准（试行）》（GB36600-2018）中第二类用地风险筛选值（基本项目）。</w:t>
      </w:r>
    </w:p>
    <w:p>
      <w:pPr>
        <w:pStyle w:val="9"/>
        <w:spacing w:line="360" w:lineRule="auto"/>
        <w:ind w:firstLine="480"/>
        <w:rPr>
          <w:color w:val="auto"/>
          <w:kern w:val="2"/>
          <w:sz w:val="24"/>
          <w:highlight w:val="none"/>
        </w:rPr>
      </w:pPr>
      <w:r>
        <w:rPr>
          <w:rFonts w:hint="eastAsia"/>
          <w:color w:val="auto"/>
          <w:kern w:val="2"/>
          <w:sz w:val="24"/>
          <w:highlight w:val="none"/>
        </w:rPr>
        <w:t>3、</w:t>
      </w:r>
      <w:r>
        <w:rPr>
          <w:color w:val="auto"/>
          <w:kern w:val="2"/>
          <w:sz w:val="24"/>
          <w:highlight w:val="none"/>
        </w:rPr>
        <w:t>土壤类型分布图</w:t>
      </w:r>
    </w:p>
    <w:p>
      <w:pPr>
        <w:pStyle w:val="9"/>
        <w:spacing w:line="360" w:lineRule="auto"/>
        <w:ind w:firstLine="480"/>
        <w:rPr>
          <w:color w:val="auto"/>
          <w:kern w:val="2"/>
          <w:sz w:val="24"/>
          <w:highlight w:val="none"/>
          <w:lang w:val="zh-CN"/>
        </w:rPr>
      </w:pPr>
      <w:r>
        <w:rPr>
          <w:color w:val="auto"/>
          <w:kern w:val="2"/>
          <w:sz w:val="24"/>
          <w:highlight w:val="none"/>
          <w:lang w:val="zh-CN"/>
        </w:rPr>
        <w:t>根据《环境影响评价技术导则土壤环境（试行）》（HJ964-2018）要求，根据查询“国家土壤信息服务平台”，项目区属于</w:t>
      </w:r>
      <w:r>
        <w:rPr>
          <w:rFonts w:hint="eastAsia"/>
          <w:color w:val="auto"/>
          <w:kern w:val="2"/>
          <w:sz w:val="24"/>
          <w:highlight w:val="none"/>
          <w:lang w:val="en-US" w:eastAsia="zh-CN"/>
        </w:rPr>
        <w:t>南方水稻土</w:t>
      </w:r>
      <w:r>
        <w:rPr>
          <w:color w:val="auto"/>
          <w:kern w:val="2"/>
          <w:sz w:val="24"/>
          <w:highlight w:val="none"/>
          <w:lang w:val="zh-CN"/>
        </w:rPr>
        <w:t>类型，项目区土壤类型图如下：</w:t>
      </w:r>
    </w:p>
    <w:p>
      <w:pPr>
        <w:pStyle w:val="9"/>
        <w:spacing w:line="360" w:lineRule="auto"/>
        <w:ind w:firstLine="0" w:firstLineChars="0"/>
        <w:jc w:val="center"/>
        <w:rPr>
          <w:color w:val="auto"/>
          <w:kern w:val="2"/>
          <w:sz w:val="24"/>
          <w:highlight w:val="none"/>
          <w:lang w:val="zh-CN"/>
        </w:rPr>
      </w:pPr>
      <w:r>
        <w:rPr>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1854835</wp:posOffset>
                </wp:positionH>
                <wp:positionV relativeFrom="paragraph">
                  <wp:posOffset>1918335</wp:posOffset>
                </wp:positionV>
                <wp:extent cx="619760" cy="304800"/>
                <wp:effectExtent l="0" t="0" r="0" b="0"/>
                <wp:wrapNone/>
                <wp:docPr id="20" name="文本框 20"/>
                <wp:cNvGraphicFramePr/>
                <a:graphic xmlns:a="http://schemas.openxmlformats.org/drawingml/2006/main">
                  <a:graphicData uri="http://schemas.microsoft.com/office/word/2010/wordprocessingShape">
                    <wps:wsp>
                      <wps:cNvSpPr txBox="1"/>
                      <wps:spPr>
                        <a:xfrm>
                          <a:off x="3314700" y="2379980"/>
                          <a:ext cx="61976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项目区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05pt;margin-top:151.05pt;height:24pt;width:48.8pt;z-index:251672576;mso-width-relative:page;mso-height-relative:page;" filled="f" stroked="f" coordsize="21600,21600" o:gfxdata="UEsDBAoAAAAAAIdO4kAAAAAAAAAAAAAAAAAEAAAAZHJzL1BLAwQUAAAACACHTuJAXxXqIdsAAAAL&#10;AQAADwAAAGRycy9kb3ducmV2LnhtbE2PTU/DMAyG70j8h8hI3FjSToOuNJ1QpQkJwWFjF25p47UV&#10;jVOa7AN+Pd4Jbq/lR68fF6uzG8QRp9B70pDMFAikxtueWg279/VdBiJEQ9YMnlDDNwZYlddXhcmt&#10;P9EGj9vYCi6hkBsNXYxjLmVoOnQmzPyIxLu9n5yJPE6ttJM5cbkbZKrUvXSmJ77QmRGrDpvP7cFp&#10;eKnWb2ZTpy77Garn1/3T+LX7WGh9e5OoRxARz/EPhos+q0PJTrU/kA1i0JAu04RRDXN1CUzMs+UD&#10;iJrDQiUgy0L+/6H8BVBLAwQUAAAACACHTuJARxlzXUYCAABzBAAADgAAAGRycy9lMm9Eb2MueG1s&#10;rVRLbtswFNwX6B0I7hvJsWPHRuTATZCiQNAEcIuuaYqKBPBXko7kHqC9QVfddN9z5RwdUrITpF1k&#10;0Q39yDeex5n3qLPzTklyL5xvjC7o6CinRGhuykbfFfTTx6s3p5T4wHTJpNGioDvh6fny9auz1i7E&#10;samNLIUjINF+0dqC1iHYRZZ5XgvF/JGxQiNZGadYwNbdZaVjLdiVzI7zfJq1xpXWGS68x+lln6QD&#10;o3sJoamqhotLw7dK6NCzOiFZgCRfN9bTZbptVQkebqrKi0BkQaE0pBVFEG/imi3P2OLOMVs3fLgC&#10;e8kVnmlSrNEoeqC6ZIGRrWv+olINd8abKhxxo7JeSHIEKkb5M2/WNbMiaYHV3h5M9/+Pln+4v3Wk&#10;KQt6DEs0U+j4w4/vDz9/P/z6RnAGg1rrF8CtLZChe2s6jM3+3OMw6u4qp+IvFBHkx+PRZJaDcQfi&#10;8Ww+Px2sFl0gHIDpaD6bIs8BGOeTU2BRKXskss6Hd8IoEoOCOnQyGczur33ooXtIrKvNVSNl6qbU&#10;pEWB8Ume/nDIgFxq1Ihy+mvHKHSbbtC4MeUOEp3pp8RbftWg+DXz4ZY5jAXui4cTbrBU0qCIGSJK&#10;auO+/us84tEtZClpMWYF9V+2zAlK5HuNPs5HkwloQ9pMTmaxC+5pZvM0o7fqwmCSR3iilqcw4oPc&#10;h5Uz6jPe1ypWRYppjtoFDfvwIvTDj/fJxWqVQJhEy8K1XlseqXs7V9tgqiY5HW3qvRncwyymXg3v&#10;Jg77031CPX4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xXqIdsAAAALAQAADwAAAAAAAAAB&#10;ACAAAAAiAAAAZHJzL2Rvd25yZXYueG1sUEsBAhQAFAAAAAgAh07iQEcZc11GAgAAcwQAAA4AAAAA&#10;AAAAAQAgAAAAKgEAAGRycy9lMm9Eb2MueG1sUEsFBgAAAAAGAAYAWQEAAOIFAAAAAA==&#10;">
                <v:fill on="f" focussize="0,0"/>
                <v:stroke on="f" weight="0.5pt"/>
                <v:imagedata o:title=""/>
                <o:lock v:ext="edit" aspectratio="f"/>
                <v:textbox>
                  <w:txbxContent>
                    <w:p>
                      <w:pPr>
                        <w:rPr>
                          <w:color w:val="FF0000"/>
                        </w:rPr>
                      </w:pPr>
                      <w:r>
                        <w:rPr>
                          <w:rFonts w:hint="eastAsia"/>
                          <w:color w:val="FF0000"/>
                        </w:rPr>
                        <w:t>项目区</w:t>
                      </w:r>
                    </w:p>
                  </w:txbxContent>
                </v:textbox>
              </v:shape>
            </w:pict>
          </mc:Fallback>
        </mc:AlternateContent>
      </w:r>
      <w:r>
        <w:rPr>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2188210</wp:posOffset>
                </wp:positionH>
                <wp:positionV relativeFrom="paragraph">
                  <wp:posOffset>2106295</wp:posOffset>
                </wp:positionV>
                <wp:extent cx="257175" cy="228600"/>
                <wp:effectExtent l="3175" t="3810" r="6350" b="15240"/>
                <wp:wrapNone/>
                <wp:docPr id="18" name="直接箭头连接符 18"/>
                <wp:cNvGraphicFramePr/>
                <a:graphic xmlns:a="http://schemas.openxmlformats.org/drawingml/2006/main">
                  <a:graphicData uri="http://schemas.microsoft.com/office/word/2010/wordprocessingShape">
                    <wps:wsp>
                      <wps:cNvCnPr/>
                      <wps:spPr>
                        <a:xfrm>
                          <a:off x="3790950" y="2808605"/>
                          <a:ext cx="257175" cy="22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3pt;margin-top:165.85pt;height:18pt;width:20.25pt;z-index:251670528;mso-width-relative:page;mso-height-relative:page;" filled="f" stroked="t" coordsize="21600,21600" o:gfxdata="UEsDBAoAAAAAAIdO4kAAAAAAAAAAAAAAAAAEAAAAZHJzL1BLAwQUAAAACACHTuJAXT7Yg9sAAAAL&#10;AQAADwAAAGRycy9kb3ducmV2LnhtbE2PTU/DMAyG70j8h8hI3Fha2rWjNJ0AgUACDmwcOGaN+yEa&#10;pzTZOv495gS31/Kj14/L9dEO4oCT7x0piBcRCKTamZ5aBe/bh4sVCB80GT04QgXf6GFdnZ6UujBu&#10;pjc8bEIruIR8oRV0IYyFlL7u0Gq/cCMS7xo3WR14nFppJj1zuR3kZRRl0uqe+EKnR7zrsP7c7K2C&#10;cX7OH5dfDm/Sq9v7l49tY16fGqXOz+LoGkTAY/iD4Vef1aFip53bk/FiUJCkacYohyTOQTCRrJYx&#10;iB2HLM9BVqX8/0P1A1BLAwQUAAAACACHTuJAqCNwdhgCAADwAwAADgAAAGRycy9lMm9Eb2MueG1s&#10;rVPNbhMxEL4j8Q6W72Q3qfLTqJseEsIFQSXgAVyvd9eS/zTjZpOX4AWQOAEn4NQ7TwPlMRh7Qwvl&#10;0gN78I49nm/m+2Z8dr63hu0UoPau4uNRyZly0tfatRV/83r7ZMEZRuFqYbxTFT8o5Oerx4/O+rBU&#10;E995UytgBOJw2YeKdzGGZVGg7JQVOPJBOXI2HqyItIW2qEH0hG5NMSnLWdF7qAN4qRDpdDM4+RER&#10;HgLom0ZLtfHyyioXB1RQRkSihJ0OyFe52qZRMr5sGlSRmYoT05hXSkL2ZVqL1ZlYtiBCp+WxBPGQ&#10;Eu5xskI7SnoLtRFRsCvQ/0BZLcGjb+JIelsMRLIixGJc3tPmVSeCylxIagy3ouP/g5UvdhfAdE2T&#10;QH13wlLHb95d/3j78ebrl+8frn9+e5/sz58Y+UmsPuCSYtbuAo47DBeQmO8bsOlPnNi+4ifz0/J0&#10;SjIfKj5ZlItZOR3EVvvIJF2YTOfj+ZQzmS5MyJ+bUdwBBcD4THnLklFxjCB028W1d47a6mGcBRe7&#10;5xipFAr8HZCqcH6rjcndNY71FZ+dpGKkoIltaFLItIFYo2s5E6alpyAjZET0RtcpOuEgtJdrA2wn&#10;aIC225K+RIOy/XUtpd4I7IZ72TWwtTrSazHaVnyRgo8TF4U2T13N4iGQ4ALA90dY4wg9qTzomqxL&#10;Xx+y3PmcBiHnPw5tmrQ/9zn67qG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PtiD2wAAAAsB&#10;AAAPAAAAAAAAAAEAIAAAACIAAABkcnMvZG93bnJldi54bWxQSwECFAAUAAAACACHTuJAqCNwdhgC&#10;AADwAwAADgAAAAAAAAABACAAAAAqAQAAZHJzL2Uyb0RvYy54bWxQSwUGAAAAAAYABgBZAQAAtAUA&#10;AAAA&#10;">
                <v:fill on="f" focussize="0,0"/>
                <v:stroke weight="0.5pt" color="#FF0000 [3204]" miterlimit="8" joinstyle="miter" endarrow="open"/>
                <v:imagedata o:title=""/>
                <o:lock v:ext="edit" aspectratio="f"/>
              </v:shape>
            </w:pict>
          </mc:Fallback>
        </mc:AlternateContent>
      </w:r>
      <w:r>
        <w:rPr>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2426335</wp:posOffset>
                </wp:positionH>
                <wp:positionV relativeFrom="paragraph">
                  <wp:posOffset>2305685</wp:posOffset>
                </wp:positionV>
                <wp:extent cx="85725" cy="85725"/>
                <wp:effectExtent l="6350" t="6350" r="22225" b="22225"/>
                <wp:wrapNone/>
                <wp:docPr id="19" name="椭圆 19"/>
                <wp:cNvGraphicFramePr/>
                <a:graphic xmlns:a="http://schemas.openxmlformats.org/drawingml/2006/main">
                  <a:graphicData uri="http://schemas.microsoft.com/office/word/2010/wordprocessingShape">
                    <wps:wsp>
                      <wps:cNvSpPr/>
                      <wps:spPr>
                        <a:xfrm>
                          <a:off x="3390900" y="2989580"/>
                          <a:ext cx="85725" cy="857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1.05pt;margin-top:181.55pt;height:6.75pt;width:6.75pt;z-index:251671552;v-text-anchor:middle;mso-width-relative:page;mso-height-relative:page;" fillcolor="#FF0000" filled="t" stroked="t" coordsize="21600,21600" o:gfxdata="UEsDBAoAAAAAAIdO4kAAAAAAAAAAAAAAAAAEAAAAZHJzL1BLAwQUAAAACACHTuJA1H++idUAAAAL&#10;AQAADwAAAGRycy9kb3ducmV2LnhtbE2PTU+EMBCG7yb+h2ZMvLmFJVZEyh5MvJmorB/XAiMQ6bSh&#10;XcB/73jS2zOZN+88Ux42O4kF5zA60pDuEhBIretG6jW8Hh+uchAhGurM5Ag1fGOAQ3V+Vpqicyu9&#10;4FLHXnAJhcJoGGL0hZShHdCasHMeiXefbrYm8jj3spvNyuV2kvskUdKakfjCYDzeD9h+1SerwW+P&#10;Tfrmn917yL3Ftf5YzBNpfXmRJncgIm7xLwy/+qwOFTs17kRdEJOGLN+nHGVQGQMnsttrBaJhuFEK&#10;ZFXK/z9UP1BLAwQUAAAACACHTuJApLspUHUCAAACBQAADgAAAGRycy9lMm9Eb2MueG1srVTNbhMx&#10;EL4j8Q6W73Q3aUuTqJsqahSEVNFIBXF2vHbWkv+wnWzKA/AUHLnyWPAcfN7d/sKhB3JwZjyz38x8&#10;M+Pzi4PRZC9CVM5WdHRUUiIsd7Wy24p++rh6M6EkJmZrpp0VFb0VkV7MX786b/1MjF3jdC0CAYiN&#10;s9ZXtEnJz4oi8kYYFo+cFxZG6YJhCWrYFnVgLdCNLsZl+bZoXah9cFzEiNtlb6QDYngJoJNScbF0&#10;fGeETT1qEJollBQb5SOdd9lKKXi6ljKKRHRFUWnqTgSBvMlnMT9ns21gvlF8SIG9JIVnNRmmLILe&#10;Qy1ZYmQX1F9QRvHgopPpiDtT9IV0jKCKUfmMm5uGedHVAqqjvyc9/j9Y/mG/DkTVmIQpJZYZdPz3&#10;j5+/vn8juAA7rY8zON34dRi0CDGXepDB5H8UQQ4VPT6eltMSvN5WdDydTE8nA7vikAiHw+T0bHxK&#10;CYe9F4FXPMD4ENM74QzJQkWF1mhkrp7N2P4qpt77zitfR6dVvVJad0rYbi51IHuGTq9WJX45fQR4&#10;4qYtaVHr+CxnyhnmV2JuIBoPDqLdUsL0FovBU+hiP/k6vixITnLJYtMn0yH0g2ZUwu5oZUBBzvAu&#10;RW2RaWa65zZLG1ffojPB9SMbPV8pwF6xmNYsYEaRP7Y4XeOQ2qEoN0iUNC58/dd99sfowEpJi5lH&#10;wV92LAhK9HuLoZqOTk4AmzrlBO2CEh5bNo8tdmcuHcge4b3wvBOzf9J3ogzOfMayL3JUmJjliN1T&#10;OyiXqd9FPBdcLBadGxbDs3RlbzzP4Lm51i12yUnVDcEDOwNpWI2u0cMa5917rHdeD0/X/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Uf76J1QAAAAsBAAAPAAAAAAAAAAEAIAAAACIAAABkcnMvZG93&#10;bnJldi54bWxQSwECFAAUAAAACACHTuJApLspUHUCAAACBQAADgAAAAAAAAABACAAAAAkAQAAZHJz&#10;L2Uyb0RvYy54bWxQSwUGAAAAAAYABgBZAQAACwYAAAAA&#10;">
                <v:fill on="t" focussize="0,0"/>
                <v:stroke weight="1pt" color="#FF0000 [3204]" miterlimit="8" joinstyle="miter"/>
                <v:imagedata o:title=""/>
                <o:lock v:ext="edit" aspectratio="f"/>
              </v:shape>
            </w:pict>
          </mc:Fallback>
        </mc:AlternateContent>
      </w:r>
      <w:r>
        <w:rPr>
          <w:color w:val="auto"/>
          <w:highlight w:val="none"/>
        </w:rPr>
        <w:drawing>
          <wp:inline distT="0" distB="0" distL="114300" distR="114300">
            <wp:extent cx="5287010" cy="4042410"/>
            <wp:effectExtent l="0" t="0" r="8890"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87010" cy="4042410"/>
                    </a:xfrm>
                    <a:prstGeom prst="rect">
                      <a:avLst/>
                    </a:prstGeom>
                    <a:noFill/>
                    <a:ln>
                      <a:noFill/>
                    </a:ln>
                  </pic:spPr>
                </pic:pic>
              </a:graphicData>
            </a:graphic>
          </wp:inline>
        </w:drawing>
      </w:r>
    </w:p>
    <w:p>
      <w:pPr>
        <w:pStyle w:val="9"/>
        <w:spacing w:line="360" w:lineRule="auto"/>
        <w:ind w:firstLine="482"/>
        <w:jc w:val="center"/>
        <w:rPr>
          <w:b/>
          <w:bCs/>
          <w:color w:val="auto"/>
          <w:kern w:val="2"/>
          <w:sz w:val="24"/>
          <w:highlight w:val="none"/>
        </w:rPr>
      </w:pPr>
      <w:r>
        <w:rPr>
          <w:b/>
          <w:bCs/>
          <w:color w:val="auto"/>
          <w:kern w:val="2"/>
          <w:sz w:val="24"/>
          <w:highlight w:val="none"/>
        </w:rPr>
        <w:t>图</w:t>
      </w:r>
      <w:r>
        <w:rPr>
          <w:rFonts w:hint="eastAsia"/>
          <w:b/>
          <w:bCs/>
          <w:color w:val="auto"/>
          <w:kern w:val="2"/>
          <w:sz w:val="24"/>
          <w:highlight w:val="none"/>
          <w:lang w:val="en-US" w:eastAsia="zh-CN"/>
        </w:rPr>
        <w:t>4</w:t>
      </w:r>
      <w:r>
        <w:rPr>
          <w:b/>
          <w:bCs/>
          <w:color w:val="auto"/>
          <w:kern w:val="2"/>
          <w:sz w:val="24"/>
          <w:highlight w:val="none"/>
        </w:rPr>
        <w:t>.2-1   土壤类型分布图</w:t>
      </w:r>
    </w:p>
    <w:p>
      <w:pPr>
        <w:spacing w:line="360" w:lineRule="auto"/>
        <w:outlineLvl w:val="2"/>
        <w:rPr>
          <w:b/>
          <w:color w:val="auto"/>
          <w:sz w:val="28"/>
          <w:szCs w:val="28"/>
          <w:highlight w:val="none"/>
        </w:rPr>
      </w:pPr>
      <w:bookmarkStart w:id="539" w:name="_Toc25112"/>
      <w:r>
        <w:rPr>
          <w:b/>
          <w:color w:val="auto"/>
          <w:sz w:val="28"/>
          <w:szCs w:val="28"/>
          <w:highlight w:val="none"/>
        </w:rPr>
        <w:t>4.2.6生态环境质量现状</w:t>
      </w:r>
      <w:bookmarkEnd w:id="537"/>
      <w:bookmarkEnd w:id="538"/>
      <w:bookmarkEnd w:id="539"/>
    </w:p>
    <w:bookmarkEnd w:id="529"/>
    <w:p>
      <w:pPr>
        <w:adjustRightInd w:val="0"/>
        <w:snapToGrid w:val="0"/>
        <w:spacing w:line="360" w:lineRule="auto"/>
        <w:ind w:firstLine="482" w:firstLineChars="200"/>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1、生态环境现状调查</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（1）调查方法及范围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①调查方法</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主要通过基础资料收集、野外实地考察以及基于空间信息技术的生态制图等方式完成。收集整理评价区及邻近地区现有植被、植物资料，在综合分析现有资料的基础上，确定实地考察的重点区域及考察路线。在实地踏查的基础上，确定典型的群落地段。在调查过程中，确定评价区内的植物种类及资源状况、珍稀濒危植物的种类及生存状况等。实地调查采取路线调查与重点调查相结合的方法，在重点区域（如项目区）以及植被状况良好的区域实行重点调查。</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②调查范围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调查项目区范围的生态环境，调查项目区直接影响范围内的植被及动植物资源，调查项目评价区有无特有种、珍稀</w:t>
      </w:r>
      <w:r>
        <w:rPr>
          <w:rFonts w:hint="eastAsia"/>
          <w:color w:val="auto"/>
          <w:sz w:val="24"/>
          <w:highlight w:val="none"/>
          <w:lang w:eastAsia="zh-CN"/>
        </w:rPr>
        <w:t>濒</w:t>
      </w:r>
      <w:r>
        <w:rPr>
          <w:rFonts w:hint="eastAsia"/>
          <w:color w:val="auto"/>
          <w:sz w:val="24"/>
          <w:highlight w:val="none"/>
        </w:rPr>
        <w:t>危保护动植物或经济价值和科研价值较高的物种。本次评价范围为项目占地区域外延200m的范围。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③调查时间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202</w:t>
      </w:r>
      <w:r>
        <w:rPr>
          <w:rFonts w:hint="eastAsia"/>
          <w:color w:val="auto"/>
          <w:sz w:val="24"/>
          <w:highlight w:val="none"/>
          <w:lang w:val="en-US" w:eastAsia="zh-CN"/>
        </w:rPr>
        <w:t>3</w:t>
      </w:r>
      <w:r>
        <w:rPr>
          <w:rFonts w:hint="eastAsia"/>
          <w:color w:val="auto"/>
          <w:sz w:val="24"/>
          <w:highlight w:val="none"/>
        </w:rPr>
        <w:t>年</w:t>
      </w:r>
      <w:r>
        <w:rPr>
          <w:rFonts w:hint="eastAsia"/>
          <w:color w:val="auto"/>
          <w:sz w:val="24"/>
          <w:highlight w:val="none"/>
          <w:lang w:val="en-US" w:eastAsia="zh-CN"/>
        </w:rPr>
        <w:t>12</w:t>
      </w:r>
      <w:r>
        <w:rPr>
          <w:rFonts w:hint="eastAsia"/>
          <w:color w:val="auto"/>
          <w:sz w:val="24"/>
          <w:highlight w:val="none"/>
        </w:rPr>
        <w:t>月，</w:t>
      </w:r>
      <w:r>
        <w:rPr>
          <w:rFonts w:hint="eastAsia"/>
          <w:color w:val="auto"/>
          <w:sz w:val="24"/>
          <w:highlight w:val="none"/>
          <w:lang w:val="en-US" w:eastAsia="zh-CN"/>
        </w:rPr>
        <w:t>评价单位调查</w:t>
      </w:r>
      <w:r>
        <w:rPr>
          <w:rFonts w:hint="eastAsia"/>
          <w:color w:val="auto"/>
          <w:sz w:val="24"/>
          <w:highlight w:val="none"/>
        </w:rPr>
        <w:t>组到评价现场进行了实地考察，考察了项目区及评价范围内的植被类型、野生动植物种类。</w:t>
      </w:r>
    </w:p>
    <w:p>
      <w:pPr>
        <w:adjustRightInd w:val="0"/>
        <w:snapToGrid w:val="0"/>
        <w:spacing w:line="360" w:lineRule="auto"/>
        <w:ind w:firstLine="482" w:firstLineChars="200"/>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2、评价区植被、植物现状</w:t>
      </w:r>
    </w:p>
    <w:p>
      <w:pPr>
        <w:spacing w:line="360" w:lineRule="auto"/>
        <w:ind w:firstLine="480" w:firstLineChars="200"/>
        <w:rPr>
          <w:color w:val="auto"/>
          <w:sz w:val="24"/>
          <w:highlight w:val="none"/>
        </w:rPr>
      </w:pPr>
      <w:r>
        <w:rPr>
          <w:color w:val="auto"/>
          <w:sz w:val="24"/>
          <w:highlight w:val="none"/>
        </w:rPr>
        <w:t>根据《云南植被》，项目评价区位于寻甸回族彝族自治县</w:t>
      </w:r>
      <w:r>
        <w:rPr>
          <w:rFonts w:hint="eastAsia"/>
          <w:color w:val="auto"/>
          <w:sz w:val="24"/>
          <w:highlight w:val="none"/>
          <w:lang w:val="en-US" w:eastAsia="zh-CN"/>
        </w:rPr>
        <w:t>仁德街道三月三村</w:t>
      </w:r>
      <w:r>
        <w:rPr>
          <w:rFonts w:hint="eastAsia"/>
          <w:color w:val="auto"/>
          <w:sz w:val="24"/>
          <w:highlight w:val="none"/>
        </w:rPr>
        <w:t>，</w:t>
      </w:r>
      <w:r>
        <w:rPr>
          <w:color w:val="auto"/>
          <w:sz w:val="24"/>
          <w:highlight w:val="none"/>
        </w:rPr>
        <w:t>项目植被区属于：</w:t>
      </w:r>
      <w:r>
        <w:rPr>
          <w:rFonts w:hint="eastAsia"/>
          <w:color w:val="auto"/>
          <w:sz w:val="24"/>
          <w:highlight w:val="none"/>
        </w:rPr>
        <w:t>Ⅱ亚热带常绿阔叶林区域</w:t>
      </w:r>
      <w:r>
        <w:rPr>
          <w:color w:val="auto"/>
          <w:sz w:val="24"/>
          <w:highlight w:val="none"/>
        </w:rPr>
        <w:t>→</w:t>
      </w:r>
      <w:r>
        <w:rPr>
          <w:rFonts w:hint="eastAsia"/>
          <w:color w:val="auto"/>
          <w:sz w:val="24"/>
          <w:highlight w:val="none"/>
        </w:rPr>
        <w:t>Ⅱ</w:t>
      </w:r>
      <w:r>
        <w:rPr>
          <w:color w:val="auto"/>
          <w:sz w:val="24"/>
          <w:highlight w:val="none"/>
        </w:rPr>
        <w:t>A</w:t>
      </w:r>
      <w:r>
        <w:rPr>
          <w:rFonts w:hint="eastAsia"/>
          <w:color w:val="auto"/>
          <w:sz w:val="24"/>
          <w:highlight w:val="none"/>
        </w:rPr>
        <w:t>西部(半湿润)常绿阔叶林亚区域</w:t>
      </w:r>
      <w:r>
        <w:rPr>
          <w:color w:val="auto"/>
          <w:sz w:val="24"/>
          <w:highlight w:val="none"/>
        </w:rPr>
        <w:t>→</w:t>
      </w:r>
      <w:r>
        <w:rPr>
          <w:rFonts w:hint="eastAsia"/>
          <w:color w:val="auto"/>
          <w:sz w:val="24"/>
          <w:highlight w:val="none"/>
        </w:rPr>
        <w:t>Ⅱ</w:t>
      </w:r>
      <w:r>
        <w:rPr>
          <w:color w:val="auto"/>
          <w:sz w:val="24"/>
          <w:highlight w:val="none"/>
        </w:rPr>
        <w:t>Aii</w:t>
      </w:r>
      <w:r>
        <w:rPr>
          <w:rFonts w:hint="eastAsia"/>
          <w:color w:val="auto"/>
          <w:sz w:val="24"/>
          <w:highlight w:val="none"/>
        </w:rPr>
        <w:t>高原亚热带北部常绿阔叶林地带</w:t>
      </w:r>
      <w:r>
        <w:rPr>
          <w:color w:val="auto"/>
          <w:sz w:val="24"/>
          <w:highlight w:val="none"/>
        </w:rPr>
        <w:t>→</w:t>
      </w:r>
      <w:r>
        <w:rPr>
          <w:rFonts w:hint="eastAsia"/>
          <w:color w:val="auto"/>
          <w:sz w:val="24"/>
          <w:highlight w:val="none"/>
        </w:rPr>
        <w:t>Ⅱ</w:t>
      </w:r>
      <w:r>
        <w:rPr>
          <w:color w:val="auto"/>
          <w:sz w:val="24"/>
          <w:highlight w:val="none"/>
        </w:rPr>
        <w:t>Aii－1</w:t>
      </w:r>
      <w:r>
        <w:rPr>
          <w:rFonts w:hint="eastAsia"/>
          <w:color w:val="auto"/>
          <w:sz w:val="24"/>
          <w:highlight w:val="none"/>
        </w:rPr>
        <w:t>滇中、东高原半湿润常绿阔叶林、云南松林区</w:t>
      </w:r>
      <w:r>
        <w:rPr>
          <w:color w:val="auto"/>
          <w:sz w:val="24"/>
          <w:highlight w:val="none"/>
        </w:rPr>
        <w:t>→</w:t>
      </w:r>
      <w:r>
        <w:rPr>
          <w:rFonts w:hint="eastAsia"/>
          <w:color w:val="auto"/>
          <w:sz w:val="24"/>
          <w:highlight w:val="none"/>
        </w:rPr>
        <w:t>Ⅱ</w:t>
      </w:r>
      <w:r>
        <w:rPr>
          <w:color w:val="auto"/>
          <w:sz w:val="24"/>
          <w:highlight w:val="none"/>
        </w:rPr>
        <w:t>Aii－1</w:t>
      </w:r>
      <w:r>
        <w:rPr>
          <w:rFonts w:hint="eastAsia"/>
          <w:color w:val="auto"/>
          <w:sz w:val="24"/>
          <w:highlight w:val="none"/>
        </w:rPr>
        <w:t>a滇中高原盆谷滇青冈林、元江拷林、云南松林亚区</w:t>
      </w:r>
      <w:r>
        <w:rPr>
          <w:color w:val="auto"/>
          <w:sz w:val="24"/>
          <w:highlight w:val="none"/>
        </w:rPr>
        <w:t>。由于评价区处于城市边缘的村庄，项目周边农业生产历史悠久，项目周边平缓或开阔区域大多数已经开垦为耕地，人类活动频繁，对生态影响较大，评价区内现有植物数量较少，种类为地带性常见种，未发现列入重点保护的野生动植物。不涉及古树名木、稀有或濒危物种，不属于重点保护野生动物迁徙的通道，也不涉及风景名胜区。</w:t>
      </w:r>
    </w:p>
    <w:p>
      <w:pPr>
        <w:spacing w:line="360" w:lineRule="auto"/>
        <w:ind w:firstLine="480" w:firstLineChars="200"/>
        <w:rPr>
          <w:color w:val="auto"/>
          <w:sz w:val="24"/>
          <w:highlight w:val="none"/>
        </w:rPr>
      </w:pPr>
      <w:r>
        <w:rPr>
          <w:color w:val="auto"/>
          <w:sz w:val="24"/>
          <w:highlight w:val="none"/>
        </w:rPr>
        <w:t>按照《云南植被》的植被分类原则、单位和系统，以及野外调查、整理资料，项目评价范围内出现的自然植被主要为暖性针叶林和暖温性稀树灌木草丛，人工植被主要为人工林、水浇地栽培植被</w:t>
      </w:r>
      <w:r>
        <w:rPr>
          <w:rFonts w:hint="eastAsia"/>
          <w:color w:val="auto"/>
          <w:sz w:val="24"/>
          <w:highlight w:val="none"/>
        </w:rPr>
        <w:t>和</w:t>
      </w:r>
      <w:r>
        <w:rPr>
          <w:color w:val="auto"/>
          <w:sz w:val="24"/>
          <w:highlight w:val="none"/>
        </w:rPr>
        <w:t>旱地栽培植被。</w:t>
      </w:r>
    </w:p>
    <w:p>
      <w:pPr>
        <w:spacing w:line="360" w:lineRule="auto"/>
        <w:ind w:firstLine="480" w:firstLineChars="200"/>
        <w:rPr>
          <w:b w:val="0"/>
          <w:bCs/>
          <w:color w:val="auto"/>
          <w:sz w:val="24"/>
          <w:highlight w:val="none"/>
        </w:rPr>
      </w:pPr>
      <w:r>
        <w:rPr>
          <w:b w:val="0"/>
          <w:bCs/>
          <w:color w:val="auto"/>
          <w:sz w:val="24"/>
          <w:highlight w:val="none"/>
        </w:rPr>
        <w:t>（1）暖温性针叶林</w:t>
      </w:r>
    </w:p>
    <w:p>
      <w:pPr>
        <w:spacing w:line="360" w:lineRule="auto"/>
        <w:ind w:firstLine="480" w:firstLineChars="200"/>
        <w:rPr>
          <w:rFonts w:hint="eastAsia"/>
          <w:color w:val="auto"/>
          <w:sz w:val="24"/>
          <w:highlight w:val="none"/>
        </w:rPr>
      </w:pPr>
      <w:r>
        <w:rPr>
          <w:color w:val="auto"/>
          <w:sz w:val="24"/>
          <w:highlight w:val="none"/>
        </w:rPr>
        <w:t>该群落类型分布在项目评价区</w:t>
      </w:r>
      <w:r>
        <w:rPr>
          <w:rFonts w:hint="eastAsia"/>
          <w:color w:val="auto"/>
          <w:sz w:val="24"/>
          <w:highlight w:val="none"/>
          <w:lang w:val="en-US" w:eastAsia="zh-CN"/>
        </w:rPr>
        <w:t>东南侧</w:t>
      </w:r>
      <w:r>
        <w:rPr>
          <w:color w:val="auto"/>
          <w:sz w:val="24"/>
          <w:highlight w:val="none"/>
        </w:rPr>
        <w:t>，</w:t>
      </w:r>
      <w:r>
        <w:rPr>
          <w:rFonts w:hint="eastAsia"/>
          <w:color w:val="auto"/>
          <w:sz w:val="24"/>
          <w:highlight w:val="none"/>
        </w:rPr>
        <w:t>项目</w:t>
      </w:r>
      <w:r>
        <w:rPr>
          <w:color w:val="auto"/>
          <w:sz w:val="24"/>
          <w:highlight w:val="none"/>
        </w:rPr>
        <w:t>区内无云南松林分布。云南松林为滇中高原上最为常见，分布最广的群落类型。</w:t>
      </w:r>
    </w:p>
    <w:p>
      <w:pPr>
        <w:spacing w:line="360" w:lineRule="auto"/>
        <w:ind w:firstLine="480" w:firstLineChars="200"/>
        <w:rPr>
          <w:iCs/>
          <w:color w:val="auto"/>
          <w:sz w:val="24"/>
          <w:highlight w:val="none"/>
        </w:rPr>
      </w:pPr>
      <w:r>
        <w:rPr>
          <w:color w:val="auto"/>
          <w:sz w:val="24"/>
          <w:highlight w:val="none"/>
        </w:rPr>
        <w:t>评价区暖温性针叶林</w:t>
      </w:r>
      <w:r>
        <w:rPr>
          <w:iCs/>
          <w:color w:val="auto"/>
          <w:sz w:val="24"/>
          <w:highlight w:val="none"/>
        </w:rPr>
        <w:t>以云南松</w:t>
      </w:r>
      <w:r>
        <w:rPr>
          <w:bCs/>
          <w:i/>
          <w:iCs/>
          <w:color w:val="auto"/>
          <w:sz w:val="24"/>
          <w:highlight w:val="none"/>
        </w:rPr>
        <w:t>Pinus</w:t>
      </w:r>
      <w:r>
        <w:rPr>
          <w:i/>
          <w:iCs/>
          <w:color w:val="auto"/>
          <w:sz w:val="24"/>
          <w:highlight w:val="none"/>
        </w:rPr>
        <w:t xml:space="preserve"> </w:t>
      </w:r>
      <w:r>
        <w:rPr>
          <w:bCs/>
          <w:i/>
          <w:iCs/>
          <w:color w:val="auto"/>
          <w:sz w:val="24"/>
          <w:highlight w:val="none"/>
        </w:rPr>
        <w:t>yunnanensis</w:t>
      </w:r>
      <w:r>
        <w:rPr>
          <w:iCs/>
          <w:color w:val="auto"/>
          <w:sz w:val="24"/>
          <w:highlight w:val="none"/>
        </w:rPr>
        <w:t>为优势种，郁闭度0.60</w:t>
      </w:r>
      <w:r>
        <w:rPr>
          <w:rFonts w:hint="eastAsia"/>
          <w:iCs/>
          <w:color w:val="auto"/>
          <w:sz w:val="24"/>
          <w:highlight w:val="none"/>
        </w:rPr>
        <w:t>~</w:t>
      </w:r>
      <w:r>
        <w:rPr>
          <w:iCs/>
          <w:color w:val="auto"/>
          <w:sz w:val="24"/>
          <w:highlight w:val="none"/>
        </w:rPr>
        <w:t>0.70，树高</w:t>
      </w:r>
      <w:r>
        <w:rPr>
          <w:rFonts w:hint="eastAsia"/>
          <w:iCs/>
          <w:color w:val="auto"/>
          <w:sz w:val="24"/>
          <w:highlight w:val="none"/>
          <w:lang w:val="en-US" w:eastAsia="zh-CN"/>
        </w:rPr>
        <w:t>4.0~6.0</w:t>
      </w:r>
      <w:r>
        <w:rPr>
          <w:iCs/>
          <w:color w:val="auto"/>
          <w:sz w:val="24"/>
          <w:highlight w:val="none"/>
        </w:rPr>
        <w:t>m，平均胸径</w:t>
      </w:r>
      <w:r>
        <w:rPr>
          <w:rFonts w:hint="eastAsia"/>
          <w:iCs/>
          <w:color w:val="auto"/>
          <w:sz w:val="24"/>
          <w:highlight w:val="none"/>
          <w:lang w:val="en-US" w:eastAsia="zh-CN"/>
        </w:rPr>
        <w:t>6.5~10</w:t>
      </w:r>
      <w:r>
        <w:rPr>
          <w:iCs/>
          <w:color w:val="auto"/>
          <w:sz w:val="24"/>
          <w:highlight w:val="none"/>
        </w:rPr>
        <w:t>cm。乔木下层中有散生的栎类和其他树种，如亮叶桦</w:t>
      </w:r>
      <w:r>
        <w:rPr>
          <w:rFonts w:hint="eastAsia"/>
          <w:bCs/>
          <w:i/>
          <w:iCs/>
          <w:color w:val="auto"/>
          <w:sz w:val="24"/>
          <w:highlight w:val="none"/>
        </w:rPr>
        <w:t>Betula</w:t>
      </w:r>
      <w:r>
        <w:rPr>
          <w:rFonts w:hint="eastAsia"/>
          <w:i/>
          <w:iCs/>
          <w:color w:val="auto"/>
          <w:sz w:val="24"/>
          <w:highlight w:val="none"/>
        </w:rPr>
        <w:t xml:space="preserve"> </w:t>
      </w:r>
      <w:r>
        <w:rPr>
          <w:rFonts w:hint="eastAsia"/>
          <w:bCs/>
          <w:i/>
          <w:iCs/>
          <w:color w:val="auto"/>
          <w:sz w:val="24"/>
          <w:highlight w:val="none"/>
        </w:rPr>
        <w:t>luminifera</w:t>
      </w:r>
      <w:r>
        <w:rPr>
          <w:iCs/>
          <w:color w:val="auto"/>
          <w:sz w:val="24"/>
          <w:highlight w:val="none"/>
        </w:rPr>
        <w:t>、栓皮栎</w:t>
      </w:r>
      <w:r>
        <w:rPr>
          <w:i/>
          <w:iCs/>
          <w:color w:val="auto"/>
          <w:sz w:val="24"/>
          <w:highlight w:val="none"/>
        </w:rPr>
        <w:t>Quercus variabilis</w:t>
      </w:r>
      <w:r>
        <w:rPr>
          <w:iCs/>
          <w:color w:val="auto"/>
          <w:sz w:val="24"/>
          <w:highlight w:val="none"/>
        </w:rPr>
        <w:t>、麻栎</w:t>
      </w:r>
      <w:r>
        <w:rPr>
          <w:i/>
          <w:iCs/>
          <w:color w:val="auto"/>
          <w:sz w:val="24"/>
          <w:highlight w:val="none"/>
        </w:rPr>
        <w:t>Quercus acutissima</w:t>
      </w:r>
      <w:r>
        <w:rPr>
          <w:iCs/>
          <w:color w:val="auto"/>
          <w:sz w:val="24"/>
          <w:highlight w:val="none"/>
        </w:rPr>
        <w:t>。灌木层高0.5~</w:t>
      </w:r>
      <w:r>
        <w:rPr>
          <w:rFonts w:hint="eastAsia"/>
          <w:iCs/>
          <w:color w:val="auto"/>
          <w:sz w:val="24"/>
          <w:highlight w:val="none"/>
          <w:lang w:val="en-US" w:eastAsia="zh-CN"/>
        </w:rPr>
        <w:t>1.5</w:t>
      </w:r>
      <w:r>
        <w:rPr>
          <w:iCs/>
          <w:color w:val="auto"/>
          <w:sz w:val="24"/>
          <w:highlight w:val="none"/>
        </w:rPr>
        <w:t>m，层盖度</w:t>
      </w:r>
      <w:r>
        <w:rPr>
          <w:rFonts w:hint="eastAsia"/>
          <w:iCs/>
          <w:color w:val="auto"/>
          <w:sz w:val="24"/>
          <w:highlight w:val="none"/>
          <w:lang w:val="en-US" w:eastAsia="zh-CN"/>
        </w:rPr>
        <w:t>10</w:t>
      </w:r>
      <w:r>
        <w:rPr>
          <w:iCs/>
          <w:color w:val="auto"/>
          <w:sz w:val="24"/>
          <w:highlight w:val="none"/>
        </w:rPr>
        <w:t>%~</w:t>
      </w:r>
      <w:r>
        <w:rPr>
          <w:rFonts w:hint="eastAsia"/>
          <w:iCs/>
          <w:color w:val="auto"/>
          <w:sz w:val="24"/>
          <w:highlight w:val="none"/>
          <w:lang w:val="en-US" w:eastAsia="zh-CN"/>
        </w:rPr>
        <w:t>20</w:t>
      </w:r>
      <w:r>
        <w:rPr>
          <w:iCs/>
          <w:color w:val="auto"/>
          <w:sz w:val="24"/>
          <w:highlight w:val="none"/>
        </w:rPr>
        <w:t>%，分布树种主要有</w:t>
      </w:r>
      <w:r>
        <w:rPr>
          <w:rFonts w:hint="eastAsia"/>
          <w:iCs/>
          <w:color w:val="auto"/>
          <w:sz w:val="24"/>
          <w:highlight w:val="none"/>
        </w:rPr>
        <w:t>栽秧花</w:t>
      </w:r>
      <w:r>
        <w:rPr>
          <w:rFonts w:hint="eastAsia"/>
          <w:bCs/>
          <w:i/>
          <w:iCs/>
          <w:color w:val="auto"/>
          <w:sz w:val="24"/>
          <w:highlight w:val="none"/>
        </w:rPr>
        <w:t xml:space="preserve">Hypericum </w:t>
      </w:r>
      <w:r>
        <w:rPr>
          <w:bCs/>
          <w:i/>
          <w:iCs/>
          <w:color w:val="auto"/>
          <w:sz w:val="24"/>
          <w:highlight w:val="none"/>
        </w:rPr>
        <w:t>beanie</w:t>
      </w:r>
      <w:r>
        <w:rPr>
          <w:iCs/>
          <w:color w:val="auto"/>
          <w:sz w:val="24"/>
          <w:highlight w:val="none"/>
        </w:rPr>
        <w:t>、铁仔</w:t>
      </w:r>
      <w:r>
        <w:rPr>
          <w:bCs/>
          <w:i/>
          <w:iCs/>
          <w:color w:val="auto"/>
          <w:sz w:val="24"/>
          <w:highlight w:val="none"/>
        </w:rPr>
        <w:t>Myrsine</w:t>
      </w:r>
      <w:r>
        <w:rPr>
          <w:i/>
          <w:iCs/>
          <w:color w:val="auto"/>
          <w:sz w:val="24"/>
          <w:highlight w:val="none"/>
        </w:rPr>
        <w:t xml:space="preserve"> </w:t>
      </w:r>
      <w:r>
        <w:rPr>
          <w:bCs/>
          <w:i/>
          <w:iCs/>
          <w:color w:val="auto"/>
          <w:sz w:val="24"/>
          <w:highlight w:val="none"/>
        </w:rPr>
        <w:t>Africana</w:t>
      </w:r>
      <w:r>
        <w:rPr>
          <w:iCs/>
          <w:color w:val="auto"/>
          <w:sz w:val="24"/>
          <w:highlight w:val="none"/>
        </w:rPr>
        <w:t>、火棘</w:t>
      </w:r>
      <w:r>
        <w:rPr>
          <w:bCs/>
          <w:i/>
          <w:iCs/>
          <w:color w:val="auto"/>
          <w:sz w:val="24"/>
          <w:highlight w:val="none"/>
        </w:rPr>
        <w:t>Pyracantha</w:t>
      </w:r>
      <w:r>
        <w:rPr>
          <w:i/>
          <w:iCs/>
          <w:color w:val="auto"/>
          <w:sz w:val="24"/>
          <w:highlight w:val="none"/>
        </w:rPr>
        <w:t xml:space="preserve"> </w:t>
      </w:r>
      <w:r>
        <w:rPr>
          <w:bCs/>
          <w:i/>
          <w:iCs/>
          <w:color w:val="auto"/>
          <w:sz w:val="24"/>
          <w:highlight w:val="none"/>
        </w:rPr>
        <w:t>fortuneana</w:t>
      </w:r>
      <w:r>
        <w:rPr>
          <w:iCs/>
          <w:color w:val="auto"/>
          <w:sz w:val="24"/>
          <w:highlight w:val="none"/>
        </w:rPr>
        <w:t>等。</w:t>
      </w:r>
    </w:p>
    <w:p>
      <w:pPr>
        <w:spacing w:line="360" w:lineRule="auto"/>
        <w:ind w:firstLine="480" w:firstLineChars="200"/>
        <w:rPr>
          <w:color w:val="auto"/>
          <w:sz w:val="24"/>
          <w:highlight w:val="none"/>
        </w:rPr>
      </w:pPr>
      <w:r>
        <w:rPr>
          <w:iCs/>
          <w:color w:val="auto"/>
          <w:sz w:val="24"/>
          <w:highlight w:val="none"/>
        </w:rPr>
        <w:t>由于郁闭度较高，草本植物不丰富，草本层高0.1-0.5m，盖度在7%-10%，主要有铁线蕨</w:t>
      </w:r>
      <w:r>
        <w:rPr>
          <w:bCs/>
          <w:i/>
          <w:iCs/>
          <w:color w:val="auto"/>
          <w:sz w:val="24"/>
          <w:highlight w:val="none"/>
        </w:rPr>
        <w:t>Adiantum</w:t>
      </w:r>
      <w:r>
        <w:rPr>
          <w:i/>
          <w:iCs/>
          <w:color w:val="auto"/>
          <w:sz w:val="24"/>
          <w:highlight w:val="none"/>
        </w:rPr>
        <w:t xml:space="preserve"> </w:t>
      </w:r>
      <w:r>
        <w:rPr>
          <w:bCs/>
          <w:i/>
          <w:iCs/>
          <w:color w:val="auto"/>
          <w:sz w:val="24"/>
          <w:highlight w:val="none"/>
        </w:rPr>
        <w:t>capillus-veneris</w:t>
      </w:r>
      <w:r>
        <w:rPr>
          <w:iCs/>
          <w:color w:val="auto"/>
          <w:sz w:val="24"/>
          <w:highlight w:val="none"/>
        </w:rPr>
        <w:t>、半夏</w:t>
      </w:r>
      <w:r>
        <w:rPr>
          <w:i/>
          <w:iCs/>
          <w:color w:val="auto"/>
          <w:sz w:val="24"/>
          <w:highlight w:val="none"/>
        </w:rPr>
        <w:t>Pinellia ternata</w:t>
      </w:r>
      <w:r>
        <w:rPr>
          <w:iCs/>
          <w:color w:val="auto"/>
          <w:sz w:val="24"/>
          <w:highlight w:val="none"/>
        </w:rPr>
        <w:t>、腺花香茶菜</w:t>
      </w:r>
      <w:r>
        <w:rPr>
          <w:bCs/>
          <w:i/>
          <w:iCs/>
          <w:color w:val="auto"/>
          <w:sz w:val="24"/>
          <w:highlight w:val="none"/>
        </w:rPr>
        <w:t>Isodon</w:t>
      </w:r>
      <w:r>
        <w:rPr>
          <w:i/>
          <w:iCs/>
          <w:color w:val="auto"/>
          <w:sz w:val="24"/>
          <w:highlight w:val="none"/>
        </w:rPr>
        <w:t xml:space="preserve"> </w:t>
      </w:r>
      <w:r>
        <w:rPr>
          <w:bCs/>
          <w:i/>
          <w:iCs/>
          <w:color w:val="auto"/>
          <w:sz w:val="24"/>
          <w:highlight w:val="none"/>
        </w:rPr>
        <w:t>adenanthus</w:t>
      </w:r>
      <w:r>
        <w:rPr>
          <w:iCs/>
          <w:color w:val="auto"/>
          <w:sz w:val="24"/>
          <w:highlight w:val="none"/>
        </w:rPr>
        <w:t>、孟加拉野古草</w:t>
      </w:r>
      <w:r>
        <w:rPr>
          <w:bCs/>
          <w:i/>
          <w:iCs/>
          <w:color w:val="auto"/>
          <w:sz w:val="24"/>
          <w:highlight w:val="none"/>
        </w:rPr>
        <w:t>Arundinella</w:t>
      </w:r>
      <w:r>
        <w:rPr>
          <w:i/>
          <w:iCs/>
          <w:color w:val="auto"/>
          <w:sz w:val="24"/>
          <w:highlight w:val="none"/>
        </w:rPr>
        <w:t xml:space="preserve"> </w:t>
      </w:r>
      <w:r>
        <w:rPr>
          <w:bCs/>
          <w:i/>
          <w:iCs/>
          <w:color w:val="auto"/>
          <w:sz w:val="24"/>
          <w:highlight w:val="none"/>
        </w:rPr>
        <w:t>bengalensis</w:t>
      </w:r>
      <w:r>
        <w:rPr>
          <w:iCs/>
          <w:color w:val="auto"/>
          <w:sz w:val="24"/>
          <w:highlight w:val="none"/>
        </w:rPr>
        <w:t>、旱茅</w:t>
      </w:r>
      <w:r>
        <w:rPr>
          <w:bCs/>
          <w:i/>
          <w:color w:val="auto"/>
          <w:sz w:val="24"/>
          <w:highlight w:val="none"/>
          <w:shd w:val="clear" w:color="auto" w:fill="FFFFFF"/>
        </w:rPr>
        <w:t>Schizachyrium</w:t>
      </w:r>
      <w:r>
        <w:rPr>
          <w:i/>
          <w:color w:val="auto"/>
          <w:sz w:val="24"/>
          <w:highlight w:val="none"/>
          <w:shd w:val="clear" w:color="auto" w:fill="FFFFFF"/>
        </w:rPr>
        <w:t xml:space="preserve"> </w:t>
      </w:r>
      <w:r>
        <w:rPr>
          <w:bCs/>
          <w:i/>
          <w:color w:val="auto"/>
          <w:sz w:val="24"/>
          <w:highlight w:val="none"/>
          <w:shd w:val="clear" w:color="auto" w:fill="FFFFFF"/>
        </w:rPr>
        <w:t>delavayi</w:t>
      </w:r>
      <w:r>
        <w:rPr>
          <w:iCs/>
          <w:color w:val="auto"/>
          <w:sz w:val="24"/>
          <w:highlight w:val="none"/>
        </w:rPr>
        <w:t>、四脉金茅</w:t>
      </w:r>
      <w:r>
        <w:rPr>
          <w:bCs/>
          <w:i/>
          <w:iCs/>
          <w:color w:val="auto"/>
          <w:sz w:val="24"/>
          <w:highlight w:val="none"/>
        </w:rPr>
        <w:t>Eulalia</w:t>
      </w:r>
      <w:r>
        <w:rPr>
          <w:i/>
          <w:iCs/>
          <w:color w:val="auto"/>
          <w:sz w:val="24"/>
          <w:highlight w:val="none"/>
        </w:rPr>
        <w:t xml:space="preserve"> </w:t>
      </w:r>
      <w:r>
        <w:rPr>
          <w:bCs/>
          <w:i/>
          <w:iCs/>
          <w:color w:val="auto"/>
          <w:sz w:val="24"/>
          <w:highlight w:val="none"/>
        </w:rPr>
        <w:t>quadrinervis</w:t>
      </w:r>
      <w:r>
        <w:rPr>
          <w:iCs/>
          <w:color w:val="auto"/>
          <w:sz w:val="24"/>
          <w:highlight w:val="none"/>
        </w:rPr>
        <w:t>等。</w:t>
      </w:r>
    </w:p>
    <w:p>
      <w:pPr>
        <w:spacing w:line="360" w:lineRule="auto"/>
        <w:ind w:firstLine="480" w:firstLineChars="200"/>
        <w:rPr>
          <w:b w:val="0"/>
          <w:bCs/>
          <w:color w:val="auto"/>
          <w:sz w:val="24"/>
          <w:highlight w:val="none"/>
        </w:rPr>
      </w:pPr>
      <w:r>
        <w:rPr>
          <w:b w:val="0"/>
          <w:bCs/>
          <w:color w:val="auto"/>
          <w:sz w:val="24"/>
          <w:highlight w:val="none"/>
        </w:rPr>
        <w:t>（</w:t>
      </w:r>
      <w:r>
        <w:rPr>
          <w:rFonts w:hint="eastAsia"/>
          <w:b w:val="0"/>
          <w:bCs/>
          <w:color w:val="auto"/>
          <w:sz w:val="24"/>
          <w:highlight w:val="none"/>
        </w:rPr>
        <w:t>2</w:t>
      </w:r>
      <w:r>
        <w:rPr>
          <w:b w:val="0"/>
          <w:bCs/>
          <w:color w:val="auto"/>
          <w:sz w:val="24"/>
          <w:highlight w:val="none"/>
        </w:rPr>
        <w:t>）暖温性稀树灌木草丛</w:t>
      </w:r>
    </w:p>
    <w:p>
      <w:pPr>
        <w:spacing w:line="360" w:lineRule="auto"/>
        <w:ind w:firstLine="480" w:firstLineChars="200"/>
        <w:rPr>
          <w:color w:val="auto"/>
          <w:sz w:val="24"/>
          <w:highlight w:val="none"/>
        </w:rPr>
      </w:pPr>
      <w:r>
        <w:rPr>
          <w:color w:val="auto"/>
          <w:sz w:val="24"/>
          <w:highlight w:val="none"/>
        </w:rPr>
        <w:t>稀树灌木草丛是评价区分布十分广泛的次生植被类型。群落以草丛为主，其间散生灌木和乔木。灌木一般低矮，有时高度不及草丛。散生的乔木一般生长不良。群落结构不稳定，乔木、灌木和草丛三者的比例常随地而异；甚至于有灌木而无乔木；或有乔木而少见灌木；或乔灌木皆无而为一片草丛。草丛的自然生长高度与生境的水热状况有关。一般暖热而偏湿的</w:t>
      </w:r>
      <w:r>
        <w:rPr>
          <w:rFonts w:hint="eastAsia"/>
          <w:color w:val="auto"/>
          <w:sz w:val="24"/>
          <w:highlight w:val="none"/>
          <w:lang w:eastAsia="zh-CN"/>
        </w:rPr>
        <w:t>生长环境以</w:t>
      </w:r>
      <w:r>
        <w:rPr>
          <w:color w:val="auto"/>
          <w:sz w:val="24"/>
          <w:highlight w:val="none"/>
        </w:rPr>
        <w:t>高草草丛为主；温而过湿或过干处则以低草为主。评价区的稀树灌木草丛主要是暖温性稀树灌木草丛。主要分布于路边、撂荒地等受人为影响严重的地段。</w:t>
      </w:r>
    </w:p>
    <w:p>
      <w:pPr>
        <w:spacing w:line="360" w:lineRule="auto"/>
        <w:ind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灌丛</w:t>
      </w:r>
    </w:p>
    <w:p>
      <w:pPr>
        <w:spacing w:line="360" w:lineRule="auto"/>
        <w:ind w:firstLine="480" w:firstLineChars="200"/>
        <w:rPr>
          <w:rFonts w:hint="eastAsia"/>
          <w:iCs/>
          <w:color w:val="auto"/>
          <w:sz w:val="24"/>
          <w:highlight w:val="none"/>
        </w:rPr>
      </w:pPr>
      <w:r>
        <w:rPr>
          <w:rFonts w:hint="eastAsia"/>
          <w:iCs/>
          <w:color w:val="auto"/>
          <w:sz w:val="24"/>
          <w:highlight w:val="none"/>
        </w:rPr>
        <w:t>灌丛在评价区内数量较少</w:t>
      </w:r>
      <w:r>
        <w:rPr>
          <w:iCs/>
          <w:color w:val="auto"/>
          <w:sz w:val="24"/>
          <w:highlight w:val="none"/>
        </w:rPr>
        <w:t>，平均高度为1.</w:t>
      </w:r>
      <w:r>
        <w:rPr>
          <w:rFonts w:hint="eastAsia"/>
          <w:iCs/>
          <w:color w:val="auto"/>
          <w:sz w:val="24"/>
          <w:highlight w:val="none"/>
        </w:rPr>
        <w:t>5</w:t>
      </w:r>
      <w:r>
        <w:rPr>
          <w:iCs/>
          <w:color w:val="auto"/>
          <w:sz w:val="24"/>
          <w:highlight w:val="none"/>
        </w:rPr>
        <w:t>m，盖度为</w:t>
      </w:r>
      <w:r>
        <w:rPr>
          <w:rFonts w:hint="eastAsia"/>
          <w:iCs/>
          <w:color w:val="auto"/>
          <w:sz w:val="24"/>
          <w:highlight w:val="none"/>
        </w:rPr>
        <w:t>5</w:t>
      </w:r>
      <w:r>
        <w:rPr>
          <w:iCs/>
          <w:color w:val="auto"/>
          <w:sz w:val="24"/>
          <w:highlight w:val="none"/>
        </w:rPr>
        <w:t>%</w:t>
      </w:r>
      <w:r>
        <w:rPr>
          <w:rFonts w:hint="eastAsia"/>
          <w:iCs/>
          <w:color w:val="auto"/>
          <w:sz w:val="24"/>
          <w:highlight w:val="none"/>
        </w:rPr>
        <w:t>~10</w:t>
      </w:r>
      <w:r>
        <w:rPr>
          <w:iCs/>
          <w:color w:val="auto"/>
          <w:sz w:val="24"/>
          <w:highlight w:val="none"/>
        </w:rPr>
        <w:t>%。该常见的有火棘</w:t>
      </w:r>
      <w:r>
        <w:rPr>
          <w:bCs/>
          <w:i/>
          <w:iCs/>
          <w:color w:val="auto"/>
          <w:sz w:val="24"/>
          <w:highlight w:val="none"/>
        </w:rPr>
        <w:t>Pyracantha</w:t>
      </w:r>
      <w:r>
        <w:rPr>
          <w:i/>
          <w:iCs/>
          <w:color w:val="auto"/>
          <w:sz w:val="24"/>
          <w:highlight w:val="none"/>
        </w:rPr>
        <w:t xml:space="preserve"> </w:t>
      </w:r>
      <w:r>
        <w:rPr>
          <w:bCs/>
          <w:i/>
          <w:iCs/>
          <w:color w:val="auto"/>
          <w:sz w:val="24"/>
          <w:highlight w:val="none"/>
        </w:rPr>
        <w:t>fortuneana</w:t>
      </w:r>
      <w:r>
        <w:rPr>
          <w:iCs/>
          <w:color w:val="auto"/>
          <w:sz w:val="24"/>
          <w:highlight w:val="none"/>
        </w:rPr>
        <w:t>、</w:t>
      </w:r>
      <w:r>
        <w:rPr>
          <w:rFonts w:hint="eastAsia"/>
          <w:iCs/>
          <w:color w:val="auto"/>
          <w:sz w:val="24"/>
          <w:highlight w:val="none"/>
        </w:rPr>
        <w:t>栽秧花</w:t>
      </w:r>
      <w:r>
        <w:rPr>
          <w:rFonts w:hint="eastAsia"/>
          <w:bCs/>
          <w:i/>
          <w:iCs/>
          <w:color w:val="auto"/>
          <w:sz w:val="24"/>
          <w:highlight w:val="none"/>
        </w:rPr>
        <w:t xml:space="preserve">Hypericum </w:t>
      </w:r>
      <w:r>
        <w:rPr>
          <w:bCs/>
          <w:i/>
          <w:iCs/>
          <w:color w:val="auto"/>
          <w:sz w:val="24"/>
          <w:highlight w:val="none"/>
        </w:rPr>
        <w:t>beanie</w:t>
      </w:r>
      <w:r>
        <w:rPr>
          <w:iCs/>
          <w:color w:val="auto"/>
          <w:sz w:val="24"/>
          <w:highlight w:val="none"/>
        </w:rPr>
        <w:t>、扁核木</w:t>
      </w:r>
      <w:r>
        <w:rPr>
          <w:bCs/>
          <w:i/>
          <w:iCs/>
          <w:color w:val="auto"/>
          <w:sz w:val="24"/>
          <w:highlight w:val="none"/>
        </w:rPr>
        <w:t>Prinsepia</w:t>
      </w:r>
      <w:r>
        <w:rPr>
          <w:i/>
          <w:iCs/>
          <w:color w:val="auto"/>
          <w:sz w:val="24"/>
          <w:highlight w:val="none"/>
        </w:rPr>
        <w:t xml:space="preserve"> </w:t>
      </w:r>
      <w:r>
        <w:rPr>
          <w:bCs/>
          <w:i/>
          <w:iCs/>
          <w:color w:val="auto"/>
          <w:sz w:val="24"/>
          <w:highlight w:val="none"/>
        </w:rPr>
        <w:t>utilis</w:t>
      </w:r>
      <w:r>
        <w:rPr>
          <w:bCs/>
          <w:iCs/>
          <w:color w:val="auto"/>
          <w:sz w:val="24"/>
          <w:highlight w:val="none"/>
        </w:rPr>
        <w:t>、</w:t>
      </w:r>
      <w:r>
        <w:rPr>
          <w:rFonts w:hint="eastAsia"/>
          <w:bCs/>
          <w:iCs/>
          <w:color w:val="auto"/>
          <w:sz w:val="24"/>
          <w:highlight w:val="none"/>
        </w:rPr>
        <w:t>珍珠</w:t>
      </w:r>
      <w:r>
        <w:rPr>
          <w:bCs/>
          <w:iCs/>
          <w:color w:val="auto"/>
          <w:sz w:val="24"/>
          <w:highlight w:val="none"/>
        </w:rPr>
        <w:t>花</w:t>
      </w:r>
      <w:r>
        <w:rPr>
          <w:bCs/>
          <w:i/>
          <w:iCs/>
          <w:color w:val="auto"/>
          <w:sz w:val="24"/>
          <w:highlight w:val="none"/>
        </w:rPr>
        <w:t>Lyonia ovalifolia</w:t>
      </w:r>
      <w:r>
        <w:rPr>
          <w:bCs/>
          <w:iCs/>
          <w:color w:val="auto"/>
          <w:sz w:val="24"/>
          <w:highlight w:val="none"/>
        </w:rPr>
        <w:t>、马桑</w:t>
      </w:r>
      <w:r>
        <w:rPr>
          <w:bCs/>
          <w:i/>
          <w:iCs/>
          <w:color w:val="auto"/>
          <w:sz w:val="24"/>
          <w:highlight w:val="none"/>
        </w:rPr>
        <w:t>Coriaria nepalensis</w:t>
      </w:r>
      <w:r>
        <w:rPr>
          <w:bCs/>
          <w:iCs/>
          <w:color w:val="auto"/>
          <w:sz w:val="24"/>
          <w:highlight w:val="none"/>
        </w:rPr>
        <w:t>、</w:t>
      </w:r>
      <w:r>
        <w:rPr>
          <w:rFonts w:hint="eastAsia"/>
          <w:bCs/>
          <w:iCs/>
          <w:color w:val="auto"/>
          <w:sz w:val="24"/>
          <w:highlight w:val="none"/>
        </w:rPr>
        <w:t>白背枫</w:t>
      </w:r>
      <w:r>
        <w:rPr>
          <w:bCs/>
          <w:i/>
          <w:iCs/>
          <w:color w:val="auto"/>
          <w:sz w:val="24"/>
          <w:highlight w:val="none"/>
        </w:rPr>
        <w:t>Buddleja asiatica</w:t>
      </w:r>
      <w:r>
        <w:rPr>
          <w:iCs/>
          <w:color w:val="auto"/>
          <w:sz w:val="24"/>
          <w:highlight w:val="none"/>
        </w:rPr>
        <w:t>等。</w:t>
      </w:r>
      <w:r>
        <w:rPr>
          <w:color w:val="auto"/>
          <w:sz w:val="24"/>
          <w:highlight w:val="none"/>
        </w:rPr>
        <w:t>草本层高0.1~0.6米，盖度通常在</w:t>
      </w:r>
      <w:r>
        <w:rPr>
          <w:rFonts w:hint="eastAsia"/>
          <w:color w:val="auto"/>
          <w:sz w:val="24"/>
          <w:highlight w:val="none"/>
          <w:lang w:val="en-US" w:eastAsia="zh-CN"/>
        </w:rPr>
        <w:t>1</w:t>
      </w:r>
      <w:r>
        <w:rPr>
          <w:color w:val="auto"/>
          <w:sz w:val="24"/>
          <w:highlight w:val="none"/>
        </w:rPr>
        <w:t>0%左右，常见的种类有</w:t>
      </w:r>
      <w:r>
        <w:rPr>
          <w:iCs/>
          <w:color w:val="auto"/>
          <w:sz w:val="24"/>
          <w:highlight w:val="none"/>
        </w:rPr>
        <w:t>孟加拉野古草</w:t>
      </w:r>
      <w:r>
        <w:rPr>
          <w:bCs/>
          <w:i/>
          <w:iCs/>
          <w:color w:val="auto"/>
          <w:sz w:val="24"/>
          <w:highlight w:val="none"/>
        </w:rPr>
        <w:t>Arundinella</w:t>
      </w:r>
      <w:r>
        <w:rPr>
          <w:i/>
          <w:iCs/>
          <w:color w:val="auto"/>
          <w:sz w:val="24"/>
          <w:highlight w:val="none"/>
        </w:rPr>
        <w:t xml:space="preserve"> </w:t>
      </w:r>
      <w:r>
        <w:rPr>
          <w:bCs/>
          <w:i/>
          <w:iCs/>
          <w:color w:val="auto"/>
          <w:sz w:val="24"/>
          <w:highlight w:val="none"/>
        </w:rPr>
        <w:t>bengalensis</w:t>
      </w:r>
      <w:r>
        <w:rPr>
          <w:iCs/>
          <w:color w:val="auto"/>
          <w:sz w:val="24"/>
          <w:highlight w:val="none"/>
        </w:rPr>
        <w:t>、旱茅</w:t>
      </w:r>
      <w:r>
        <w:rPr>
          <w:bCs/>
          <w:i/>
          <w:color w:val="auto"/>
          <w:highlight w:val="none"/>
          <w:shd w:val="clear" w:color="auto" w:fill="FFFFFF"/>
        </w:rPr>
        <w:t>Schizachyrium</w:t>
      </w:r>
      <w:r>
        <w:rPr>
          <w:i/>
          <w:color w:val="auto"/>
          <w:sz w:val="24"/>
          <w:highlight w:val="none"/>
          <w:shd w:val="clear" w:color="auto" w:fill="FFFFFF"/>
        </w:rPr>
        <w:t xml:space="preserve"> </w:t>
      </w:r>
      <w:r>
        <w:rPr>
          <w:bCs/>
          <w:i/>
          <w:color w:val="auto"/>
          <w:highlight w:val="none"/>
          <w:shd w:val="clear" w:color="auto" w:fill="FFFFFF"/>
        </w:rPr>
        <w:t>delavayi</w:t>
      </w:r>
      <w:r>
        <w:rPr>
          <w:color w:val="auto"/>
          <w:sz w:val="24"/>
          <w:highlight w:val="none"/>
          <w:shd w:val="clear" w:color="auto" w:fill="FFFFFF"/>
        </w:rPr>
        <w:t>、</w:t>
      </w:r>
      <w:r>
        <w:rPr>
          <w:color w:val="auto"/>
          <w:sz w:val="24"/>
          <w:highlight w:val="none"/>
        </w:rPr>
        <w:t>白茅</w:t>
      </w:r>
      <w:r>
        <w:rPr>
          <w:i/>
          <w:iCs/>
          <w:color w:val="auto"/>
          <w:sz w:val="24"/>
          <w:highlight w:val="none"/>
        </w:rPr>
        <w:t>Imperata cylindrica、</w:t>
      </w:r>
      <w:r>
        <w:rPr>
          <w:rFonts w:hint="eastAsia"/>
          <w:bCs/>
          <w:iCs/>
          <w:color w:val="auto"/>
          <w:sz w:val="24"/>
          <w:highlight w:val="none"/>
        </w:rPr>
        <w:t>飞机草</w:t>
      </w:r>
      <w:r>
        <w:rPr>
          <w:bCs/>
          <w:i/>
          <w:iCs/>
          <w:color w:val="auto"/>
          <w:sz w:val="24"/>
          <w:highlight w:val="none"/>
        </w:rPr>
        <w:t>Chromolaena odorata</w:t>
      </w:r>
      <w:r>
        <w:rPr>
          <w:bCs/>
          <w:iCs/>
          <w:color w:val="auto"/>
          <w:sz w:val="24"/>
          <w:highlight w:val="none"/>
        </w:rPr>
        <w:t>、牛膝菊</w:t>
      </w:r>
      <w:r>
        <w:rPr>
          <w:bCs/>
          <w:i/>
          <w:iCs/>
          <w:color w:val="auto"/>
          <w:sz w:val="24"/>
          <w:highlight w:val="none"/>
        </w:rPr>
        <w:t>Galinsoga parviflora</w:t>
      </w:r>
      <w:r>
        <w:rPr>
          <w:bCs/>
          <w:iCs/>
          <w:color w:val="auto"/>
          <w:sz w:val="24"/>
          <w:highlight w:val="none"/>
        </w:rPr>
        <w:t>、牛筋草</w:t>
      </w:r>
      <w:r>
        <w:rPr>
          <w:bCs/>
          <w:i/>
          <w:iCs/>
          <w:color w:val="auto"/>
          <w:sz w:val="24"/>
          <w:highlight w:val="none"/>
        </w:rPr>
        <w:t>Eleusine indica</w:t>
      </w:r>
      <w:r>
        <w:rPr>
          <w:bCs/>
          <w:iCs/>
          <w:color w:val="auto"/>
          <w:sz w:val="24"/>
          <w:highlight w:val="none"/>
        </w:rPr>
        <w:t>、狗牙根</w:t>
      </w:r>
      <w:r>
        <w:rPr>
          <w:bCs/>
          <w:i/>
          <w:iCs/>
          <w:color w:val="auto"/>
          <w:sz w:val="24"/>
          <w:highlight w:val="none"/>
        </w:rPr>
        <w:t>Cynodon dactylon</w:t>
      </w:r>
      <w:r>
        <w:rPr>
          <w:color w:val="auto"/>
          <w:sz w:val="24"/>
          <w:highlight w:val="none"/>
        </w:rPr>
        <w:t>等。</w:t>
      </w:r>
    </w:p>
    <w:p>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草丛</w:t>
      </w:r>
    </w:p>
    <w:p>
      <w:pPr>
        <w:spacing w:line="360" w:lineRule="auto"/>
        <w:ind w:firstLine="480" w:firstLineChars="200"/>
        <w:rPr>
          <w:rFonts w:hint="eastAsia"/>
          <w:color w:val="auto"/>
          <w:sz w:val="24"/>
          <w:highlight w:val="none"/>
        </w:rPr>
      </w:pPr>
      <w:r>
        <w:rPr>
          <w:color w:val="auto"/>
          <w:sz w:val="24"/>
          <w:highlight w:val="none"/>
        </w:rPr>
        <w:t>群落以草丛为主要层，多数为</w:t>
      </w:r>
      <w:r>
        <w:rPr>
          <w:rFonts w:hint="eastAsia"/>
          <w:color w:val="auto"/>
          <w:sz w:val="24"/>
          <w:highlight w:val="none"/>
        </w:rPr>
        <w:t>低</w:t>
      </w:r>
      <w:r>
        <w:rPr>
          <w:color w:val="auto"/>
          <w:sz w:val="24"/>
          <w:highlight w:val="none"/>
        </w:rPr>
        <w:t>草草丛，</w:t>
      </w:r>
      <w:r>
        <w:rPr>
          <w:rFonts w:hint="eastAsia"/>
          <w:color w:val="auto"/>
          <w:sz w:val="24"/>
          <w:highlight w:val="none"/>
        </w:rPr>
        <w:t>主要</w:t>
      </w:r>
      <w:r>
        <w:rPr>
          <w:color w:val="auto"/>
          <w:sz w:val="24"/>
          <w:highlight w:val="none"/>
        </w:rPr>
        <w:t>以禾本科为优势种，平均高度为</w:t>
      </w:r>
      <w:r>
        <w:rPr>
          <w:rFonts w:hint="eastAsia"/>
          <w:color w:val="auto"/>
          <w:sz w:val="24"/>
          <w:highlight w:val="none"/>
        </w:rPr>
        <w:t>1.0</w:t>
      </w:r>
      <w:r>
        <w:rPr>
          <w:color w:val="auto"/>
          <w:sz w:val="24"/>
          <w:highlight w:val="none"/>
        </w:rPr>
        <w:t>m</w:t>
      </w:r>
      <w:r>
        <w:rPr>
          <w:rFonts w:hint="eastAsia"/>
          <w:color w:val="auto"/>
          <w:sz w:val="24"/>
          <w:highlight w:val="none"/>
        </w:rPr>
        <w:t>，</w:t>
      </w:r>
      <w:r>
        <w:rPr>
          <w:color w:val="auto"/>
          <w:sz w:val="24"/>
          <w:highlight w:val="none"/>
        </w:rPr>
        <w:t>盖度为</w:t>
      </w:r>
      <w:r>
        <w:rPr>
          <w:rFonts w:hint="eastAsia"/>
          <w:color w:val="auto"/>
          <w:sz w:val="24"/>
          <w:highlight w:val="none"/>
          <w:lang w:val="en-US" w:eastAsia="zh-CN"/>
        </w:rPr>
        <w:t>4</w:t>
      </w:r>
      <w:r>
        <w:rPr>
          <w:color w:val="auto"/>
          <w:sz w:val="24"/>
          <w:highlight w:val="none"/>
        </w:rPr>
        <w:t>0%</w:t>
      </w:r>
      <w:r>
        <w:rPr>
          <w:rFonts w:hint="eastAsia"/>
          <w:color w:val="auto"/>
          <w:sz w:val="24"/>
          <w:highlight w:val="none"/>
        </w:rPr>
        <w:t>。</w:t>
      </w:r>
      <w:r>
        <w:rPr>
          <w:color w:val="auto"/>
          <w:sz w:val="24"/>
          <w:highlight w:val="none"/>
        </w:rPr>
        <w:t>其他常见的草本种类有：鬼针草</w:t>
      </w:r>
      <w:r>
        <w:rPr>
          <w:i/>
          <w:color w:val="auto"/>
          <w:sz w:val="24"/>
          <w:highlight w:val="none"/>
        </w:rPr>
        <w:t>Bidens bipinnata</w:t>
      </w:r>
      <w:r>
        <w:rPr>
          <w:color w:val="auto"/>
          <w:sz w:val="24"/>
          <w:highlight w:val="none"/>
        </w:rPr>
        <w:t>、飞机草</w:t>
      </w:r>
      <w:r>
        <w:rPr>
          <w:bCs/>
          <w:i/>
          <w:color w:val="auto"/>
          <w:sz w:val="24"/>
          <w:highlight w:val="none"/>
        </w:rPr>
        <w:t>Chromolaena</w:t>
      </w:r>
      <w:r>
        <w:rPr>
          <w:i/>
          <w:color w:val="auto"/>
          <w:sz w:val="24"/>
          <w:highlight w:val="none"/>
        </w:rPr>
        <w:t xml:space="preserve"> </w:t>
      </w:r>
      <w:r>
        <w:rPr>
          <w:bCs/>
          <w:i/>
          <w:color w:val="auto"/>
          <w:sz w:val="24"/>
          <w:highlight w:val="none"/>
        </w:rPr>
        <w:t>odorata</w:t>
      </w:r>
      <w:r>
        <w:rPr>
          <w:color w:val="auto"/>
          <w:sz w:val="24"/>
          <w:highlight w:val="none"/>
        </w:rPr>
        <w:t>、孟加拉野古草</w:t>
      </w:r>
      <w:r>
        <w:rPr>
          <w:bCs/>
          <w:i/>
          <w:color w:val="auto"/>
          <w:sz w:val="24"/>
          <w:highlight w:val="none"/>
        </w:rPr>
        <w:t>Arundinella</w:t>
      </w:r>
      <w:r>
        <w:rPr>
          <w:i/>
          <w:color w:val="auto"/>
          <w:sz w:val="24"/>
          <w:highlight w:val="none"/>
        </w:rPr>
        <w:t xml:space="preserve"> </w:t>
      </w:r>
      <w:r>
        <w:rPr>
          <w:bCs/>
          <w:i/>
          <w:color w:val="auto"/>
          <w:sz w:val="24"/>
          <w:highlight w:val="none"/>
        </w:rPr>
        <w:t>bengalensis</w:t>
      </w:r>
      <w:r>
        <w:rPr>
          <w:color w:val="auto"/>
          <w:sz w:val="24"/>
          <w:highlight w:val="none"/>
        </w:rPr>
        <w:t>、狗牙根</w:t>
      </w:r>
      <w:r>
        <w:rPr>
          <w:i/>
          <w:color w:val="auto"/>
          <w:sz w:val="24"/>
          <w:highlight w:val="none"/>
        </w:rPr>
        <w:t>Cynodon dactylon</w:t>
      </w:r>
      <w:r>
        <w:rPr>
          <w:color w:val="auto"/>
          <w:sz w:val="24"/>
          <w:highlight w:val="none"/>
        </w:rPr>
        <w:t>、孔颖草</w:t>
      </w:r>
      <w:r>
        <w:rPr>
          <w:i/>
          <w:color w:val="auto"/>
          <w:sz w:val="24"/>
          <w:highlight w:val="none"/>
        </w:rPr>
        <w:t>Bothriochloa pertusa</w:t>
      </w:r>
      <w:r>
        <w:rPr>
          <w:color w:val="auto"/>
          <w:sz w:val="24"/>
          <w:highlight w:val="none"/>
        </w:rPr>
        <w:t>、刚莠竹</w:t>
      </w:r>
      <w:r>
        <w:rPr>
          <w:i/>
          <w:color w:val="auto"/>
          <w:sz w:val="24"/>
          <w:highlight w:val="none"/>
        </w:rPr>
        <w:t>Microstegium ciliatum</w:t>
      </w:r>
      <w:r>
        <w:rPr>
          <w:color w:val="auto"/>
          <w:sz w:val="24"/>
          <w:highlight w:val="none"/>
        </w:rPr>
        <w:t>、牛筋草</w:t>
      </w:r>
      <w:r>
        <w:rPr>
          <w:i/>
          <w:color w:val="auto"/>
          <w:sz w:val="24"/>
          <w:highlight w:val="none"/>
        </w:rPr>
        <w:t>Eleusine indica</w:t>
      </w:r>
      <w:r>
        <w:rPr>
          <w:rFonts w:hint="eastAsia"/>
          <w:color w:val="auto"/>
          <w:sz w:val="24"/>
          <w:highlight w:val="none"/>
        </w:rPr>
        <w:t>、</w:t>
      </w:r>
      <w:r>
        <w:rPr>
          <w:color w:val="auto"/>
          <w:sz w:val="24"/>
          <w:highlight w:val="none"/>
        </w:rPr>
        <w:t>矮蒿</w:t>
      </w:r>
      <w:r>
        <w:rPr>
          <w:bCs/>
          <w:i/>
          <w:color w:val="auto"/>
          <w:sz w:val="24"/>
          <w:highlight w:val="none"/>
        </w:rPr>
        <w:t>Artemisia</w:t>
      </w:r>
      <w:r>
        <w:rPr>
          <w:i/>
          <w:color w:val="auto"/>
          <w:sz w:val="24"/>
          <w:highlight w:val="none"/>
        </w:rPr>
        <w:t xml:space="preserve"> </w:t>
      </w:r>
      <w:r>
        <w:rPr>
          <w:bCs/>
          <w:i/>
          <w:color w:val="auto"/>
          <w:sz w:val="24"/>
          <w:highlight w:val="none"/>
        </w:rPr>
        <w:t>lancea</w:t>
      </w:r>
      <w:r>
        <w:rPr>
          <w:color w:val="auto"/>
          <w:sz w:val="24"/>
          <w:highlight w:val="none"/>
        </w:rPr>
        <w:t>等，高度在10-</w:t>
      </w:r>
      <w:r>
        <w:rPr>
          <w:rFonts w:hint="eastAsia"/>
          <w:color w:val="auto"/>
          <w:sz w:val="24"/>
          <w:highlight w:val="none"/>
          <w:lang w:val="en-US" w:eastAsia="zh-CN"/>
        </w:rPr>
        <w:t>4</w:t>
      </w:r>
      <w:r>
        <w:rPr>
          <w:color w:val="auto"/>
          <w:sz w:val="24"/>
          <w:highlight w:val="none"/>
        </w:rPr>
        <w:t>0cm左右，盖度在</w:t>
      </w:r>
      <w:r>
        <w:rPr>
          <w:rFonts w:hint="eastAsia"/>
          <w:color w:val="auto"/>
          <w:sz w:val="24"/>
          <w:highlight w:val="none"/>
          <w:lang w:val="en-US" w:eastAsia="zh-CN"/>
        </w:rPr>
        <w:t>4</w:t>
      </w:r>
      <w:r>
        <w:rPr>
          <w:color w:val="auto"/>
          <w:sz w:val="24"/>
          <w:highlight w:val="none"/>
        </w:rPr>
        <w:t>0%以上。</w:t>
      </w:r>
      <w:r>
        <w:rPr>
          <w:bCs/>
          <w:color w:val="auto"/>
          <w:sz w:val="24"/>
          <w:highlight w:val="none"/>
          <w:lang w:val="it-IT"/>
        </w:rPr>
        <w:t>在人为干扰较为严重的地段，</w:t>
      </w:r>
      <w:r>
        <w:rPr>
          <w:rFonts w:hint="eastAsia"/>
          <w:bCs/>
          <w:color w:val="auto"/>
          <w:sz w:val="24"/>
          <w:highlight w:val="none"/>
          <w:lang w:val="it-IT" w:eastAsia="zh-CN"/>
        </w:rPr>
        <w:t>如</w:t>
      </w:r>
      <w:r>
        <w:rPr>
          <w:rFonts w:hint="eastAsia"/>
          <w:bCs/>
          <w:color w:val="auto"/>
          <w:sz w:val="24"/>
          <w:highlight w:val="none"/>
          <w:lang w:val="it-IT"/>
        </w:rPr>
        <w:t>路</w:t>
      </w:r>
      <w:r>
        <w:rPr>
          <w:bCs/>
          <w:color w:val="auto"/>
          <w:sz w:val="24"/>
          <w:highlight w:val="none"/>
          <w:lang w:val="it-IT"/>
        </w:rPr>
        <w:t>边、耕地旁，</w:t>
      </w:r>
      <w:r>
        <w:rPr>
          <w:bCs/>
          <w:color w:val="auto"/>
          <w:sz w:val="24"/>
          <w:highlight w:val="none"/>
          <w:lang w:val="es-ES"/>
        </w:rPr>
        <w:t>飞机草</w:t>
      </w:r>
      <w:r>
        <w:rPr>
          <w:i/>
          <w:color w:val="auto"/>
          <w:sz w:val="24"/>
          <w:highlight w:val="none"/>
          <w:lang w:val="de-DE"/>
        </w:rPr>
        <w:t>Eupatorium odoratum L</w:t>
      </w:r>
      <w:r>
        <w:rPr>
          <w:bCs/>
          <w:color w:val="auto"/>
          <w:sz w:val="24"/>
          <w:highlight w:val="none"/>
          <w:lang w:val="es-ES"/>
        </w:rPr>
        <w:t>.成为优势种，其它草本植物还有</w:t>
      </w:r>
      <w:r>
        <w:rPr>
          <w:rFonts w:hint="eastAsia"/>
          <w:color w:val="auto"/>
          <w:sz w:val="24"/>
          <w:highlight w:val="none"/>
        </w:rPr>
        <w:t>马缨丹</w:t>
      </w:r>
      <w:r>
        <w:rPr>
          <w:i/>
          <w:color w:val="auto"/>
          <w:sz w:val="24"/>
          <w:highlight w:val="none"/>
          <w:lang w:val="de-DE"/>
        </w:rPr>
        <w:t>Lantana camara</w:t>
      </w:r>
      <w:r>
        <w:rPr>
          <w:iCs/>
          <w:color w:val="auto"/>
          <w:sz w:val="24"/>
          <w:highlight w:val="none"/>
        </w:rPr>
        <w:t>、</w:t>
      </w:r>
      <w:r>
        <w:rPr>
          <w:bCs/>
          <w:color w:val="auto"/>
          <w:sz w:val="24"/>
          <w:highlight w:val="none"/>
        </w:rPr>
        <w:t>白花苋</w:t>
      </w:r>
      <w:r>
        <w:rPr>
          <w:i/>
          <w:color w:val="auto"/>
          <w:sz w:val="24"/>
          <w:highlight w:val="none"/>
          <w:lang w:val="de-DE"/>
        </w:rPr>
        <w:t>Aerva sanguinolenta</w:t>
      </w:r>
      <w:r>
        <w:rPr>
          <w:bCs/>
          <w:color w:val="auto"/>
          <w:sz w:val="24"/>
          <w:highlight w:val="none"/>
          <w:lang w:val="it-IT"/>
        </w:rPr>
        <w:t>、</w:t>
      </w:r>
      <w:r>
        <w:rPr>
          <w:color w:val="auto"/>
          <w:sz w:val="24"/>
          <w:highlight w:val="none"/>
        </w:rPr>
        <w:t>香附子</w:t>
      </w:r>
      <w:r>
        <w:rPr>
          <w:i/>
          <w:color w:val="auto"/>
          <w:sz w:val="24"/>
          <w:highlight w:val="none"/>
          <w:lang w:val="de-DE"/>
        </w:rPr>
        <w:t>Cyperus rotundus</w:t>
      </w:r>
      <w:r>
        <w:rPr>
          <w:color w:val="auto"/>
          <w:sz w:val="24"/>
          <w:highlight w:val="none"/>
          <w:lang w:val="de-DE"/>
        </w:rPr>
        <w:t>、</w:t>
      </w:r>
      <w:r>
        <w:rPr>
          <w:bCs/>
          <w:iCs/>
          <w:color w:val="auto"/>
          <w:sz w:val="24"/>
          <w:highlight w:val="none"/>
        </w:rPr>
        <w:t>牛膝菊</w:t>
      </w:r>
      <w:r>
        <w:rPr>
          <w:bCs/>
          <w:i/>
          <w:iCs/>
          <w:color w:val="auto"/>
          <w:sz w:val="24"/>
          <w:highlight w:val="none"/>
        </w:rPr>
        <w:t>Galinsoga parviflora</w:t>
      </w:r>
      <w:r>
        <w:rPr>
          <w:color w:val="auto"/>
          <w:sz w:val="24"/>
          <w:highlight w:val="none"/>
          <w:lang w:val="it-IT"/>
        </w:rPr>
        <w:t>等。</w:t>
      </w:r>
      <w:r>
        <w:rPr>
          <w:color w:val="auto"/>
          <w:sz w:val="24"/>
          <w:highlight w:val="none"/>
        </w:rPr>
        <w:t>受人为干扰较为严重。</w:t>
      </w:r>
    </w:p>
    <w:p>
      <w:pPr>
        <w:spacing w:line="360" w:lineRule="auto"/>
        <w:ind w:firstLine="480" w:firstLineChars="200"/>
        <w:rPr>
          <w:b w:val="0"/>
          <w:bCs/>
          <w:color w:val="auto"/>
          <w:sz w:val="24"/>
          <w:highlight w:val="none"/>
        </w:rPr>
      </w:pPr>
      <w:r>
        <w:rPr>
          <w:rFonts w:hint="eastAsia"/>
          <w:b w:val="0"/>
          <w:bCs/>
          <w:color w:val="auto"/>
          <w:sz w:val="24"/>
          <w:highlight w:val="none"/>
        </w:rPr>
        <w:t>（3）</w:t>
      </w:r>
      <w:r>
        <w:rPr>
          <w:b w:val="0"/>
          <w:bCs/>
          <w:color w:val="auto"/>
          <w:sz w:val="24"/>
          <w:highlight w:val="none"/>
        </w:rPr>
        <w:t>人工植被</w:t>
      </w:r>
    </w:p>
    <w:p>
      <w:pPr>
        <w:spacing w:line="360" w:lineRule="auto"/>
        <w:ind w:firstLine="480" w:firstLineChars="200"/>
        <w:rPr>
          <w:color w:val="auto"/>
          <w:sz w:val="24"/>
          <w:highlight w:val="none"/>
        </w:rPr>
      </w:pPr>
      <w:r>
        <w:rPr>
          <w:rFonts w:hint="eastAsia"/>
          <w:color w:val="auto"/>
          <w:sz w:val="24"/>
          <w:highlight w:val="none"/>
        </w:rPr>
        <w:t>A人工林</w:t>
      </w:r>
    </w:p>
    <w:p>
      <w:pPr>
        <w:spacing w:line="360" w:lineRule="auto"/>
        <w:ind w:firstLine="480" w:firstLineChars="200"/>
        <w:rPr>
          <w:color w:val="auto"/>
          <w:sz w:val="24"/>
          <w:highlight w:val="none"/>
        </w:rPr>
      </w:pPr>
      <w:r>
        <w:rPr>
          <w:color w:val="auto"/>
          <w:sz w:val="24"/>
          <w:highlight w:val="none"/>
        </w:rPr>
        <w:t>评价区的人工林多数为桉林和柏木林。在道路两侧也种植杉木与</w:t>
      </w:r>
      <w:r>
        <w:rPr>
          <w:rFonts w:hint="eastAsia"/>
          <w:color w:val="auto"/>
          <w:sz w:val="24"/>
          <w:highlight w:val="none"/>
        </w:rPr>
        <w:t>女贞</w:t>
      </w:r>
      <w:r>
        <w:rPr>
          <w:color w:val="auto"/>
          <w:sz w:val="24"/>
          <w:highlight w:val="none"/>
        </w:rPr>
        <w:t>，但面积不大，零星分布。</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桉林群落</w:t>
      </w:r>
    </w:p>
    <w:p>
      <w:pPr>
        <w:spacing w:line="360" w:lineRule="auto"/>
        <w:ind w:firstLine="480" w:firstLineChars="200"/>
        <w:rPr>
          <w:color w:val="auto"/>
          <w:sz w:val="24"/>
          <w:highlight w:val="none"/>
        </w:rPr>
      </w:pPr>
      <w:r>
        <w:rPr>
          <w:rFonts w:hint="eastAsia"/>
          <w:color w:val="auto"/>
          <w:sz w:val="24"/>
          <w:highlight w:val="none"/>
        </w:rPr>
        <w:t>桉林</w:t>
      </w:r>
      <w:r>
        <w:rPr>
          <w:color w:val="auto"/>
          <w:sz w:val="24"/>
          <w:highlight w:val="none"/>
        </w:rPr>
        <w:t>群落</w:t>
      </w:r>
      <w:r>
        <w:rPr>
          <w:rFonts w:hint="eastAsia"/>
          <w:color w:val="auto"/>
          <w:sz w:val="24"/>
          <w:highlight w:val="none"/>
        </w:rPr>
        <w:t>主要分布在评价区北侧</w:t>
      </w:r>
      <w:r>
        <w:rPr>
          <w:color w:val="auto"/>
          <w:sz w:val="24"/>
          <w:highlight w:val="none"/>
        </w:rPr>
        <w:t>。群落高约</w:t>
      </w:r>
      <w:r>
        <w:rPr>
          <w:rFonts w:hint="eastAsia"/>
          <w:color w:val="auto"/>
          <w:sz w:val="24"/>
          <w:highlight w:val="none"/>
          <w:lang w:val="en-US" w:eastAsia="zh-CN"/>
        </w:rPr>
        <w:t>8</w:t>
      </w:r>
      <w:r>
        <w:rPr>
          <w:color w:val="auto"/>
          <w:sz w:val="24"/>
          <w:highlight w:val="none"/>
        </w:rPr>
        <w:t>m，总盖度</w:t>
      </w:r>
      <w:r>
        <w:rPr>
          <w:rFonts w:hint="eastAsia"/>
          <w:color w:val="auto"/>
          <w:sz w:val="24"/>
          <w:highlight w:val="none"/>
          <w:lang w:val="en-US" w:eastAsia="zh-CN"/>
        </w:rPr>
        <w:t>5~10</w:t>
      </w:r>
      <w:r>
        <w:rPr>
          <w:color w:val="auto"/>
          <w:sz w:val="24"/>
          <w:highlight w:val="none"/>
        </w:rPr>
        <w:t>%，可分为乔木层、灌木</w:t>
      </w:r>
      <w:r>
        <w:rPr>
          <w:rFonts w:hint="eastAsia"/>
          <w:color w:val="auto"/>
          <w:sz w:val="24"/>
          <w:highlight w:val="none"/>
          <w:lang w:eastAsia="zh-CN"/>
        </w:rPr>
        <w:t>层</w:t>
      </w:r>
      <w:r>
        <w:rPr>
          <w:color w:val="auto"/>
          <w:sz w:val="24"/>
          <w:highlight w:val="none"/>
        </w:rPr>
        <w:t>和草本层。乔木层高</w:t>
      </w:r>
      <w:r>
        <w:rPr>
          <w:rFonts w:hint="eastAsia"/>
          <w:color w:val="auto"/>
          <w:sz w:val="24"/>
          <w:highlight w:val="none"/>
          <w:lang w:val="en-US" w:eastAsia="zh-CN"/>
        </w:rPr>
        <w:t>8</w:t>
      </w:r>
      <w:r>
        <w:rPr>
          <w:color w:val="auto"/>
          <w:sz w:val="24"/>
          <w:highlight w:val="none"/>
        </w:rPr>
        <w:t>m，层盖度</w:t>
      </w:r>
      <w:r>
        <w:rPr>
          <w:rFonts w:hint="eastAsia"/>
          <w:color w:val="auto"/>
          <w:sz w:val="24"/>
          <w:highlight w:val="none"/>
          <w:lang w:val="en-US" w:eastAsia="zh-CN"/>
        </w:rPr>
        <w:t>5</w:t>
      </w:r>
      <w:r>
        <w:rPr>
          <w:color w:val="auto"/>
          <w:sz w:val="24"/>
          <w:highlight w:val="none"/>
        </w:rPr>
        <w:t>%-</w:t>
      </w:r>
      <w:r>
        <w:rPr>
          <w:rFonts w:hint="eastAsia"/>
          <w:color w:val="auto"/>
          <w:sz w:val="24"/>
          <w:highlight w:val="none"/>
          <w:lang w:val="en-US" w:eastAsia="zh-CN"/>
        </w:rPr>
        <w:t>1</w:t>
      </w:r>
      <w:r>
        <w:rPr>
          <w:rFonts w:hint="eastAsia"/>
          <w:color w:val="auto"/>
          <w:sz w:val="24"/>
          <w:highlight w:val="none"/>
        </w:rPr>
        <w:t>0</w:t>
      </w:r>
      <w:r>
        <w:rPr>
          <w:color w:val="auto"/>
          <w:sz w:val="24"/>
          <w:highlight w:val="none"/>
        </w:rPr>
        <w:t>%，以桉</w:t>
      </w:r>
      <w:r>
        <w:rPr>
          <w:i/>
          <w:iCs/>
          <w:color w:val="auto"/>
          <w:sz w:val="24"/>
          <w:highlight w:val="none"/>
        </w:rPr>
        <w:t>Eucaliptus globulus</w:t>
      </w:r>
      <w:r>
        <w:rPr>
          <w:color w:val="auto"/>
          <w:sz w:val="24"/>
          <w:highlight w:val="none"/>
        </w:rPr>
        <w:t>为单一优势种，</w:t>
      </w:r>
      <w:r>
        <w:rPr>
          <w:rFonts w:hint="eastAsia"/>
          <w:color w:val="auto"/>
          <w:sz w:val="24"/>
          <w:highlight w:val="none"/>
        </w:rPr>
        <w:t>偶见柏木</w:t>
      </w:r>
      <w:r>
        <w:rPr>
          <w:rFonts w:hint="eastAsia"/>
          <w:bCs/>
          <w:i/>
          <w:color w:val="auto"/>
          <w:sz w:val="24"/>
          <w:highlight w:val="none"/>
        </w:rPr>
        <w:t>Cupressus funebris</w:t>
      </w:r>
      <w:r>
        <w:rPr>
          <w:bCs/>
          <w:color w:val="auto"/>
          <w:sz w:val="24"/>
          <w:highlight w:val="none"/>
        </w:rPr>
        <w:t>和云南松</w:t>
      </w:r>
      <w:r>
        <w:rPr>
          <w:bCs/>
          <w:i/>
          <w:color w:val="auto"/>
          <w:sz w:val="24"/>
          <w:highlight w:val="none"/>
        </w:rPr>
        <w:t>Pinus yunnanensis</w:t>
      </w:r>
      <w:r>
        <w:rPr>
          <w:color w:val="auto"/>
          <w:sz w:val="24"/>
          <w:highlight w:val="none"/>
        </w:rPr>
        <w:t>。</w:t>
      </w:r>
    </w:p>
    <w:p>
      <w:pPr>
        <w:spacing w:line="360" w:lineRule="auto"/>
        <w:ind w:firstLine="480" w:firstLineChars="200"/>
        <w:rPr>
          <w:color w:val="auto"/>
          <w:sz w:val="24"/>
          <w:highlight w:val="none"/>
        </w:rPr>
      </w:pPr>
      <w:r>
        <w:rPr>
          <w:color w:val="auto"/>
          <w:sz w:val="24"/>
          <w:highlight w:val="none"/>
        </w:rPr>
        <w:t>灌木层高约</w:t>
      </w:r>
      <w:r>
        <w:rPr>
          <w:rFonts w:hint="eastAsia"/>
          <w:color w:val="auto"/>
          <w:sz w:val="24"/>
          <w:highlight w:val="none"/>
        </w:rPr>
        <w:t>0.8-2.5</w:t>
      </w:r>
      <w:r>
        <w:rPr>
          <w:color w:val="auto"/>
          <w:sz w:val="24"/>
          <w:highlight w:val="none"/>
        </w:rPr>
        <w:t>m，层盖度</w:t>
      </w:r>
      <w:r>
        <w:rPr>
          <w:rFonts w:hint="eastAsia"/>
          <w:color w:val="auto"/>
          <w:sz w:val="24"/>
          <w:highlight w:val="none"/>
        </w:rPr>
        <w:t>2-4</w:t>
      </w:r>
      <w:r>
        <w:rPr>
          <w:color w:val="auto"/>
          <w:sz w:val="24"/>
          <w:highlight w:val="none"/>
        </w:rPr>
        <w:t>%。灌木种类</w:t>
      </w:r>
      <w:r>
        <w:rPr>
          <w:rFonts w:hint="eastAsia"/>
          <w:color w:val="auto"/>
          <w:sz w:val="24"/>
          <w:highlight w:val="none"/>
        </w:rPr>
        <w:t>很</w:t>
      </w:r>
      <w:r>
        <w:rPr>
          <w:color w:val="auto"/>
          <w:sz w:val="24"/>
          <w:highlight w:val="none"/>
        </w:rPr>
        <w:t>少，可见</w:t>
      </w:r>
      <w:r>
        <w:rPr>
          <w:iCs/>
          <w:color w:val="auto"/>
          <w:sz w:val="24"/>
          <w:highlight w:val="none"/>
        </w:rPr>
        <w:t>火棘</w:t>
      </w:r>
      <w:r>
        <w:rPr>
          <w:bCs/>
          <w:i/>
          <w:iCs/>
          <w:color w:val="auto"/>
          <w:sz w:val="24"/>
          <w:highlight w:val="none"/>
        </w:rPr>
        <w:t>Pyracantha</w:t>
      </w:r>
      <w:r>
        <w:rPr>
          <w:i/>
          <w:iCs/>
          <w:color w:val="auto"/>
          <w:sz w:val="24"/>
          <w:highlight w:val="none"/>
        </w:rPr>
        <w:t xml:space="preserve"> </w:t>
      </w:r>
      <w:r>
        <w:rPr>
          <w:bCs/>
          <w:i/>
          <w:iCs/>
          <w:color w:val="auto"/>
          <w:sz w:val="24"/>
          <w:highlight w:val="none"/>
        </w:rPr>
        <w:t>fortuneana</w:t>
      </w:r>
      <w:r>
        <w:rPr>
          <w:iCs/>
          <w:color w:val="auto"/>
          <w:sz w:val="24"/>
          <w:highlight w:val="none"/>
        </w:rPr>
        <w:t>、</w:t>
      </w:r>
      <w:r>
        <w:rPr>
          <w:bCs/>
          <w:iCs/>
          <w:color w:val="auto"/>
          <w:sz w:val="24"/>
          <w:highlight w:val="none"/>
        </w:rPr>
        <w:t>珍珠花</w:t>
      </w:r>
      <w:r>
        <w:rPr>
          <w:bCs/>
          <w:i/>
          <w:iCs/>
          <w:color w:val="auto"/>
          <w:sz w:val="24"/>
          <w:highlight w:val="none"/>
        </w:rPr>
        <w:t>Lyonia ovalifolia</w:t>
      </w:r>
      <w:r>
        <w:rPr>
          <w:bCs/>
          <w:iCs/>
          <w:color w:val="auto"/>
          <w:sz w:val="24"/>
          <w:highlight w:val="none"/>
        </w:rPr>
        <w:t>、马桑</w:t>
      </w:r>
      <w:r>
        <w:rPr>
          <w:bCs/>
          <w:i/>
          <w:iCs/>
          <w:color w:val="auto"/>
          <w:sz w:val="24"/>
          <w:highlight w:val="none"/>
        </w:rPr>
        <w:t>Coriaria nepalensis</w:t>
      </w:r>
      <w:r>
        <w:rPr>
          <w:color w:val="auto"/>
          <w:sz w:val="24"/>
          <w:highlight w:val="none"/>
        </w:rPr>
        <w:t>等。</w:t>
      </w:r>
    </w:p>
    <w:p>
      <w:pPr>
        <w:spacing w:line="360" w:lineRule="auto"/>
        <w:ind w:firstLine="480" w:firstLineChars="200"/>
        <w:rPr>
          <w:rFonts w:hint="eastAsia"/>
          <w:color w:val="auto"/>
          <w:sz w:val="24"/>
          <w:highlight w:val="none"/>
        </w:rPr>
      </w:pPr>
      <w:r>
        <w:rPr>
          <w:color w:val="auto"/>
          <w:sz w:val="24"/>
          <w:highlight w:val="none"/>
        </w:rPr>
        <w:t>草本层高约</w:t>
      </w:r>
      <w:r>
        <w:rPr>
          <w:rFonts w:hint="eastAsia"/>
          <w:color w:val="auto"/>
          <w:sz w:val="24"/>
          <w:highlight w:val="none"/>
        </w:rPr>
        <w:t>0.2-1.5</w:t>
      </w:r>
      <w:r>
        <w:rPr>
          <w:color w:val="auto"/>
          <w:sz w:val="24"/>
          <w:highlight w:val="none"/>
        </w:rPr>
        <w:t>m，盖度</w:t>
      </w:r>
      <w:r>
        <w:rPr>
          <w:rFonts w:hint="eastAsia"/>
          <w:color w:val="auto"/>
          <w:sz w:val="24"/>
          <w:highlight w:val="none"/>
        </w:rPr>
        <w:t>10-30</w:t>
      </w:r>
      <w:r>
        <w:rPr>
          <w:color w:val="auto"/>
          <w:sz w:val="24"/>
          <w:highlight w:val="none"/>
        </w:rPr>
        <w:t>%。常见种类有白茅</w:t>
      </w:r>
      <w:r>
        <w:rPr>
          <w:i/>
          <w:iCs/>
          <w:color w:val="auto"/>
          <w:sz w:val="24"/>
          <w:highlight w:val="none"/>
        </w:rPr>
        <w:t>Imperata cylindrica</w:t>
      </w:r>
      <w:r>
        <w:rPr>
          <w:color w:val="auto"/>
          <w:sz w:val="24"/>
          <w:highlight w:val="none"/>
        </w:rPr>
        <w:t>、鼠曲草</w:t>
      </w:r>
      <w:r>
        <w:rPr>
          <w:i/>
          <w:color w:val="auto"/>
          <w:sz w:val="24"/>
          <w:highlight w:val="none"/>
        </w:rPr>
        <w:t>Pseudognaphalium affine</w:t>
      </w:r>
      <w:r>
        <w:rPr>
          <w:color w:val="auto"/>
          <w:sz w:val="24"/>
          <w:highlight w:val="none"/>
        </w:rPr>
        <w:t>、</w:t>
      </w:r>
      <w:r>
        <w:rPr>
          <w:rFonts w:hint="eastAsia"/>
          <w:color w:val="auto"/>
          <w:sz w:val="24"/>
          <w:highlight w:val="none"/>
        </w:rPr>
        <w:t>夏枯草</w:t>
      </w:r>
      <w:r>
        <w:rPr>
          <w:i/>
          <w:iCs/>
          <w:color w:val="auto"/>
          <w:sz w:val="24"/>
          <w:highlight w:val="none"/>
        </w:rPr>
        <w:t>Prunella vulgaris</w:t>
      </w:r>
      <w:r>
        <w:rPr>
          <w:color w:val="auto"/>
          <w:sz w:val="24"/>
          <w:highlight w:val="none"/>
        </w:rPr>
        <w:t>、飞机草</w:t>
      </w:r>
      <w:r>
        <w:rPr>
          <w:bCs/>
          <w:i/>
          <w:color w:val="auto"/>
          <w:sz w:val="24"/>
          <w:highlight w:val="none"/>
        </w:rPr>
        <w:t>Chromolaena</w:t>
      </w:r>
      <w:r>
        <w:rPr>
          <w:i/>
          <w:color w:val="auto"/>
          <w:sz w:val="24"/>
          <w:highlight w:val="none"/>
        </w:rPr>
        <w:t xml:space="preserve"> </w:t>
      </w:r>
      <w:r>
        <w:rPr>
          <w:bCs/>
          <w:i/>
          <w:color w:val="auto"/>
          <w:sz w:val="24"/>
          <w:highlight w:val="none"/>
        </w:rPr>
        <w:t>odorata</w:t>
      </w:r>
      <w:r>
        <w:rPr>
          <w:color w:val="auto"/>
          <w:sz w:val="24"/>
          <w:highlight w:val="none"/>
        </w:rPr>
        <w:t>、狗牙根</w:t>
      </w:r>
      <w:r>
        <w:rPr>
          <w:i/>
          <w:color w:val="auto"/>
          <w:sz w:val="24"/>
          <w:highlight w:val="none"/>
        </w:rPr>
        <w:t>Cynodon dactylon</w:t>
      </w:r>
      <w:r>
        <w:rPr>
          <w:color w:val="auto"/>
          <w:sz w:val="24"/>
          <w:highlight w:val="none"/>
        </w:rPr>
        <w:t>、刚莠竹</w:t>
      </w:r>
      <w:r>
        <w:rPr>
          <w:i/>
          <w:color w:val="auto"/>
          <w:sz w:val="24"/>
          <w:highlight w:val="none"/>
        </w:rPr>
        <w:t>Microstegium ciliatum</w:t>
      </w:r>
      <w:r>
        <w:rPr>
          <w:color w:val="auto"/>
          <w:sz w:val="24"/>
          <w:highlight w:val="none"/>
        </w:rPr>
        <w:t>、牛筋草</w:t>
      </w:r>
      <w:r>
        <w:rPr>
          <w:i/>
          <w:color w:val="auto"/>
          <w:sz w:val="24"/>
          <w:highlight w:val="none"/>
        </w:rPr>
        <w:t>Eleusine indica</w:t>
      </w:r>
      <w:r>
        <w:rPr>
          <w:rFonts w:hint="eastAsia"/>
          <w:color w:val="auto"/>
          <w:sz w:val="24"/>
          <w:highlight w:val="none"/>
        </w:rPr>
        <w:t>、</w:t>
      </w:r>
      <w:r>
        <w:rPr>
          <w:color w:val="auto"/>
          <w:sz w:val="24"/>
          <w:highlight w:val="none"/>
        </w:rPr>
        <w:t>矮蒿</w:t>
      </w:r>
      <w:r>
        <w:rPr>
          <w:bCs/>
          <w:i/>
          <w:color w:val="auto"/>
          <w:sz w:val="24"/>
          <w:highlight w:val="none"/>
        </w:rPr>
        <w:t>Artemisia</w:t>
      </w:r>
      <w:r>
        <w:rPr>
          <w:i/>
          <w:color w:val="auto"/>
          <w:sz w:val="24"/>
          <w:highlight w:val="none"/>
        </w:rPr>
        <w:t xml:space="preserve"> </w:t>
      </w:r>
      <w:r>
        <w:rPr>
          <w:bCs/>
          <w:i/>
          <w:color w:val="auto"/>
          <w:sz w:val="24"/>
          <w:highlight w:val="none"/>
        </w:rPr>
        <w:t>lancea</w:t>
      </w:r>
      <w:r>
        <w:rPr>
          <w:color w:val="auto"/>
          <w:sz w:val="24"/>
          <w:highlight w:val="none"/>
        </w:rPr>
        <w:t>、</w:t>
      </w:r>
      <w:r>
        <w:rPr>
          <w:rFonts w:hint="eastAsia"/>
          <w:color w:val="auto"/>
          <w:sz w:val="24"/>
          <w:highlight w:val="none"/>
        </w:rPr>
        <w:t>石芒草</w:t>
      </w:r>
      <w:r>
        <w:rPr>
          <w:i/>
          <w:color w:val="auto"/>
          <w:sz w:val="24"/>
          <w:highlight w:val="none"/>
        </w:rPr>
        <w:t>Arundinella nepalensis</w:t>
      </w:r>
      <w:r>
        <w:rPr>
          <w:color w:val="auto"/>
          <w:sz w:val="24"/>
          <w:highlight w:val="none"/>
        </w:rPr>
        <w:t>等。</w:t>
      </w:r>
    </w:p>
    <w:p>
      <w:pPr>
        <w:spacing w:line="360" w:lineRule="auto"/>
        <w:ind w:firstLine="480" w:firstLineChars="200"/>
        <w:rPr>
          <w:color w:val="auto"/>
          <w:sz w:val="24"/>
          <w:highlight w:val="none"/>
        </w:rPr>
      </w:pPr>
      <w:r>
        <w:rPr>
          <w:rFonts w:hint="eastAsia"/>
          <w:color w:val="auto"/>
          <w:sz w:val="24"/>
          <w:highlight w:val="none"/>
        </w:rPr>
        <w:t>②柏木</w:t>
      </w:r>
      <w:r>
        <w:rPr>
          <w:color w:val="auto"/>
          <w:sz w:val="24"/>
          <w:highlight w:val="none"/>
        </w:rPr>
        <w:t>林群落</w:t>
      </w:r>
    </w:p>
    <w:p>
      <w:pPr>
        <w:spacing w:line="360" w:lineRule="auto"/>
        <w:ind w:firstLine="480" w:firstLineChars="200"/>
        <w:rPr>
          <w:color w:val="auto"/>
          <w:sz w:val="24"/>
          <w:highlight w:val="none"/>
        </w:rPr>
      </w:pPr>
      <w:r>
        <w:rPr>
          <w:rFonts w:hint="eastAsia"/>
          <w:color w:val="auto"/>
          <w:sz w:val="24"/>
          <w:highlight w:val="none"/>
        </w:rPr>
        <w:t>柏木林</w:t>
      </w:r>
      <w:r>
        <w:rPr>
          <w:color w:val="auto"/>
          <w:sz w:val="24"/>
          <w:highlight w:val="none"/>
        </w:rPr>
        <w:t>群落</w:t>
      </w:r>
      <w:r>
        <w:rPr>
          <w:rFonts w:hint="eastAsia"/>
          <w:color w:val="auto"/>
          <w:sz w:val="24"/>
          <w:highlight w:val="none"/>
        </w:rPr>
        <w:t>主要分布在评价区的</w:t>
      </w:r>
      <w:r>
        <w:rPr>
          <w:rFonts w:hint="eastAsia"/>
          <w:color w:val="auto"/>
          <w:sz w:val="24"/>
          <w:highlight w:val="none"/>
          <w:lang w:val="en-US" w:eastAsia="zh-CN"/>
        </w:rPr>
        <w:t>南侧</w:t>
      </w:r>
      <w:r>
        <w:rPr>
          <w:color w:val="auto"/>
          <w:sz w:val="24"/>
          <w:highlight w:val="none"/>
        </w:rPr>
        <w:t>。群落高约</w:t>
      </w:r>
      <w:r>
        <w:rPr>
          <w:rFonts w:hint="eastAsia"/>
          <w:color w:val="auto"/>
          <w:sz w:val="24"/>
          <w:highlight w:val="none"/>
          <w:lang w:val="en-US" w:eastAsia="zh-CN"/>
        </w:rPr>
        <w:t>7</w:t>
      </w:r>
      <w:r>
        <w:rPr>
          <w:color w:val="auto"/>
          <w:sz w:val="24"/>
          <w:highlight w:val="none"/>
        </w:rPr>
        <w:t>m，总盖度</w:t>
      </w:r>
      <w:r>
        <w:rPr>
          <w:rFonts w:hint="eastAsia"/>
          <w:color w:val="auto"/>
          <w:sz w:val="24"/>
          <w:highlight w:val="none"/>
          <w:lang w:val="en-US" w:eastAsia="zh-CN"/>
        </w:rPr>
        <w:t>5-1</w:t>
      </w:r>
      <w:r>
        <w:rPr>
          <w:rFonts w:hint="eastAsia"/>
          <w:color w:val="auto"/>
          <w:sz w:val="24"/>
          <w:highlight w:val="none"/>
        </w:rPr>
        <w:t>0</w:t>
      </w:r>
      <w:r>
        <w:rPr>
          <w:color w:val="auto"/>
          <w:sz w:val="24"/>
          <w:highlight w:val="none"/>
        </w:rPr>
        <w:t>%，可分为乔木层、灌木</w:t>
      </w:r>
      <w:r>
        <w:rPr>
          <w:rFonts w:hint="eastAsia"/>
          <w:color w:val="auto"/>
          <w:sz w:val="24"/>
          <w:highlight w:val="none"/>
          <w:lang w:eastAsia="zh-CN"/>
        </w:rPr>
        <w:t>层</w:t>
      </w:r>
      <w:r>
        <w:rPr>
          <w:color w:val="auto"/>
          <w:sz w:val="24"/>
          <w:highlight w:val="none"/>
        </w:rPr>
        <w:t>和草本层。乔木层高</w:t>
      </w:r>
      <w:r>
        <w:rPr>
          <w:rFonts w:hint="eastAsia"/>
          <w:color w:val="auto"/>
          <w:sz w:val="24"/>
          <w:highlight w:val="none"/>
          <w:lang w:val="en-US" w:eastAsia="zh-CN"/>
        </w:rPr>
        <w:t>7</w:t>
      </w:r>
      <w:r>
        <w:rPr>
          <w:color w:val="auto"/>
          <w:sz w:val="24"/>
          <w:highlight w:val="none"/>
        </w:rPr>
        <w:t>m，层盖度</w:t>
      </w:r>
      <w:r>
        <w:rPr>
          <w:rFonts w:hint="eastAsia"/>
          <w:color w:val="auto"/>
          <w:sz w:val="24"/>
          <w:highlight w:val="none"/>
        </w:rPr>
        <w:t>6</w:t>
      </w:r>
      <w:r>
        <w:rPr>
          <w:color w:val="auto"/>
          <w:sz w:val="24"/>
          <w:highlight w:val="none"/>
        </w:rPr>
        <w:t>0%-</w:t>
      </w:r>
      <w:r>
        <w:rPr>
          <w:rFonts w:hint="eastAsia"/>
          <w:color w:val="auto"/>
          <w:sz w:val="24"/>
          <w:highlight w:val="none"/>
        </w:rPr>
        <w:t>70</w:t>
      </w:r>
      <w:r>
        <w:rPr>
          <w:color w:val="auto"/>
          <w:sz w:val="24"/>
          <w:highlight w:val="none"/>
        </w:rPr>
        <w:t>%，以</w:t>
      </w:r>
      <w:r>
        <w:rPr>
          <w:rFonts w:hint="eastAsia"/>
          <w:color w:val="auto"/>
          <w:sz w:val="24"/>
          <w:highlight w:val="none"/>
        </w:rPr>
        <w:t>柏木</w:t>
      </w:r>
      <w:r>
        <w:rPr>
          <w:rFonts w:hint="eastAsia"/>
          <w:bCs/>
          <w:i/>
          <w:color w:val="auto"/>
          <w:sz w:val="24"/>
          <w:highlight w:val="none"/>
        </w:rPr>
        <w:t>Cupressus funebris</w:t>
      </w:r>
      <w:r>
        <w:rPr>
          <w:color w:val="auto"/>
          <w:sz w:val="24"/>
          <w:highlight w:val="none"/>
        </w:rPr>
        <w:t>为单一优势种，</w:t>
      </w:r>
      <w:r>
        <w:rPr>
          <w:rFonts w:hint="eastAsia"/>
          <w:color w:val="auto"/>
          <w:sz w:val="24"/>
          <w:highlight w:val="none"/>
        </w:rPr>
        <w:t>偶见</w:t>
      </w:r>
      <w:r>
        <w:rPr>
          <w:color w:val="auto"/>
          <w:sz w:val="24"/>
          <w:highlight w:val="none"/>
        </w:rPr>
        <w:t>桉</w:t>
      </w:r>
      <w:r>
        <w:rPr>
          <w:i/>
          <w:iCs/>
          <w:color w:val="auto"/>
          <w:sz w:val="24"/>
          <w:highlight w:val="none"/>
        </w:rPr>
        <w:t>Eucaliptus globulus</w:t>
      </w:r>
      <w:r>
        <w:rPr>
          <w:bCs/>
          <w:color w:val="auto"/>
          <w:sz w:val="24"/>
          <w:highlight w:val="none"/>
        </w:rPr>
        <w:t>和云南松</w:t>
      </w:r>
      <w:r>
        <w:rPr>
          <w:bCs/>
          <w:i/>
          <w:color w:val="auto"/>
          <w:sz w:val="24"/>
          <w:highlight w:val="none"/>
        </w:rPr>
        <w:t>Pinus yunnanensis</w:t>
      </w:r>
      <w:r>
        <w:rPr>
          <w:color w:val="auto"/>
          <w:sz w:val="24"/>
          <w:highlight w:val="none"/>
        </w:rPr>
        <w:t>。</w:t>
      </w:r>
    </w:p>
    <w:p>
      <w:pPr>
        <w:spacing w:line="360" w:lineRule="auto"/>
        <w:ind w:firstLine="480" w:firstLineChars="200"/>
        <w:rPr>
          <w:color w:val="auto"/>
          <w:sz w:val="24"/>
          <w:highlight w:val="none"/>
        </w:rPr>
      </w:pPr>
      <w:r>
        <w:rPr>
          <w:color w:val="auto"/>
          <w:sz w:val="24"/>
          <w:highlight w:val="none"/>
        </w:rPr>
        <w:t>灌木层高约</w:t>
      </w:r>
      <w:r>
        <w:rPr>
          <w:rFonts w:hint="eastAsia"/>
          <w:color w:val="auto"/>
          <w:sz w:val="24"/>
          <w:highlight w:val="none"/>
        </w:rPr>
        <w:t>0.8-2.0</w:t>
      </w:r>
      <w:r>
        <w:rPr>
          <w:color w:val="auto"/>
          <w:sz w:val="24"/>
          <w:highlight w:val="none"/>
        </w:rPr>
        <w:t>m，层盖度</w:t>
      </w:r>
      <w:r>
        <w:rPr>
          <w:rFonts w:hint="eastAsia"/>
          <w:color w:val="auto"/>
          <w:sz w:val="24"/>
          <w:highlight w:val="none"/>
        </w:rPr>
        <w:t>2-4</w:t>
      </w:r>
      <w:r>
        <w:rPr>
          <w:color w:val="auto"/>
          <w:sz w:val="24"/>
          <w:highlight w:val="none"/>
        </w:rPr>
        <w:t>%。灌木种类</w:t>
      </w:r>
      <w:r>
        <w:rPr>
          <w:rFonts w:hint="eastAsia"/>
          <w:color w:val="auto"/>
          <w:sz w:val="24"/>
          <w:highlight w:val="none"/>
        </w:rPr>
        <w:t>很</w:t>
      </w:r>
      <w:r>
        <w:rPr>
          <w:color w:val="auto"/>
          <w:sz w:val="24"/>
          <w:highlight w:val="none"/>
        </w:rPr>
        <w:t>少，可见</w:t>
      </w:r>
      <w:r>
        <w:rPr>
          <w:iCs/>
          <w:color w:val="auto"/>
          <w:sz w:val="24"/>
          <w:highlight w:val="none"/>
        </w:rPr>
        <w:t>火棘</w:t>
      </w:r>
      <w:r>
        <w:rPr>
          <w:bCs/>
          <w:i/>
          <w:iCs/>
          <w:color w:val="auto"/>
          <w:sz w:val="24"/>
          <w:highlight w:val="none"/>
        </w:rPr>
        <w:t>Pyracantha</w:t>
      </w:r>
      <w:r>
        <w:rPr>
          <w:i/>
          <w:iCs/>
          <w:color w:val="auto"/>
          <w:sz w:val="24"/>
          <w:highlight w:val="none"/>
        </w:rPr>
        <w:t xml:space="preserve"> </w:t>
      </w:r>
      <w:r>
        <w:rPr>
          <w:bCs/>
          <w:i/>
          <w:iCs/>
          <w:color w:val="auto"/>
          <w:sz w:val="24"/>
          <w:highlight w:val="none"/>
        </w:rPr>
        <w:t>fortuneana</w:t>
      </w:r>
      <w:r>
        <w:rPr>
          <w:iCs/>
          <w:color w:val="auto"/>
          <w:sz w:val="24"/>
          <w:highlight w:val="none"/>
        </w:rPr>
        <w:t>、</w:t>
      </w:r>
      <w:r>
        <w:rPr>
          <w:bCs/>
          <w:iCs/>
          <w:color w:val="auto"/>
          <w:sz w:val="24"/>
          <w:highlight w:val="none"/>
        </w:rPr>
        <w:t>珍珠花</w:t>
      </w:r>
      <w:r>
        <w:rPr>
          <w:bCs/>
          <w:i/>
          <w:iCs/>
          <w:color w:val="auto"/>
          <w:sz w:val="24"/>
          <w:highlight w:val="none"/>
        </w:rPr>
        <w:t>Lyonia ovalifolia</w:t>
      </w:r>
      <w:r>
        <w:rPr>
          <w:bCs/>
          <w:iCs/>
          <w:color w:val="auto"/>
          <w:sz w:val="24"/>
          <w:highlight w:val="none"/>
        </w:rPr>
        <w:t>、马桑</w:t>
      </w:r>
      <w:r>
        <w:rPr>
          <w:bCs/>
          <w:i/>
          <w:iCs/>
          <w:color w:val="auto"/>
          <w:sz w:val="24"/>
          <w:highlight w:val="none"/>
        </w:rPr>
        <w:t>Coriaria nepalensis</w:t>
      </w:r>
      <w:r>
        <w:rPr>
          <w:color w:val="auto"/>
          <w:sz w:val="24"/>
          <w:highlight w:val="none"/>
        </w:rPr>
        <w:t>等。</w:t>
      </w:r>
    </w:p>
    <w:p>
      <w:pPr>
        <w:spacing w:line="360" w:lineRule="auto"/>
        <w:ind w:firstLine="480" w:firstLineChars="200"/>
        <w:rPr>
          <w:color w:val="auto"/>
          <w:sz w:val="24"/>
          <w:highlight w:val="none"/>
        </w:rPr>
      </w:pPr>
      <w:r>
        <w:rPr>
          <w:color w:val="auto"/>
          <w:sz w:val="24"/>
          <w:highlight w:val="none"/>
        </w:rPr>
        <w:t>草本层高约</w:t>
      </w:r>
      <w:r>
        <w:rPr>
          <w:rFonts w:hint="eastAsia"/>
          <w:color w:val="auto"/>
          <w:sz w:val="24"/>
          <w:highlight w:val="none"/>
        </w:rPr>
        <w:t>0.2-1.5</w:t>
      </w:r>
      <w:r>
        <w:rPr>
          <w:color w:val="auto"/>
          <w:sz w:val="24"/>
          <w:highlight w:val="none"/>
        </w:rPr>
        <w:t>m，盖度</w:t>
      </w:r>
      <w:r>
        <w:rPr>
          <w:rFonts w:hint="eastAsia"/>
          <w:color w:val="auto"/>
          <w:sz w:val="24"/>
          <w:highlight w:val="none"/>
        </w:rPr>
        <w:t>10-</w:t>
      </w:r>
      <w:r>
        <w:rPr>
          <w:rFonts w:hint="eastAsia"/>
          <w:color w:val="auto"/>
          <w:sz w:val="24"/>
          <w:highlight w:val="none"/>
          <w:lang w:val="en-US" w:eastAsia="zh-CN"/>
        </w:rPr>
        <w:t>2</w:t>
      </w:r>
      <w:r>
        <w:rPr>
          <w:rFonts w:hint="eastAsia"/>
          <w:color w:val="auto"/>
          <w:sz w:val="24"/>
          <w:highlight w:val="none"/>
        </w:rPr>
        <w:t>0</w:t>
      </w:r>
      <w:r>
        <w:rPr>
          <w:color w:val="auto"/>
          <w:sz w:val="24"/>
          <w:highlight w:val="none"/>
        </w:rPr>
        <w:t>%。常见种类有白茅</w:t>
      </w:r>
      <w:r>
        <w:rPr>
          <w:i/>
          <w:iCs/>
          <w:color w:val="auto"/>
          <w:sz w:val="24"/>
          <w:highlight w:val="none"/>
        </w:rPr>
        <w:t>Imperata cylindrica</w:t>
      </w:r>
      <w:r>
        <w:rPr>
          <w:color w:val="auto"/>
          <w:sz w:val="24"/>
          <w:highlight w:val="none"/>
        </w:rPr>
        <w:t>、</w:t>
      </w:r>
      <w:r>
        <w:rPr>
          <w:rFonts w:hint="eastAsia"/>
          <w:color w:val="auto"/>
          <w:sz w:val="24"/>
          <w:highlight w:val="none"/>
        </w:rPr>
        <w:t>芒</w:t>
      </w:r>
      <w:r>
        <w:rPr>
          <w:bCs/>
          <w:i/>
          <w:iCs/>
          <w:color w:val="auto"/>
          <w:sz w:val="24"/>
          <w:highlight w:val="none"/>
        </w:rPr>
        <w:t>Miscanthus sinensis</w:t>
      </w:r>
      <w:r>
        <w:rPr>
          <w:color w:val="auto"/>
          <w:sz w:val="24"/>
          <w:highlight w:val="none"/>
        </w:rPr>
        <w:t>、飞机草</w:t>
      </w:r>
      <w:r>
        <w:rPr>
          <w:bCs/>
          <w:i/>
          <w:color w:val="auto"/>
          <w:sz w:val="24"/>
          <w:highlight w:val="none"/>
        </w:rPr>
        <w:t>Chromolaena</w:t>
      </w:r>
      <w:r>
        <w:rPr>
          <w:i/>
          <w:color w:val="auto"/>
          <w:sz w:val="24"/>
          <w:highlight w:val="none"/>
        </w:rPr>
        <w:t xml:space="preserve"> </w:t>
      </w:r>
      <w:r>
        <w:rPr>
          <w:bCs/>
          <w:i/>
          <w:color w:val="auto"/>
          <w:sz w:val="24"/>
          <w:highlight w:val="none"/>
        </w:rPr>
        <w:t>odorata</w:t>
      </w:r>
      <w:r>
        <w:rPr>
          <w:color w:val="auto"/>
          <w:sz w:val="24"/>
          <w:highlight w:val="none"/>
        </w:rPr>
        <w:t>、狗牙根</w:t>
      </w:r>
      <w:r>
        <w:rPr>
          <w:i/>
          <w:color w:val="auto"/>
          <w:sz w:val="24"/>
          <w:highlight w:val="none"/>
        </w:rPr>
        <w:t>Cynodon dactylon</w:t>
      </w:r>
      <w:r>
        <w:rPr>
          <w:color w:val="auto"/>
          <w:sz w:val="24"/>
          <w:highlight w:val="none"/>
        </w:rPr>
        <w:t>、刚莠竹</w:t>
      </w:r>
      <w:r>
        <w:rPr>
          <w:i/>
          <w:color w:val="auto"/>
          <w:sz w:val="24"/>
          <w:highlight w:val="none"/>
        </w:rPr>
        <w:t>Microstegium ciliatum</w:t>
      </w:r>
      <w:r>
        <w:rPr>
          <w:color w:val="auto"/>
          <w:sz w:val="24"/>
          <w:highlight w:val="none"/>
        </w:rPr>
        <w:t>、牛筋草</w:t>
      </w:r>
      <w:r>
        <w:rPr>
          <w:i/>
          <w:color w:val="auto"/>
          <w:sz w:val="24"/>
          <w:highlight w:val="none"/>
        </w:rPr>
        <w:t>Eleusine indica</w:t>
      </w:r>
      <w:r>
        <w:rPr>
          <w:rFonts w:hint="eastAsia"/>
          <w:color w:val="auto"/>
          <w:sz w:val="24"/>
          <w:highlight w:val="none"/>
        </w:rPr>
        <w:t>、</w:t>
      </w:r>
      <w:r>
        <w:rPr>
          <w:color w:val="auto"/>
          <w:sz w:val="24"/>
          <w:highlight w:val="none"/>
        </w:rPr>
        <w:t>矮蒿</w:t>
      </w:r>
      <w:r>
        <w:rPr>
          <w:bCs/>
          <w:i/>
          <w:color w:val="auto"/>
          <w:sz w:val="24"/>
          <w:highlight w:val="none"/>
        </w:rPr>
        <w:t>Artemisia</w:t>
      </w:r>
      <w:r>
        <w:rPr>
          <w:i/>
          <w:color w:val="auto"/>
          <w:sz w:val="24"/>
          <w:highlight w:val="none"/>
        </w:rPr>
        <w:t xml:space="preserve"> </w:t>
      </w:r>
      <w:r>
        <w:rPr>
          <w:bCs/>
          <w:i/>
          <w:color w:val="auto"/>
          <w:sz w:val="24"/>
          <w:highlight w:val="none"/>
        </w:rPr>
        <w:t>lancea</w:t>
      </w:r>
      <w:r>
        <w:rPr>
          <w:color w:val="auto"/>
          <w:sz w:val="24"/>
          <w:highlight w:val="none"/>
        </w:rPr>
        <w:t>等。</w:t>
      </w:r>
    </w:p>
    <w:p>
      <w:pPr>
        <w:spacing w:line="360" w:lineRule="auto"/>
        <w:ind w:firstLine="480" w:firstLineChars="200"/>
        <w:rPr>
          <w:color w:val="auto"/>
          <w:sz w:val="24"/>
          <w:highlight w:val="none"/>
        </w:rPr>
      </w:pPr>
      <w:r>
        <w:rPr>
          <w:rFonts w:hint="eastAsia"/>
          <w:color w:val="auto"/>
          <w:sz w:val="24"/>
          <w:highlight w:val="none"/>
        </w:rPr>
        <w:t>B</w:t>
      </w:r>
      <w:r>
        <w:rPr>
          <w:color w:val="auto"/>
          <w:sz w:val="24"/>
          <w:highlight w:val="none"/>
        </w:rPr>
        <w:t>农田植被</w:t>
      </w:r>
    </w:p>
    <w:p>
      <w:pPr>
        <w:spacing w:line="360" w:lineRule="auto"/>
        <w:ind w:firstLine="480" w:firstLineChars="200"/>
        <w:rPr>
          <w:rFonts w:hint="eastAsia"/>
          <w:color w:val="auto"/>
          <w:sz w:val="24"/>
          <w:highlight w:val="none"/>
        </w:rPr>
      </w:pPr>
      <w:r>
        <w:rPr>
          <w:rFonts w:hint="eastAsia"/>
          <w:color w:val="auto"/>
          <w:sz w:val="24"/>
          <w:highlight w:val="none"/>
          <w:lang w:val="en-US" w:eastAsia="zh-CN"/>
        </w:rPr>
        <w:t>农田植被</w:t>
      </w:r>
      <w:r>
        <w:rPr>
          <w:rFonts w:hint="eastAsia"/>
          <w:color w:val="auto"/>
          <w:sz w:val="24"/>
          <w:highlight w:val="none"/>
        </w:rPr>
        <w:t>主要</w:t>
      </w:r>
      <w:r>
        <w:rPr>
          <w:color w:val="auto"/>
          <w:sz w:val="24"/>
          <w:highlight w:val="none"/>
        </w:rPr>
        <w:t>分布于</w:t>
      </w:r>
      <w:r>
        <w:rPr>
          <w:rFonts w:hint="eastAsia"/>
          <w:color w:val="auto"/>
          <w:sz w:val="24"/>
          <w:highlight w:val="none"/>
          <w:lang w:val="en-US" w:eastAsia="zh-CN"/>
        </w:rPr>
        <w:t>评价区北侧、东南侧和西侧</w:t>
      </w:r>
      <w:r>
        <w:rPr>
          <w:color w:val="auto"/>
          <w:sz w:val="24"/>
          <w:highlight w:val="none"/>
        </w:rPr>
        <w:t>，种植</w:t>
      </w:r>
      <w:r>
        <w:rPr>
          <w:rFonts w:hint="eastAsia"/>
          <w:color w:val="auto"/>
          <w:sz w:val="24"/>
          <w:highlight w:val="none"/>
          <w:lang w:val="en-US" w:eastAsia="zh-CN"/>
        </w:rPr>
        <w:t>玉米、土豆</w:t>
      </w:r>
      <w:r>
        <w:rPr>
          <w:color w:val="auto"/>
          <w:sz w:val="24"/>
          <w:highlight w:val="none"/>
        </w:rPr>
        <w:t>等多种作物。</w:t>
      </w:r>
    </w:p>
    <w:p>
      <w:pPr>
        <w:spacing w:line="360" w:lineRule="auto"/>
        <w:ind w:firstLine="480" w:firstLineChars="200"/>
        <w:rPr>
          <w:color w:val="auto"/>
          <w:sz w:val="24"/>
          <w:highlight w:val="none"/>
        </w:rPr>
      </w:pPr>
      <w:r>
        <w:rPr>
          <w:color w:val="auto"/>
          <w:sz w:val="24"/>
          <w:highlight w:val="none"/>
        </w:rPr>
        <w:t>在农地边主要分布着一些常见的杂草如牛筋草</w:t>
      </w:r>
      <w:r>
        <w:rPr>
          <w:i/>
          <w:color w:val="auto"/>
          <w:sz w:val="24"/>
          <w:highlight w:val="none"/>
        </w:rPr>
        <w:t>Eleusine indica</w:t>
      </w:r>
      <w:r>
        <w:rPr>
          <w:color w:val="auto"/>
          <w:sz w:val="24"/>
          <w:highlight w:val="none"/>
        </w:rPr>
        <w:t>、蒲公英</w:t>
      </w:r>
      <w:r>
        <w:rPr>
          <w:bCs/>
          <w:i/>
          <w:color w:val="auto"/>
          <w:sz w:val="24"/>
          <w:highlight w:val="none"/>
        </w:rPr>
        <w:t>Taraxacum</w:t>
      </w:r>
      <w:r>
        <w:rPr>
          <w:i/>
          <w:color w:val="auto"/>
          <w:sz w:val="24"/>
          <w:highlight w:val="none"/>
        </w:rPr>
        <w:t xml:space="preserve"> </w:t>
      </w:r>
      <w:r>
        <w:rPr>
          <w:bCs/>
          <w:i/>
          <w:color w:val="auto"/>
          <w:sz w:val="24"/>
          <w:highlight w:val="none"/>
        </w:rPr>
        <w:t>mongolicum</w:t>
      </w:r>
      <w:r>
        <w:rPr>
          <w:color w:val="auto"/>
          <w:sz w:val="24"/>
          <w:highlight w:val="none"/>
        </w:rPr>
        <w:t>、鬼针草</w:t>
      </w:r>
      <w:r>
        <w:rPr>
          <w:i/>
          <w:color w:val="auto"/>
          <w:sz w:val="24"/>
          <w:highlight w:val="none"/>
        </w:rPr>
        <w:t>Bidens bipinnata</w:t>
      </w:r>
      <w:r>
        <w:rPr>
          <w:color w:val="auto"/>
          <w:sz w:val="24"/>
          <w:highlight w:val="none"/>
        </w:rPr>
        <w:t>、矮蒿</w:t>
      </w:r>
      <w:r>
        <w:rPr>
          <w:bCs/>
          <w:i/>
          <w:color w:val="auto"/>
          <w:sz w:val="24"/>
          <w:highlight w:val="none"/>
        </w:rPr>
        <w:t>Artemisia</w:t>
      </w:r>
      <w:r>
        <w:rPr>
          <w:i/>
          <w:color w:val="auto"/>
          <w:sz w:val="24"/>
          <w:highlight w:val="none"/>
        </w:rPr>
        <w:t xml:space="preserve"> </w:t>
      </w:r>
      <w:r>
        <w:rPr>
          <w:bCs/>
          <w:i/>
          <w:color w:val="auto"/>
          <w:sz w:val="24"/>
          <w:highlight w:val="none"/>
        </w:rPr>
        <w:t>lancea</w:t>
      </w:r>
      <w:r>
        <w:rPr>
          <w:bCs/>
          <w:color w:val="auto"/>
          <w:sz w:val="24"/>
          <w:highlight w:val="none"/>
        </w:rPr>
        <w:t>、荠</w:t>
      </w:r>
      <w:r>
        <w:rPr>
          <w:bCs/>
          <w:i/>
          <w:color w:val="auto"/>
          <w:sz w:val="24"/>
          <w:highlight w:val="none"/>
        </w:rPr>
        <w:t>Capsella bursa-pastoris</w:t>
      </w:r>
      <w:r>
        <w:rPr>
          <w:bCs/>
          <w:color w:val="auto"/>
          <w:sz w:val="24"/>
          <w:highlight w:val="none"/>
        </w:rPr>
        <w:t>、菥蓂</w:t>
      </w:r>
      <w:r>
        <w:rPr>
          <w:bCs/>
          <w:i/>
          <w:color w:val="auto"/>
          <w:sz w:val="24"/>
          <w:highlight w:val="none"/>
        </w:rPr>
        <w:t>Thlaspi arvense</w:t>
      </w:r>
      <w:r>
        <w:rPr>
          <w:color w:val="auto"/>
          <w:sz w:val="24"/>
          <w:highlight w:val="none"/>
        </w:rPr>
        <w:t xml:space="preserve">等。 </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3、动物现状</w:t>
      </w:r>
    </w:p>
    <w:p>
      <w:pPr>
        <w:spacing w:line="360" w:lineRule="auto"/>
        <w:ind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 xml:space="preserve">两栖类 </w:t>
      </w:r>
    </w:p>
    <w:p>
      <w:pPr>
        <w:spacing w:line="360" w:lineRule="auto"/>
        <w:ind w:firstLine="480" w:firstLineChars="200"/>
        <w:rPr>
          <w:color w:val="auto"/>
          <w:sz w:val="24"/>
          <w:highlight w:val="none"/>
        </w:rPr>
      </w:pPr>
      <w:r>
        <w:rPr>
          <w:color w:val="auto"/>
          <w:sz w:val="24"/>
          <w:highlight w:val="none"/>
        </w:rPr>
        <w:t>经野外实地调查和参考相关资料，评价区分布和可能出现的两栖类有黑眶蟾蜍</w:t>
      </w:r>
      <w:r>
        <w:rPr>
          <w:i/>
          <w:color w:val="auto"/>
          <w:sz w:val="24"/>
          <w:highlight w:val="none"/>
        </w:rPr>
        <w:t>Bufo melanostictus</w:t>
      </w:r>
      <w:r>
        <w:rPr>
          <w:color w:val="auto"/>
          <w:sz w:val="24"/>
          <w:highlight w:val="none"/>
        </w:rPr>
        <w:t>、黑斑蛙</w:t>
      </w:r>
      <w:r>
        <w:rPr>
          <w:i/>
          <w:color w:val="auto"/>
          <w:sz w:val="24"/>
          <w:highlight w:val="none"/>
        </w:rPr>
        <w:t>Rana nigromaculata</w:t>
      </w:r>
      <w:r>
        <w:rPr>
          <w:color w:val="auto"/>
          <w:sz w:val="24"/>
          <w:highlight w:val="none"/>
        </w:rPr>
        <w:t>、无指盘臭蛙</w:t>
      </w:r>
      <w:r>
        <w:rPr>
          <w:i/>
          <w:color w:val="auto"/>
          <w:sz w:val="24"/>
          <w:highlight w:val="none"/>
        </w:rPr>
        <w:t>Rana grahami</w:t>
      </w:r>
      <w:r>
        <w:rPr>
          <w:color w:val="auto"/>
          <w:sz w:val="24"/>
          <w:highlight w:val="none"/>
        </w:rPr>
        <w:t xml:space="preserve">等种类。两栖类为伴水生活的动物，评价区内数量较少。 </w:t>
      </w:r>
    </w:p>
    <w:p>
      <w:pPr>
        <w:spacing w:line="360" w:lineRule="auto"/>
        <w:ind w:firstLine="480" w:firstLineChars="200"/>
        <w:rPr>
          <w:color w:val="auto"/>
          <w:sz w:val="24"/>
          <w:highlight w:val="none"/>
        </w:rPr>
      </w:pPr>
      <w:r>
        <w:rPr>
          <w:rFonts w:hint="eastAsia" w:ascii="宋体" w:hAnsi="宋体" w:cs="宋体"/>
          <w:color w:val="auto"/>
          <w:sz w:val="24"/>
          <w:highlight w:val="none"/>
        </w:rPr>
        <w:t>②</w:t>
      </w:r>
      <w:r>
        <w:rPr>
          <w:color w:val="auto"/>
          <w:sz w:val="24"/>
          <w:highlight w:val="none"/>
        </w:rPr>
        <w:t xml:space="preserve">爬行类 </w:t>
      </w:r>
    </w:p>
    <w:p>
      <w:pPr>
        <w:spacing w:line="360" w:lineRule="auto"/>
        <w:ind w:firstLine="480" w:firstLineChars="200"/>
        <w:rPr>
          <w:color w:val="auto"/>
          <w:sz w:val="24"/>
          <w:highlight w:val="none"/>
        </w:rPr>
      </w:pPr>
      <w:r>
        <w:rPr>
          <w:color w:val="auto"/>
          <w:sz w:val="24"/>
          <w:highlight w:val="none"/>
        </w:rPr>
        <w:t>经野外实地调查和参考相关资料，并综合考虑爬行类会在不同季节随温度变化而在一定海拔范围内上下移动的特点，评价区分布和可能出现的爬行类有铜蜓蜥</w:t>
      </w:r>
      <w:r>
        <w:rPr>
          <w:i/>
          <w:color w:val="auto"/>
          <w:sz w:val="24"/>
          <w:highlight w:val="none"/>
        </w:rPr>
        <w:t>Sphenomorphus indicus</w:t>
      </w:r>
      <w:r>
        <w:rPr>
          <w:color w:val="auto"/>
          <w:sz w:val="24"/>
          <w:highlight w:val="none"/>
        </w:rPr>
        <w:t xml:space="preserve">等常见的蜥蜴类，评价区内数量较少。 </w:t>
      </w:r>
    </w:p>
    <w:p>
      <w:pPr>
        <w:spacing w:line="360" w:lineRule="auto"/>
        <w:ind w:firstLine="480" w:firstLineChars="200"/>
        <w:rPr>
          <w:color w:val="auto"/>
          <w:sz w:val="24"/>
          <w:highlight w:val="none"/>
        </w:rPr>
      </w:pPr>
      <w:r>
        <w:rPr>
          <w:rFonts w:hint="eastAsia" w:ascii="宋体" w:hAnsi="宋体" w:cs="宋体"/>
          <w:color w:val="auto"/>
          <w:sz w:val="24"/>
          <w:highlight w:val="none"/>
        </w:rPr>
        <w:t>③</w:t>
      </w:r>
      <w:r>
        <w:rPr>
          <w:color w:val="auto"/>
          <w:sz w:val="24"/>
          <w:highlight w:val="none"/>
        </w:rPr>
        <w:t xml:space="preserve">鸟类 </w:t>
      </w:r>
    </w:p>
    <w:p>
      <w:pPr>
        <w:spacing w:line="360" w:lineRule="auto"/>
        <w:ind w:firstLine="480" w:firstLineChars="200"/>
        <w:rPr>
          <w:bCs/>
          <w:i/>
          <w:iCs/>
          <w:color w:val="auto"/>
          <w:sz w:val="24"/>
          <w:highlight w:val="none"/>
        </w:rPr>
      </w:pPr>
      <w:r>
        <w:rPr>
          <w:color w:val="auto"/>
          <w:sz w:val="24"/>
          <w:highlight w:val="none"/>
        </w:rPr>
        <w:t>评价区域处于村庄周边，人类干扰较多，鸟类主要以</w:t>
      </w:r>
      <w:r>
        <w:rPr>
          <w:bCs/>
          <w:color w:val="auto"/>
          <w:sz w:val="24"/>
          <w:highlight w:val="none"/>
        </w:rPr>
        <w:t>白鹭</w:t>
      </w:r>
      <w:r>
        <w:rPr>
          <w:i/>
          <w:iCs/>
          <w:color w:val="auto"/>
          <w:sz w:val="24"/>
          <w:highlight w:val="none"/>
        </w:rPr>
        <w:t>Egretta garzetta、</w:t>
      </w:r>
      <w:r>
        <w:rPr>
          <w:color w:val="auto"/>
          <w:sz w:val="24"/>
          <w:highlight w:val="none"/>
        </w:rPr>
        <w:t>麻雀</w:t>
      </w:r>
      <w:r>
        <w:rPr>
          <w:i/>
          <w:color w:val="auto"/>
          <w:sz w:val="24"/>
          <w:highlight w:val="none"/>
        </w:rPr>
        <w:t>Parus rutilans</w:t>
      </w:r>
      <w:r>
        <w:rPr>
          <w:color w:val="auto"/>
          <w:sz w:val="24"/>
          <w:highlight w:val="none"/>
        </w:rPr>
        <w:t>、白鹡鸰</w:t>
      </w:r>
      <w:r>
        <w:rPr>
          <w:bCs/>
          <w:i/>
          <w:iCs/>
          <w:color w:val="auto"/>
          <w:sz w:val="24"/>
          <w:highlight w:val="none"/>
        </w:rPr>
        <w:t>Motacilla alba、</w:t>
      </w:r>
      <w:r>
        <w:rPr>
          <w:bCs/>
          <w:iCs/>
          <w:color w:val="auto"/>
          <w:sz w:val="24"/>
          <w:highlight w:val="none"/>
        </w:rPr>
        <w:t>喜鹊</w:t>
      </w:r>
      <w:r>
        <w:rPr>
          <w:bCs/>
          <w:i/>
          <w:iCs/>
          <w:color w:val="auto"/>
          <w:sz w:val="24"/>
          <w:highlight w:val="none"/>
        </w:rPr>
        <w:t>Pica pica</w:t>
      </w:r>
      <w:r>
        <w:rPr>
          <w:bCs/>
          <w:iCs/>
          <w:color w:val="auto"/>
          <w:sz w:val="24"/>
          <w:highlight w:val="none"/>
        </w:rPr>
        <w:t>、家燕</w:t>
      </w:r>
      <w:r>
        <w:rPr>
          <w:bCs/>
          <w:i/>
          <w:iCs/>
          <w:color w:val="auto"/>
          <w:sz w:val="24"/>
          <w:highlight w:val="none"/>
        </w:rPr>
        <w:t>Hirundo rustica</w:t>
      </w:r>
      <w:r>
        <w:rPr>
          <w:color w:val="auto"/>
          <w:sz w:val="24"/>
          <w:highlight w:val="none"/>
        </w:rPr>
        <w:t>等为主，以农耕地和村落栖息的</w:t>
      </w:r>
      <w:r>
        <w:rPr>
          <w:rFonts w:hint="eastAsia"/>
          <w:color w:val="auto"/>
          <w:sz w:val="24"/>
          <w:highlight w:val="none"/>
        </w:rPr>
        <w:t>家燕</w:t>
      </w:r>
      <w:r>
        <w:rPr>
          <w:color w:val="auto"/>
          <w:sz w:val="24"/>
          <w:highlight w:val="none"/>
        </w:rPr>
        <w:t>、</w:t>
      </w:r>
      <w:r>
        <w:rPr>
          <w:rFonts w:hint="eastAsia"/>
          <w:color w:val="auto"/>
          <w:sz w:val="24"/>
          <w:highlight w:val="none"/>
        </w:rPr>
        <w:t>白鹡鸰</w:t>
      </w:r>
      <w:r>
        <w:rPr>
          <w:color w:val="auto"/>
          <w:sz w:val="24"/>
          <w:highlight w:val="none"/>
        </w:rPr>
        <w:t xml:space="preserve">、麻雀和喜鹊最常见。 </w:t>
      </w:r>
    </w:p>
    <w:p>
      <w:pPr>
        <w:spacing w:line="360" w:lineRule="auto"/>
        <w:ind w:firstLine="480" w:firstLineChars="200"/>
        <w:rPr>
          <w:color w:val="auto"/>
          <w:sz w:val="24"/>
          <w:highlight w:val="none"/>
        </w:rPr>
      </w:pPr>
      <w:r>
        <w:rPr>
          <w:rFonts w:hint="eastAsia" w:ascii="宋体" w:hAnsi="宋体" w:cs="宋体"/>
          <w:color w:val="auto"/>
          <w:sz w:val="24"/>
          <w:highlight w:val="none"/>
        </w:rPr>
        <w:t>④</w:t>
      </w:r>
      <w:r>
        <w:rPr>
          <w:color w:val="auto"/>
          <w:sz w:val="24"/>
          <w:highlight w:val="none"/>
        </w:rPr>
        <w:t xml:space="preserve">哺乳类 </w:t>
      </w:r>
    </w:p>
    <w:p>
      <w:pPr>
        <w:spacing w:line="360" w:lineRule="auto"/>
        <w:ind w:firstLine="480" w:firstLineChars="200"/>
        <w:rPr>
          <w:color w:val="auto"/>
          <w:sz w:val="24"/>
          <w:highlight w:val="none"/>
        </w:rPr>
      </w:pPr>
      <w:r>
        <w:rPr>
          <w:color w:val="auto"/>
          <w:sz w:val="24"/>
          <w:highlight w:val="none"/>
        </w:rPr>
        <w:t>经野外实地调查和参考相关资料，评价区分布的哺乳类有小家鼠</w:t>
      </w:r>
      <w:r>
        <w:rPr>
          <w:i/>
          <w:color w:val="auto"/>
          <w:sz w:val="24"/>
          <w:highlight w:val="none"/>
        </w:rPr>
        <w:t>Mus musculus</w:t>
      </w:r>
      <w:r>
        <w:rPr>
          <w:color w:val="auto"/>
          <w:sz w:val="24"/>
          <w:highlight w:val="none"/>
        </w:rPr>
        <w:t>、黄胸鼠R</w:t>
      </w:r>
      <w:r>
        <w:rPr>
          <w:i/>
          <w:color w:val="auto"/>
          <w:sz w:val="24"/>
          <w:highlight w:val="none"/>
        </w:rPr>
        <w:t>attus flavipectus</w:t>
      </w:r>
      <w:r>
        <w:rPr>
          <w:color w:val="auto"/>
          <w:sz w:val="24"/>
          <w:highlight w:val="none"/>
        </w:rPr>
        <w:t>、褐家鼠</w:t>
      </w:r>
      <w:r>
        <w:rPr>
          <w:i/>
          <w:color w:val="auto"/>
          <w:sz w:val="24"/>
          <w:highlight w:val="none"/>
        </w:rPr>
        <w:t>Rattus norvegicus</w:t>
      </w:r>
      <w:r>
        <w:rPr>
          <w:color w:val="auto"/>
          <w:sz w:val="24"/>
          <w:highlight w:val="none"/>
        </w:rPr>
        <w:t>等种类，在评价区的农耕地和</w:t>
      </w:r>
      <w:r>
        <w:rPr>
          <w:rFonts w:hint="eastAsia"/>
          <w:color w:val="auto"/>
          <w:sz w:val="24"/>
          <w:highlight w:val="none"/>
        </w:rPr>
        <w:t>居民点</w:t>
      </w:r>
      <w:r>
        <w:rPr>
          <w:color w:val="auto"/>
          <w:sz w:val="24"/>
          <w:highlight w:val="none"/>
        </w:rPr>
        <w:t xml:space="preserve">活动的鼠科较为常见。  </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4、评价区重要物种</w:t>
      </w:r>
    </w:p>
    <w:p>
      <w:pPr>
        <w:spacing w:line="360" w:lineRule="auto"/>
        <w:ind w:firstLine="480" w:firstLineChars="200"/>
        <w:rPr>
          <w:color w:val="auto"/>
          <w:sz w:val="24"/>
          <w:highlight w:val="none"/>
        </w:rPr>
      </w:pPr>
      <w:r>
        <w:rPr>
          <w:color w:val="auto"/>
          <w:sz w:val="24"/>
          <w:highlight w:val="none"/>
        </w:rPr>
        <w:t>重要物种important species：在生态影响评价中需要重点关注、具有较高保护价值或保护要求的物种，包括国家及地方重点保护野生动植物名录所列的物种，《中国生物多样性红色名录》中列为极危（Critically Endangered）、濒危（Endangered）和易危（Vulnerable）的物种，国家和地方政府列入拯救保护的极小种群物种，特有种以及古树名木等。</w:t>
      </w:r>
    </w:p>
    <w:p>
      <w:pPr>
        <w:spacing w:line="360" w:lineRule="auto"/>
        <w:ind w:firstLine="480" w:firstLineChars="200"/>
        <w:rPr>
          <w:b w:val="0"/>
          <w:bCs/>
          <w:color w:val="auto"/>
          <w:sz w:val="24"/>
          <w:highlight w:val="none"/>
        </w:rPr>
      </w:pPr>
      <w:r>
        <w:rPr>
          <w:b w:val="0"/>
          <w:bCs/>
          <w:color w:val="auto"/>
          <w:sz w:val="24"/>
          <w:highlight w:val="none"/>
        </w:rPr>
        <w:t>（1）、重要植物</w:t>
      </w:r>
    </w:p>
    <w:p>
      <w:pPr>
        <w:spacing w:line="360" w:lineRule="auto"/>
        <w:ind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国家重点保护野生植物</w:t>
      </w:r>
    </w:p>
    <w:p>
      <w:pPr>
        <w:spacing w:line="360" w:lineRule="auto"/>
        <w:ind w:firstLine="480" w:firstLineChars="200"/>
        <w:rPr>
          <w:color w:val="auto"/>
          <w:sz w:val="24"/>
          <w:highlight w:val="none"/>
        </w:rPr>
      </w:pPr>
      <w:r>
        <w:rPr>
          <w:color w:val="auto"/>
          <w:sz w:val="24"/>
          <w:highlight w:val="none"/>
        </w:rPr>
        <w:t>经对照《国家重点保护野生植物名录》（国家林业和草原局农业农村部，2021年），评价区未记录国家重点保护野生植物。</w:t>
      </w:r>
    </w:p>
    <w:p>
      <w:pPr>
        <w:spacing w:line="360" w:lineRule="auto"/>
        <w:ind w:firstLine="480" w:firstLineChars="200"/>
        <w:rPr>
          <w:color w:val="auto"/>
          <w:sz w:val="24"/>
          <w:highlight w:val="none"/>
        </w:rPr>
      </w:pPr>
      <w:r>
        <w:rPr>
          <w:rFonts w:hint="eastAsia" w:ascii="宋体" w:hAnsi="宋体" w:cs="宋体"/>
          <w:color w:val="auto"/>
          <w:sz w:val="24"/>
          <w:highlight w:val="none"/>
        </w:rPr>
        <w:t>②</w:t>
      </w:r>
      <w:r>
        <w:rPr>
          <w:color w:val="auto"/>
          <w:sz w:val="24"/>
          <w:highlight w:val="none"/>
        </w:rPr>
        <w:t>云南省重点保护野生植物</w:t>
      </w:r>
    </w:p>
    <w:p>
      <w:pPr>
        <w:spacing w:line="360" w:lineRule="auto"/>
        <w:ind w:firstLine="480" w:firstLineChars="200"/>
        <w:rPr>
          <w:color w:val="auto"/>
          <w:sz w:val="24"/>
          <w:highlight w:val="none"/>
        </w:rPr>
      </w:pPr>
      <w:r>
        <w:rPr>
          <w:color w:val="auto"/>
          <w:sz w:val="24"/>
          <w:highlight w:val="none"/>
        </w:rPr>
        <w:t>根据《云南省第一批省级重点保护野生植物名录》（云南省环境保护委员会，1989年），评价区未记录云南省重点保护野生植物。</w:t>
      </w:r>
    </w:p>
    <w:p>
      <w:pPr>
        <w:spacing w:line="360" w:lineRule="auto"/>
        <w:ind w:firstLine="480" w:firstLineChars="200"/>
        <w:rPr>
          <w:color w:val="auto"/>
          <w:sz w:val="24"/>
          <w:highlight w:val="none"/>
        </w:rPr>
      </w:pPr>
      <w:r>
        <w:rPr>
          <w:rFonts w:hint="eastAsia" w:ascii="宋体" w:hAnsi="宋体" w:cs="宋体"/>
          <w:color w:val="auto"/>
          <w:sz w:val="24"/>
          <w:highlight w:val="none"/>
        </w:rPr>
        <w:t>③</w:t>
      </w:r>
      <w:r>
        <w:rPr>
          <w:color w:val="auto"/>
          <w:sz w:val="24"/>
          <w:highlight w:val="none"/>
        </w:rPr>
        <w:t>红色物种受威胁植物</w:t>
      </w:r>
    </w:p>
    <w:p>
      <w:pPr>
        <w:spacing w:line="360" w:lineRule="auto"/>
        <w:ind w:firstLine="480" w:firstLineChars="200"/>
        <w:rPr>
          <w:color w:val="auto"/>
          <w:sz w:val="24"/>
          <w:highlight w:val="none"/>
        </w:rPr>
      </w:pPr>
      <w:r>
        <w:rPr>
          <w:color w:val="auto"/>
          <w:sz w:val="24"/>
          <w:highlight w:val="none"/>
        </w:rPr>
        <w:t>经对照《中国生物多样性红色名录—高等植物卷（2020）》（生态环境部中国科学院2023年第15号公告），评价区未记录到受威胁植物。</w:t>
      </w:r>
    </w:p>
    <w:p>
      <w:pPr>
        <w:spacing w:line="360" w:lineRule="auto"/>
        <w:ind w:firstLine="480" w:firstLineChars="200"/>
        <w:rPr>
          <w:color w:val="auto"/>
          <w:sz w:val="24"/>
          <w:highlight w:val="none"/>
        </w:rPr>
      </w:pPr>
      <w:r>
        <w:rPr>
          <w:rFonts w:hint="eastAsia" w:ascii="宋体" w:hAnsi="宋体" w:cs="宋体"/>
          <w:color w:val="auto"/>
          <w:sz w:val="24"/>
          <w:highlight w:val="none"/>
        </w:rPr>
        <w:t>④</w:t>
      </w:r>
      <w:r>
        <w:rPr>
          <w:color w:val="auto"/>
          <w:sz w:val="24"/>
          <w:highlight w:val="none"/>
        </w:rPr>
        <w:t>评价区名木古树</w:t>
      </w:r>
    </w:p>
    <w:p>
      <w:pPr>
        <w:spacing w:line="360" w:lineRule="auto"/>
        <w:ind w:firstLine="480" w:firstLineChars="200"/>
        <w:rPr>
          <w:color w:val="auto"/>
          <w:sz w:val="24"/>
          <w:highlight w:val="none"/>
        </w:rPr>
      </w:pPr>
      <w:r>
        <w:rPr>
          <w:color w:val="auto"/>
          <w:sz w:val="24"/>
          <w:highlight w:val="none"/>
        </w:rPr>
        <w:t>按照全国绿化委员会、国家林业局文件（全绿字〔2001〕15号）对古树名木的界定，古树指树龄在100年以上的树木；名木指在历史上或社会上有重大影响的中外历代名人、领袖人物所植或者具有极其重要的历史、文化价值、纪念意义的树木。古树名木的分级及标准:古树分为国家Ⅰ、Ⅱ、Ⅲ级，国家Ⅰ级古树树龄500年以上，国家Ⅱ级古树300-499年，国家Ⅲ级古树100-299年。国家级名木不受年龄限制，不分级。</w:t>
      </w:r>
    </w:p>
    <w:p>
      <w:pPr>
        <w:spacing w:line="360" w:lineRule="auto"/>
        <w:ind w:firstLine="480" w:firstLineChars="200"/>
        <w:rPr>
          <w:color w:val="auto"/>
          <w:sz w:val="24"/>
          <w:highlight w:val="none"/>
        </w:rPr>
      </w:pPr>
      <w:r>
        <w:rPr>
          <w:color w:val="auto"/>
          <w:sz w:val="24"/>
          <w:highlight w:val="none"/>
        </w:rPr>
        <w:t>本评价区未发现有名木古树分布。</w:t>
      </w:r>
    </w:p>
    <w:p>
      <w:pPr>
        <w:spacing w:line="360" w:lineRule="auto"/>
        <w:ind w:firstLine="480" w:firstLineChars="200"/>
        <w:rPr>
          <w:color w:val="auto"/>
          <w:sz w:val="24"/>
          <w:highlight w:val="none"/>
        </w:rPr>
      </w:pPr>
      <w:r>
        <w:rPr>
          <w:rFonts w:hint="eastAsia"/>
          <w:color w:val="auto"/>
          <w:sz w:val="24"/>
          <w:highlight w:val="none"/>
        </w:rPr>
        <w:t>⑤</w:t>
      </w:r>
      <w:r>
        <w:rPr>
          <w:color w:val="auto"/>
          <w:sz w:val="24"/>
          <w:highlight w:val="none"/>
        </w:rPr>
        <w:t>评价区极小种群植物</w:t>
      </w:r>
    </w:p>
    <w:p>
      <w:pPr>
        <w:spacing w:line="360" w:lineRule="auto"/>
        <w:ind w:firstLine="480" w:firstLineChars="200"/>
        <w:rPr>
          <w:color w:val="auto"/>
          <w:sz w:val="24"/>
          <w:highlight w:val="none"/>
        </w:rPr>
      </w:pPr>
      <w:r>
        <w:rPr>
          <w:color w:val="auto"/>
          <w:sz w:val="24"/>
          <w:highlight w:val="none"/>
        </w:rPr>
        <w:t>经对照《全国极小种群野生植物拯救保护工程规划》（2011-2015年）、《云南省极小种群野生植物保护名录》（云南省林业和草原局，2021版），评价区未发现国家和云南省发布的极小种群野生植物。</w:t>
      </w:r>
    </w:p>
    <w:p>
      <w:pPr>
        <w:spacing w:line="360" w:lineRule="auto"/>
        <w:ind w:firstLine="480" w:firstLineChars="200"/>
        <w:rPr>
          <w:color w:val="auto"/>
          <w:sz w:val="24"/>
          <w:highlight w:val="none"/>
        </w:rPr>
      </w:pPr>
      <w:r>
        <w:rPr>
          <w:rFonts w:hint="eastAsia"/>
          <w:color w:val="auto"/>
          <w:sz w:val="24"/>
          <w:highlight w:val="none"/>
        </w:rPr>
        <w:t>⑥</w:t>
      </w:r>
      <w:r>
        <w:rPr>
          <w:color w:val="auto"/>
          <w:sz w:val="24"/>
          <w:highlight w:val="none"/>
        </w:rPr>
        <w:t>特有植物</w:t>
      </w:r>
    </w:p>
    <w:p>
      <w:pPr>
        <w:spacing w:line="360" w:lineRule="auto"/>
        <w:ind w:firstLine="480" w:firstLineChars="200"/>
        <w:rPr>
          <w:color w:val="auto"/>
          <w:sz w:val="24"/>
          <w:highlight w:val="none"/>
        </w:rPr>
      </w:pPr>
      <w:r>
        <w:rPr>
          <w:color w:val="auto"/>
          <w:sz w:val="24"/>
          <w:highlight w:val="none"/>
        </w:rPr>
        <w:t>特有植物指分布范围局限于特定地理区域的植物。在云南，通常将特有植物分为狭域特有植物、云南特有植物两类。</w:t>
      </w:r>
    </w:p>
    <w:p>
      <w:pPr>
        <w:spacing w:line="360" w:lineRule="auto"/>
        <w:ind w:firstLine="480" w:firstLineChars="200"/>
        <w:rPr>
          <w:color w:val="auto"/>
          <w:sz w:val="24"/>
          <w:highlight w:val="none"/>
        </w:rPr>
      </w:pPr>
      <w:r>
        <w:rPr>
          <w:color w:val="auto"/>
          <w:sz w:val="24"/>
          <w:highlight w:val="none"/>
        </w:rPr>
        <w:t>A狭域特有植物：指仅分布于该项目评价区，或该项目所在的寻甸县，其分布区域很狭窄的物种。从现场调查中，没有发现狭域特有植物。</w:t>
      </w:r>
    </w:p>
    <w:p>
      <w:pPr>
        <w:spacing w:line="360" w:lineRule="auto"/>
        <w:ind w:firstLine="480" w:firstLineChars="200"/>
        <w:rPr>
          <w:color w:val="auto"/>
          <w:sz w:val="24"/>
          <w:highlight w:val="none"/>
        </w:rPr>
      </w:pPr>
      <w:r>
        <w:rPr>
          <w:color w:val="auto"/>
          <w:sz w:val="24"/>
          <w:highlight w:val="none"/>
        </w:rPr>
        <w:t>B云南特有植物：云南特有植物指自然分布区域不超出云南省范围的物种。从现场调查中，没有发现云南特有植物。</w:t>
      </w:r>
    </w:p>
    <w:p>
      <w:pPr>
        <w:spacing w:line="360" w:lineRule="auto"/>
        <w:ind w:firstLine="480" w:firstLineChars="200"/>
        <w:rPr>
          <w:color w:val="auto"/>
          <w:sz w:val="24"/>
          <w:highlight w:val="none"/>
        </w:rPr>
      </w:pPr>
      <w:r>
        <w:rPr>
          <w:rFonts w:hint="eastAsia"/>
          <w:color w:val="auto"/>
          <w:sz w:val="24"/>
          <w:highlight w:val="none"/>
        </w:rPr>
        <w:t>⑦</w:t>
      </w:r>
      <w:r>
        <w:rPr>
          <w:color w:val="auto"/>
          <w:sz w:val="24"/>
          <w:highlight w:val="none"/>
        </w:rPr>
        <w:t>外来入侵植物</w:t>
      </w:r>
    </w:p>
    <w:p>
      <w:pPr>
        <w:spacing w:line="360" w:lineRule="auto"/>
        <w:ind w:firstLine="480" w:firstLineChars="200"/>
        <w:rPr>
          <w:color w:val="auto"/>
          <w:sz w:val="24"/>
          <w:highlight w:val="none"/>
        </w:rPr>
      </w:pPr>
      <w:r>
        <w:rPr>
          <w:color w:val="auto"/>
          <w:sz w:val="24"/>
          <w:highlight w:val="none"/>
        </w:rPr>
        <w:t>按照《云南省外来入侵物种名录（2019版）》（云南省生态环境厅等，2019年）发布的名录统计，评价区记录到鬼针草</w:t>
      </w:r>
      <w:r>
        <w:rPr>
          <w:i/>
          <w:color w:val="auto"/>
          <w:sz w:val="24"/>
          <w:highlight w:val="none"/>
        </w:rPr>
        <w:t>Bidens pilosa</w:t>
      </w:r>
      <w:r>
        <w:rPr>
          <w:color w:val="auto"/>
          <w:sz w:val="24"/>
          <w:highlight w:val="none"/>
        </w:rPr>
        <w:t>、飞机草</w:t>
      </w:r>
      <w:r>
        <w:rPr>
          <w:i/>
          <w:color w:val="auto"/>
          <w:sz w:val="24"/>
          <w:highlight w:val="none"/>
        </w:rPr>
        <w:t>Chromolaena odorata</w:t>
      </w:r>
      <w:r>
        <w:rPr>
          <w:color w:val="auto"/>
          <w:sz w:val="24"/>
          <w:highlight w:val="none"/>
        </w:rPr>
        <w:t>等入侵植物。</w:t>
      </w:r>
    </w:p>
    <w:p>
      <w:pPr>
        <w:spacing w:line="360" w:lineRule="auto"/>
        <w:ind w:firstLine="480" w:firstLineChars="200"/>
        <w:rPr>
          <w:b w:val="0"/>
          <w:bCs/>
          <w:color w:val="auto"/>
          <w:sz w:val="24"/>
          <w:highlight w:val="none"/>
        </w:rPr>
      </w:pPr>
      <w:r>
        <w:rPr>
          <w:b w:val="0"/>
          <w:bCs/>
          <w:color w:val="auto"/>
          <w:sz w:val="24"/>
          <w:highlight w:val="none"/>
        </w:rPr>
        <w:t>（2）、重要动物</w:t>
      </w:r>
    </w:p>
    <w:p>
      <w:pPr>
        <w:spacing w:line="360" w:lineRule="auto"/>
        <w:ind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国家重点保护野生动物</w:t>
      </w:r>
    </w:p>
    <w:p>
      <w:pPr>
        <w:spacing w:line="360" w:lineRule="auto"/>
        <w:ind w:firstLine="480" w:firstLineChars="200"/>
        <w:rPr>
          <w:color w:val="auto"/>
          <w:sz w:val="24"/>
          <w:highlight w:val="none"/>
        </w:rPr>
      </w:pPr>
      <w:r>
        <w:rPr>
          <w:color w:val="auto"/>
          <w:sz w:val="24"/>
          <w:highlight w:val="none"/>
        </w:rPr>
        <w:t>根据</w:t>
      </w:r>
      <w:r>
        <w:rPr>
          <w:bCs/>
          <w:color w:val="auto"/>
          <w:sz w:val="24"/>
          <w:highlight w:val="none"/>
        </w:rPr>
        <w:t>《国家重点保护野生动物名录》（国家林业和草原局 农业农村部公告2021年第3号）</w:t>
      </w:r>
      <w:r>
        <w:rPr>
          <w:color w:val="auto"/>
          <w:sz w:val="24"/>
          <w:highlight w:val="none"/>
        </w:rPr>
        <w:t>，评价区未记录到国家级重点保护野生动物。</w:t>
      </w:r>
    </w:p>
    <w:p>
      <w:pPr>
        <w:spacing w:line="360" w:lineRule="auto"/>
        <w:ind w:firstLine="480" w:firstLineChars="200"/>
        <w:rPr>
          <w:color w:val="auto"/>
          <w:sz w:val="24"/>
          <w:highlight w:val="none"/>
        </w:rPr>
      </w:pPr>
      <w:r>
        <w:rPr>
          <w:rFonts w:hint="eastAsia" w:ascii="宋体" w:hAnsi="宋体" w:cs="宋体"/>
          <w:color w:val="auto"/>
          <w:sz w:val="24"/>
          <w:highlight w:val="none"/>
        </w:rPr>
        <w:t>②</w:t>
      </w:r>
      <w:r>
        <w:rPr>
          <w:color w:val="auto"/>
          <w:sz w:val="24"/>
          <w:highlight w:val="none"/>
        </w:rPr>
        <w:t>云南省重点保护野生动物</w:t>
      </w:r>
    </w:p>
    <w:p>
      <w:pPr>
        <w:spacing w:line="360" w:lineRule="auto"/>
        <w:ind w:firstLine="480" w:firstLineChars="200"/>
        <w:rPr>
          <w:color w:val="auto"/>
          <w:sz w:val="24"/>
          <w:highlight w:val="none"/>
        </w:rPr>
      </w:pPr>
      <w:r>
        <w:rPr>
          <w:color w:val="auto"/>
          <w:sz w:val="24"/>
          <w:highlight w:val="none"/>
        </w:rPr>
        <w:t>根据《云南省省级重点保护野生动物名录》（1988年），评价区内未记录到云南省重点保护动物。</w:t>
      </w:r>
    </w:p>
    <w:p>
      <w:pPr>
        <w:spacing w:line="360" w:lineRule="auto"/>
        <w:ind w:firstLine="480" w:firstLineChars="200"/>
        <w:rPr>
          <w:color w:val="auto"/>
          <w:sz w:val="24"/>
          <w:highlight w:val="none"/>
        </w:rPr>
      </w:pPr>
      <w:r>
        <w:rPr>
          <w:rFonts w:hint="eastAsia" w:ascii="宋体" w:hAnsi="宋体" w:cs="宋体"/>
          <w:color w:val="auto"/>
          <w:sz w:val="24"/>
          <w:highlight w:val="none"/>
        </w:rPr>
        <w:t>③</w:t>
      </w:r>
      <w:r>
        <w:rPr>
          <w:color w:val="auto"/>
          <w:sz w:val="24"/>
          <w:highlight w:val="none"/>
        </w:rPr>
        <w:t>红色物种受威胁动物</w:t>
      </w:r>
    </w:p>
    <w:p>
      <w:pPr>
        <w:spacing w:line="360" w:lineRule="auto"/>
        <w:ind w:firstLine="480" w:firstLineChars="200"/>
        <w:rPr>
          <w:color w:val="auto"/>
          <w:sz w:val="24"/>
          <w:highlight w:val="none"/>
        </w:rPr>
      </w:pPr>
      <w:r>
        <w:rPr>
          <w:rFonts w:hint="eastAsia"/>
          <w:color w:val="auto"/>
          <w:sz w:val="24"/>
          <w:highlight w:val="none"/>
        </w:rPr>
        <w:t>根据</w:t>
      </w:r>
      <w:r>
        <w:rPr>
          <w:bCs/>
          <w:color w:val="auto"/>
          <w:sz w:val="24"/>
          <w:highlight w:val="none"/>
        </w:rPr>
        <w:t>《中国生物多样性红色名录—脊椎动物卷（2020）》（生态环境部中国科学院2023年第15号公告）</w:t>
      </w:r>
      <w:r>
        <w:rPr>
          <w:color w:val="auto"/>
          <w:sz w:val="24"/>
          <w:highlight w:val="none"/>
        </w:rPr>
        <w:t>，评价区未记录到</w:t>
      </w:r>
      <w:r>
        <w:rPr>
          <w:rFonts w:hint="eastAsia"/>
          <w:color w:val="auto"/>
          <w:sz w:val="24"/>
          <w:highlight w:val="none"/>
        </w:rPr>
        <w:t>受威胁</w:t>
      </w:r>
      <w:r>
        <w:rPr>
          <w:color w:val="auto"/>
          <w:sz w:val="24"/>
          <w:highlight w:val="none"/>
        </w:rPr>
        <w:t>动物物种。</w:t>
      </w:r>
    </w:p>
    <w:p>
      <w:pPr>
        <w:spacing w:line="360" w:lineRule="auto"/>
        <w:ind w:firstLine="480" w:firstLineChars="200"/>
        <w:rPr>
          <w:color w:val="auto"/>
          <w:sz w:val="24"/>
          <w:highlight w:val="none"/>
        </w:rPr>
      </w:pPr>
      <w:r>
        <w:rPr>
          <w:rFonts w:hint="eastAsia" w:ascii="宋体" w:hAnsi="宋体" w:cs="宋体"/>
          <w:color w:val="auto"/>
          <w:sz w:val="24"/>
          <w:highlight w:val="none"/>
        </w:rPr>
        <w:t>④</w:t>
      </w:r>
      <w:r>
        <w:rPr>
          <w:color w:val="auto"/>
          <w:sz w:val="24"/>
          <w:highlight w:val="none"/>
        </w:rPr>
        <w:t>评价区特有动物</w:t>
      </w:r>
    </w:p>
    <w:p>
      <w:pPr>
        <w:spacing w:line="360" w:lineRule="auto"/>
        <w:ind w:firstLine="480" w:firstLineChars="200"/>
        <w:rPr>
          <w:rFonts w:ascii="Times New Roman" w:hAnsi="Times New Roman" w:eastAsia="宋体" w:cs="Times New Roman"/>
          <w:color w:val="auto"/>
          <w:sz w:val="24"/>
          <w:highlight w:val="none"/>
        </w:rPr>
      </w:pPr>
      <w:r>
        <w:rPr>
          <w:color w:val="auto"/>
          <w:sz w:val="24"/>
          <w:highlight w:val="none"/>
        </w:rPr>
        <w:t>评价区未记录到《</w:t>
      </w:r>
      <w:r>
        <w:rPr>
          <w:rFonts w:hint="eastAsia"/>
          <w:color w:val="auto"/>
          <w:sz w:val="24"/>
          <w:highlight w:val="none"/>
        </w:rPr>
        <w:t>中国生物多样性红色名录—脊椎动物卷（2020）</w:t>
      </w:r>
      <w:r>
        <w:rPr>
          <w:color w:val="auto"/>
          <w:sz w:val="24"/>
          <w:highlight w:val="none"/>
        </w:rPr>
        <w:t>》（</w:t>
      </w:r>
      <w:r>
        <w:rPr>
          <w:rFonts w:hint="eastAsia"/>
          <w:color w:val="auto"/>
          <w:sz w:val="24"/>
          <w:highlight w:val="none"/>
        </w:rPr>
        <w:t>生</w:t>
      </w:r>
      <w:r>
        <w:rPr>
          <w:rFonts w:hint="eastAsia" w:ascii="Times New Roman" w:hAnsi="Times New Roman" w:eastAsia="宋体" w:cs="Times New Roman"/>
          <w:color w:val="auto"/>
          <w:sz w:val="24"/>
          <w:highlight w:val="none"/>
        </w:rPr>
        <w:t>态环境部</w:t>
      </w:r>
      <w:r>
        <w:rPr>
          <w:rFonts w:ascii="Times New Roman" w:hAnsi="Times New Roman" w:eastAsia="宋体" w:cs="Times New Roman"/>
          <w:color w:val="auto"/>
          <w:sz w:val="24"/>
          <w:highlight w:val="none"/>
        </w:rPr>
        <w:t>中国科学院</w:t>
      </w:r>
      <w:r>
        <w:rPr>
          <w:rFonts w:hint="eastAsia" w:ascii="Times New Roman" w:hAnsi="Times New Roman" w:eastAsia="宋体" w:cs="Times New Roman"/>
          <w:color w:val="auto"/>
          <w:sz w:val="24"/>
          <w:highlight w:val="none"/>
        </w:rPr>
        <w:t>2023年第15号公告</w:t>
      </w:r>
      <w:r>
        <w:rPr>
          <w:rFonts w:ascii="Times New Roman" w:hAnsi="Times New Roman" w:eastAsia="宋体" w:cs="Times New Roman"/>
          <w:color w:val="auto"/>
          <w:sz w:val="24"/>
          <w:highlight w:val="none"/>
        </w:rPr>
        <w:t>）中的特有物种。</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5、评价区重要生境</w:t>
      </w:r>
    </w:p>
    <w:p>
      <w:pPr>
        <w:spacing w:line="360" w:lineRule="auto"/>
        <w:ind w:firstLine="480" w:firstLineChars="200"/>
        <w:rPr>
          <w:color w:val="auto"/>
          <w:sz w:val="24"/>
          <w:highlight w:val="none"/>
        </w:rPr>
      </w:pPr>
      <w:r>
        <w:rPr>
          <w:color w:val="auto"/>
          <w:sz w:val="24"/>
          <w:highlight w:val="none"/>
        </w:rPr>
        <w:t>根据《环境影响评价技术导则  生态影响》（HJ19-2022），重要生境包括：重要物种的天然集中分布区、栖息地，重要水生生物的产卵场、索饵场、越冬场和洄游通道，迁徙鸟类的重要繁殖地、停歇地、越冬地以及野生动物迁徙通道等。评价区没有重要生境。</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6、评价区水土流失现状</w:t>
      </w:r>
    </w:p>
    <w:p>
      <w:pPr>
        <w:spacing w:line="360" w:lineRule="auto"/>
        <w:ind w:firstLine="480"/>
        <w:jc w:val="left"/>
        <w:rPr>
          <w:color w:val="auto"/>
          <w:sz w:val="24"/>
          <w:highlight w:val="none"/>
        </w:rPr>
      </w:pPr>
      <w:r>
        <w:rPr>
          <w:color w:val="auto"/>
          <w:sz w:val="24"/>
          <w:highlight w:val="none"/>
        </w:rPr>
        <w:t>根据《云南省水土流失调查成果公告（2015）》（云南省水利厅，2017年8月），寻甸县土地总面积为3593.28km</w:t>
      </w:r>
      <w:r>
        <w:rPr>
          <w:color w:val="auto"/>
          <w:sz w:val="24"/>
          <w:highlight w:val="none"/>
          <w:vertAlign w:val="superscript"/>
        </w:rPr>
        <w:t>2</w:t>
      </w:r>
      <w:r>
        <w:rPr>
          <w:color w:val="auto"/>
          <w:sz w:val="24"/>
          <w:highlight w:val="none"/>
        </w:rPr>
        <w:t>，水土流失面积1210.47km</w:t>
      </w:r>
      <w:r>
        <w:rPr>
          <w:color w:val="auto"/>
          <w:sz w:val="24"/>
          <w:highlight w:val="none"/>
          <w:vertAlign w:val="superscript"/>
        </w:rPr>
        <w:t>2</w:t>
      </w:r>
      <w:r>
        <w:rPr>
          <w:color w:val="auto"/>
          <w:sz w:val="24"/>
          <w:highlight w:val="none"/>
        </w:rPr>
        <w:t>，占全区总土地面积的33.69%。其中：轻度流失860.44km</w:t>
      </w:r>
      <w:r>
        <w:rPr>
          <w:color w:val="auto"/>
          <w:sz w:val="24"/>
          <w:highlight w:val="none"/>
          <w:vertAlign w:val="superscript"/>
        </w:rPr>
        <w:t>2</w:t>
      </w:r>
      <w:r>
        <w:rPr>
          <w:color w:val="auto"/>
          <w:sz w:val="24"/>
          <w:highlight w:val="none"/>
        </w:rPr>
        <w:t>，占流失面积的71.08%；中度流失198.85km</w:t>
      </w:r>
      <w:r>
        <w:rPr>
          <w:color w:val="auto"/>
          <w:sz w:val="24"/>
          <w:highlight w:val="none"/>
          <w:vertAlign w:val="superscript"/>
        </w:rPr>
        <w:t>2</w:t>
      </w:r>
      <w:r>
        <w:rPr>
          <w:color w:val="auto"/>
          <w:sz w:val="24"/>
          <w:highlight w:val="none"/>
        </w:rPr>
        <w:t>，占流失面积的16.43%，强烈流失81.47km</w:t>
      </w:r>
      <w:r>
        <w:rPr>
          <w:color w:val="auto"/>
          <w:sz w:val="24"/>
          <w:highlight w:val="none"/>
          <w:vertAlign w:val="superscript"/>
        </w:rPr>
        <w:t>2</w:t>
      </w:r>
      <w:r>
        <w:rPr>
          <w:color w:val="auto"/>
          <w:sz w:val="24"/>
          <w:highlight w:val="none"/>
        </w:rPr>
        <w:t>， 占流失面积的6.73%，极强烈流失55.13km</w:t>
      </w:r>
      <w:r>
        <w:rPr>
          <w:color w:val="auto"/>
          <w:sz w:val="24"/>
          <w:highlight w:val="none"/>
          <w:vertAlign w:val="superscript"/>
        </w:rPr>
        <w:t>2</w:t>
      </w:r>
      <w:r>
        <w:rPr>
          <w:color w:val="auto"/>
          <w:sz w:val="24"/>
          <w:highlight w:val="none"/>
        </w:rPr>
        <w:t>，占流失面积的4.55%，剧烈流失14.58km</w:t>
      </w:r>
      <w:r>
        <w:rPr>
          <w:color w:val="auto"/>
          <w:sz w:val="24"/>
          <w:highlight w:val="none"/>
          <w:vertAlign w:val="superscript"/>
        </w:rPr>
        <w:t>2</w:t>
      </w:r>
      <w:r>
        <w:rPr>
          <w:color w:val="auto"/>
          <w:sz w:val="24"/>
          <w:highlight w:val="none"/>
        </w:rPr>
        <w:t>，占流失面积的1.20%。</w:t>
      </w:r>
    </w:p>
    <w:p>
      <w:pPr>
        <w:spacing w:line="360" w:lineRule="auto"/>
        <w:ind w:firstLine="480"/>
        <w:jc w:val="center"/>
        <w:rPr>
          <w:b/>
          <w:bCs/>
          <w:color w:val="auto"/>
          <w:sz w:val="24"/>
          <w:highlight w:val="none"/>
        </w:rPr>
      </w:pPr>
    </w:p>
    <w:p>
      <w:pPr>
        <w:spacing w:line="360" w:lineRule="auto"/>
        <w:ind w:firstLine="480"/>
        <w:jc w:val="center"/>
        <w:rPr>
          <w:color w:val="auto"/>
          <w:sz w:val="24"/>
          <w:highlight w:val="none"/>
        </w:rPr>
      </w:pPr>
      <w:r>
        <w:rPr>
          <w:b/>
          <w:bCs/>
          <w:color w:val="auto"/>
          <w:sz w:val="24"/>
          <w:highlight w:val="none"/>
        </w:rPr>
        <w:t>表</w:t>
      </w:r>
      <w:r>
        <w:rPr>
          <w:rFonts w:hint="eastAsia"/>
          <w:b/>
          <w:bCs/>
          <w:color w:val="auto"/>
          <w:sz w:val="24"/>
          <w:highlight w:val="none"/>
          <w:lang w:val="en-US" w:eastAsia="zh-CN"/>
        </w:rPr>
        <w:t>4.2-11</w:t>
      </w:r>
      <w:r>
        <w:rPr>
          <w:rFonts w:hint="eastAsia"/>
          <w:b/>
          <w:bCs/>
          <w:color w:val="auto"/>
          <w:sz w:val="24"/>
          <w:highlight w:val="none"/>
        </w:rPr>
        <w:t xml:space="preserve">  </w:t>
      </w:r>
      <w:r>
        <w:rPr>
          <w:b/>
          <w:bCs/>
          <w:color w:val="auto"/>
          <w:sz w:val="24"/>
          <w:highlight w:val="none"/>
        </w:rPr>
        <w:t>寻甸回族彝族自治县水土流失现状面积统计表 单位：km</w:t>
      </w:r>
      <w:r>
        <w:rPr>
          <w:b/>
          <w:bCs/>
          <w:color w:val="auto"/>
          <w:sz w:val="24"/>
          <w:highlight w:val="none"/>
          <w:vertAlign w:val="superscript"/>
        </w:rPr>
        <w:t>2</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95"/>
        <w:gridCol w:w="1139"/>
        <w:gridCol w:w="973"/>
        <w:gridCol w:w="972"/>
        <w:gridCol w:w="973"/>
        <w:gridCol w:w="972"/>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2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项目</w:t>
            </w:r>
          </w:p>
        </w:tc>
        <w:tc>
          <w:tcPr>
            <w:tcW w:w="12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土地面积</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微度流失</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轻度流失</w:t>
            </w: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中度流失</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强烈流失</w:t>
            </w: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极强烈流失</w:t>
            </w: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剧烈流失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szCs w:val="21"/>
                <w:highlight w:val="none"/>
              </w:rPr>
            </w:pPr>
            <w:r>
              <w:rPr>
                <w:color w:val="auto"/>
                <w:szCs w:val="21"/>
                <w:highlight w:val="none"/>
              </w:rPr>
              <w:t>面积（</w:t>
            </w:r>
            <w:r>
              <w:rPr>
                <w:bCs/>
                <w:color w:val="auto"/>
                <w:szCs w:val="21"/>
                <w:highlight w:val="none"/>
              </w:rPr>
              <w:t>km</w:t>
            </w:r>
            <w:r>
              <w:rPr>
                <w:bCs/>
                <w:color w:val="auto"/>
                <w:szCs w:val="21"/>
                <w:highlight w:val="none"/>
                <w:vertAlign w:val="superscript"/>
              </w:rPr>
              <w:t>2</w:t>
            </w:r>
            <w:r>
              <w:rPr>
                <w:color w:val="auto"/>
                <w:szCs w:val="21"/>
                <w:highlight w:val="none"/>
              </w:rPr>
              <w:t>）</w:t>
            </w:r>
          </w:p>
        </w:tc>
        <w:tc>
          <w:tcPr>
            <w:tcW w:w="12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3593.28km</w:t>
            </w:r>
            <w:r>
              <w:rPr>
                <w:color w:val="auto"/>
                <w:szCs w:val="21"/>
                <w:highlight w:val="none"/>
                <w:vertAlign w:val="superscript"/>
              </w:rPr>
              <w:t>2</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2382.81</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860.44</w:t>
            </w: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198.85</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81.47</w:t>
            </w: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55.13</w:t>
            </w: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比例（%）</w:t>
            </w:r>
          </w:p>
        </w:tc>
        <w:tc>
          <w:tcPr>
            <w:tcW w:w="12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66.31</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71.08</w:t>
            </w: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16.43</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6.73</w:t>
            </w: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4.55</w:t>
            </w: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1.20</w:t>
            </w:r>
          </w:p>
        </w:tc>
      </w:tr>
    </w:tbl>
    <w:p>
      <w:pPr>
        <w:spacing w:line="360" w:lineRule="auto"/>
        <w:ind w:firstLine="480" w:firstLineChars="200"/>
        <w:jc w:val="left"/>
        <w:rPr>
          <w:color w:val="auto"/>
          <w:sz w:val="24"/>
          <w:highlight w:val="none"/>
        </w:rPr>
      </w:pPr>
      <w:r>
        <w:rPr>
          <w:rFonts w:hint="eastAsia"/>
          <w:color w:val="auto"/>
          <w:sz w:val="24"/>
          <w:highlight w:val="none"/>
          <w:lang w:val="en-US" w:eastAsia="zh-CN"/>
        </w:rPr>
        <w:t>本项目在已租用厂房内进行建设，不在原有厂房外新增占地，</w:t>
      </w:r>
      <w:r>
        <w:rPr>
          <w:color w:val="auto"/>
          <w:sz w:val="24"/>
          <w:highlight w:val="none"/>
        </w:rPr>
        <w:t>项目区扰动地表面积为</w:t>
      </w:r>
      <w:r>
        <w:rPr>
          <w:rFonts w:hint="eastAsia"/>
          <w:color w:val="auto"/>
          <w:sz w:val="24"/>
          <w:highlight w:val="none"/>
          <w:lang w:val="en-US" w:eastAsia="zh-CN"/>
        </w:rPr>
        <w:t>1994.56</w:t>
      </w:r>
      <w:r>
        <w:rPr>
          <w:color w:val="auto"/>
          <w:sz w:val="24"/>
          <w:highlight w:val="none"/>
        </w:rPr>
        <w:t>m²</w:t>
      </w:r>
      <w:r>
        <w:rPr>
          <w:rFonts w:hint="eastAsia"/>
          <w:color w:val="auto"/>
          <w:sz w:val="24"/>
          <w:highlight w:val="none"/>
          <w:lang w:eastAsia="zh-CN"/>
        </w:rPr>
        <w:t>，</w:t>
      </w:r>
      <w:r>
        <w:rPr>
          <w:color w:val="auto"/>
          <w:sz w:val="24"/>
          <w:highlight w:val="none"/>
        </w:rPr>
        <w:t>本项目背景土壤流失量为</w:t>
      </w:r>
      <w:r>
        <w:rPr>
          <w:rFonts w:hint="eastAsia"/>
          <w:color w:val="auto"/>
          <w:kern w:val="0"/>
          <w:sz w:val="24"/>
          <w:highlight w:val="none"/>
          <w:lang w:bidi="ar"/>
        </w:rPr>
        <w:t>1786.572</w:t>
      </w:r>
      <w:r>
        <w:rPr>
          <w:color w:val="auto"/>
          <w:sz w:val="24"/>
          <w:highlight w:val="none"/>
        </w:rPr>
        <w:t>t，</w:t>
      </w:r>
      <w:r>
        <w:rPr>
          <w:rFonts w:hint="eastAsia"/>
          <w:color w:val="auto"/>
          <w:sz w:val="24"/>
          <w:highlight w:val="none"/>
          <w:lang w:val="en-US" w:eastAsia="zh-CN"/>
        </w:rPr>
        <w:t>项目建设不会造成新的土壤流失，</w:t>
      </w:r>
      <w:r>
        <w:rPr>
          <w:color w:val="auto"/>
          <w:sz w:val="24"/>
          <w:highlight w:val="none"/>
        </w:rPr>
        <w:t>新增预测土壤流失量为0t。</w:t>
      </w:r>
    </w:p>
    <w:p>
      <w:pPr>
        <w:spacing w:line="360" w:lineRule="auto"/>
        <w:ind w:firstLine="482" w:firstLineChars="200"/>
        <w:jc w:val="left"/>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7、评价区土地利用现状</w:t>
      </w:r>
    </w:p>
    <w:p>
      <w:pPr>
        <w:spacing w:line="360" w:lineRule="auto"/>
        <w:ind w:firstLine="480" w:firstLineChars="200"/>
        <w:rPr>
          <w:color w:val="auto"/>
          <w:sz w:val="24"/>
          <w:highlight w:val="none"/>
        </w:rPr>
      </w:pPr>
      <w:r>
        <w:rPr>
          <w:color w:val="auto"/>
          <w:sz w:val="24"/>
          <w:highlight w:val="none"/>
        </w:rPr>
        <w:t>依据</w:t>
      </w:r>
      <w:r>
        <w:rPr>
          <w:rFonts w:hint="eastAsia"/>
          <w:color w:val="auto"/>
          <w:sz w:val="24"/>
          <w:highlight w:val="none"/>
        </w:rPr>
        <w:t>遥感卫星影像判读分析和</w:t>
      </w:r>
      <w:r>
        <w:rPr>
          <w:color w:val="auto"/>
          <w:sz w:val="24"/>
          <w:highlight w:val="none"/>
        </w:rPr>
        <w:t>实地考察，</w:t>
      </w:r>
      <w:r>
        <w:rPr>
          <w:rFonts w:hint="eastAsia"/>
          <w:color w:val="auto"/>
          <w:sz w:val="24"/>
          <w:highlight w:val="none"/>
        </w:rPr>
        <w:t>按《土地利用现状分类》（GB/T21010-2017）对评价区土地利用现状进行分类，利用G</w:t>
      </w:r>
      <w:r>
        <w:rPr>
          <w:color w:val="auto"/>
          <w:sz w:val="24"/>
          <w:highlight w:val="none"/>
        </w:rPr>
        <w:t>IS</w:t>
      </w:r>
      <w:r>
        <w:rPr>
          <w:rFonts w:hint="eastAsia"/>
          <w:color w:val="auto"/>
          <w:sz w:val="24"/>
          <w:highlight w:val="none"/>
        </w:rPr>
        <w:t>软件统计评价区土地利用相关数据得知：</w:t>
      </w:r>
    </w:p>
    <w:p>
      <w:pPr>
        <w:spacing w:line="360" w:lineRule="auto"/>
        <w:ind w:firstLine="480" w:firstLineChars="200"/>
        <w:rPr>
          <w:color w:val="auto"/>
          <w:sz w:val="24"/>
          <w:highlight w:val="none"/>
        </w:rPr>
      </w:pPr>
      <w:r>
        <w:rPr>
          <w:rFonts w:hint="eastAsia"/>
          <w:color w:val="auto"/>
          <w:sz w:val="24"/>
          <w:highlight w:val="none"/>
        </w:rPr>
        <w:t>评价区土地利用现状以</w:t>
      </w:r>
      <w:r>
        <w:rPr>
          <w:rFonts w:hint="eastAsia"/>
          <w:color w:val="auto"/>
          <w:sz w:val="24"/>
          <w:highlight w:val="none"/>
          <w:lang w:val="en-US" w:eastAsia="zh-CN"/>
        </w:rPr>
        <w:t>耕地、草地</w:t>
      </w:r>
      <w:r>
        <w:rPr>
          <w:rFonts w:hint="eastAsia"/>
          <w:color w:val="auto"/>
          <w:sz w:val="24"/>
          <w:highlight w:val="none"/>
        </w:rPr>
        <w:t>和</w:t>
      </w:r>
      <w:r>
        <w:rPr>
          <w:rFonts w:hint="eastAsia"/>
          <w:color w:val="auto"/>
          <w:sz w:val="24"/>
          <w:highlight w:val="none"/>
          <w:lang w:val="en-US" w:eastAsia="zh-CN"/>
        </w:rPr>
        <w:t>建设用地</w:t>
      </w:r>
      <w:r>
        <w:rPr>
          <w:rFonts w:hint="eastAsia"/>
          <w:color w:val="auto"/>
          <w:sz w:val="24"/>
          <w:highlight w:val="none"/>
        </w:rPr>
        <w:t>为主，项目区土地利用现状以</w:t>
      </w:r>
      <w:r>
        <w:rPr>
          <w:rFonts w:hint="eastAsia"/>
          <w:color w:val="auto"/>
          <w:sz w:val="24"/>
          <w:highlight w:val="none"/>
          <w:lang w:val="en-US" w:eastAsia="zh-CN"/>
        </w:rPr>
        <w:t>工业用地</w:t>
      </w:r>
      <w:r>
        <w:rPr>
          <w:rFonts w:hint="eastAsia"/>
          <w:color w:val="auto"/>
          <w:sz w:val="24"/>
          <w:highlight w:val="none"/>
        </w:rPr>
        <w:t>为主。评价区土地利用现状见附图</w:t>
      </w:r>
      <w:r>
        <w:rPr>
          <w:rFonts w:hint="eastAsia"/>
          <w:color w:val="auto"/>
          <w:sz w:val="24"/>
          <w:highlight w:val="none"/>
          <w:lang w:val="en-US" w:eastAsia="zh-CN"/>
        </w:rPr>
        <w:t>12</w:t>
      </w:r>
      <w:r>
        <w:rPr>
          <w:rFonts w:hint="eastAsia"/>
          <w:color w:val="auto"/>
          <w:sz w:val="24"/>
          <w:highlight w:val="none"/>
        </w:rPr>
        <w:t>。</w:t>
      </w:r>
    </w:p>
    <w:p>
      <w:pPr>
        <w:spacing w:line="360" w:lineRule="auto"/>
        <w:ind w:firstLine="480"/>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 xml:space="preserve">4.2-12  </w:t>
      </w:r>
      <w:r>
        <w:rPr>
          <w:rFonts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rPr>
        <w:t>评价区土地利用现状表</w:t>
      </w:r>
    </w:p>
    <w:tbl>
      <w:tblPr>
        <w:tblStyle w:val="5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51"/>
        <w:gridCol w:w="1799"/>
        <w:gridCol w:w="1446"/>
        <w:gridCol w:w="1441"/>
        <w:gridCol w:w="15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tblHeader/>
          <w:jc w:val="center"/>
        </w:trPr>
        <w:tc>
          <w:tcPr>
            <w:tcW w:w="1375" w:type="pct"/>
            <w:vMerge w:val="restart"/>
            <w:tcBorders>
              <w:left w:val="single" w:color="auto" w:sz="6" w:space="0"/>
              <w:right w:val="single" w:color="auto" w:sz="4" w:space="0"/>
            </w:tcBorders>
            <w:vAlign w:val="center"/>
          </w:tcPr>
          <w:p>
            <w:pPr>
              <w:adjustRightInd w:val="0"/>
              <w:snapToGrid w:val="0"/>
              <w:jc w:val="center"/>
              <w:rPr>
                <w:b/>
                <w:bCs/>
                <w:color w:val="auto"/>
                <w:szCs w:val="21"/>
                <w:highlight w:val="none"/>
              </w:rPr>
            </w:pPr>
            <w:r>
              <w:rPr>
                <w:rFonts w:hint="eastAsia"/>
                <w:b/>
                <w:bCs/>
                <w:color w:val="auto"/>
                <w:kern w:val="10"/>
                <w:szCs w:val="21"/>
                <w:highlight w:val="none"/>
                <w:lang w:val="en-US" w:eastAsia="zh-CN"/>
              </w:rPr>
              <w:t>用地</w:t>
            </w:r>
            <w:r>
              <w:rPr>
                <w:rFonts w:hint="eastAsia"/>
                <w:b/>
                <w:bCs/>
                <w:color w:val="auto"/>
                <w:kern w:val="10"/>
                <w:szCs w:val="21"/>
                <w:highlight w:val="none"/>
              </w:rPr>
              <w:t>类型</w:t>
            </w:r>
          </w:p>
        </w:tc>
        <w:tc>
          <w:tcPr>
            <w:tcW w:w="1898" w:type="pct"/>
            <w:gridSpan w:val="2"/>
            <w:tcBorders>
              <w:left w:val="single" w:color="auto" w:sz="4" w:space="0"/>
              <w:bottom w:val="single" w:color="auto" w:sz="4" w:space="0"/>
              <w:right w:val="single" w:color="auto" w:sz="4" w:space="0"/>
            </w:tcBorders>
            <w:vAlign w:val="center"/>
          </w:tcPr>
          <w:p>
            <w:pPr>
              <w:adjustRightInd w:val="0"/>
              <w:snapToGrid w:val="0"/>
              <w:jc w:val="center"/>
              <w:rPr>
                <w:b/>
                <w:bCs/>
                <w:color w:val="auto"/>
                <w:szCs w:val="21"/>
                <w:highlight w:val="none"/>
              </w:rPr>
            </w:pPr>
            <w:r>
              <w:rPr>
                <w:rFonts w:hint="eastAsia"/>
                <w:b/>
                <w:bCs/>
                <w:color w:val="auto"/>
                <w:szCs w:val="21"/>
                <w:highlight w:val="none"/>
              </w:rPr>
              <w:t>评价区</w:t>
            </w:r>
          </w:p>
        </w:tc>
        <w:tc>
          <w:tcPr>
            <w:tcW w:w="1725" w:type="pct"/>
            <w:gridSpan w:val="2"/>
            <w:tcBorders>
              <w:left w:val="single" w:color="auto" w:sz="4" w:space="0"/>
              <w:bottom w:val="single" w:color="auto" w:sz="4" w:space="0"/>
            </w:tcBorders>
            <w:vAlign w:val="center"/>
          </w:tcPr>
          <w:p>
            <w:pPr>
              <w:adjustRightInd w:val="0"/>
              <w:snapToGrid w:val="0"/>
              <w:jc w:val="center"/>
              <w:rPr>
                <w:b/>
                <w:bCs/>
                <w:color w:val="auto"/>
                <w:szCs w:val="21"/>
                <w:highlight w:val="none"/>
              </w:rPr>
            </w:pPr>
            <w:r>
              <w:rPr>
                <w:rFonts w:hint="eastAsia"/>
                <w:b/>
                <w:bCs/>
                <w:color w:val="auto"/>
                <w:szCs w:val="21"/>
                <w:highlight w:val="none"/>
              </w:rPr>
              <w:t>项目区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6" w:hRule="atLeast"/>
          <w:tblHeader/>
          <w:jc w:val="center"/>
        </w:trPr>
        <w:tc>
          <w:tcPr>
            <w:tcW w:w="1375" w:type="pct"/>
            <w:vMerge w:val="continue"/>
            <w:tcBorders>
              <w:left w:val="single" w:color="auto" w:sz="6" w:space="0"/>
              <w:right w:val="single" w:color="auto" w:sz="4" w:space="0"/>
            </w:tcBorders>
            <w:vAlign w:val="center"/>
          </w:tcPr>
          <w:p>
            <w:pPr>
              <w:adjustRightInd w:val="0"/>
              <w:snapToGrid w:val="0"/>
              <w:jc w:val="center"/>
              <w:rPr>
                <w:b/>
                <w:bCs/>
                <w:color w:val="auto"/>
                <w:kern w:val="10"/>
                <w:szCs w:val="21"/>
                <w:highlight w:val="none"/>
              </w:rPr>
            </w:pPr>
          </w:p>
        </w:tc>
        <w:tc>
          <w:tcPr>
            <w:tcW w:w="1052" w:type="pct"/>
            <w:tcBorders>
              <w:top w:val="single" w:color="auto" w:sz="4" w:space="0"/>
              <w:left w:val="single" w:color="auto" w:sz="4" w:space="0"/>
            </w:tcBorders>
            <w:vAlign w:val="center"/>
          </w:tcPr>
          <w:p>
            <w:pPr>
              <w:adjustRightInd w:val="0"/>
              <w:snapToGrid w:val="0"/>
              <w:jc w:val="center"/>
              <w:rPr>
                <w:b/>
                <w:bCs/>
                <w:color w:val="auto"/>
                <w:kern w:val="10"/>
                <w:szCs w:val="21"/>
                <w:highlight w:val="none"/>
              </w:rPr>
            </w:pPr>
            <w:r>
              <w:rPr>
                <w:rFonts w:hint="eastAsia"/>
                <w:b/>
                <w:bCs/>
                <w:color w:val="auto"/>
                <w:kern w:val="10"/>
                <w:szCs w:val="21"/>
                <w:highlight w:val="none"/>
              </w:rPr>
              <w:t>面积（h</w:t>
            </w:r>
            <w:r>
              <w:rPr>
                <w:b/>
                <w:bCs/>
                <w:color w:val="auto"/>
                <w:highlight w:val="none"/>
              </w:rPr>
              <w:t>m</w:t>
            </w:r>
            <w:r>
              <w:rPr>
                <w:b/>
                <w:bCs/>
                <w:color w:val="auto"/>
                <w:highlight w:val="none"/>
                <w:vertAlign w:val="superscript"/>
              </w:rPr>
              <w:t>2</w:t>
            </w:r>
            <w:r>
              <w:rPr>
                <w:rFonts w:hint="eastAsia"/>
                <w:b/>
                <w:bCs/>
                <w:color w:val="auto"/>
                <w:kern w:val="10"/>
                <w:szCs w:val="21"/>
                <w:highlight w:val="none"/>
              </w:rPr>
              <w:t>）</w:t>
            </w:r>
          </w:p>
        </w:tc>
        <w:tc>
          <w:tcPr>
            <w:tcW w:w="846" w:type="pct"/>
            <w:tcBorders>
              <w:top w:val="single" w:color="auto" w:sz="4" w:space="0"/>
              <w:left w:val="single" w:color="auto" w:sz="4" w:space="0"/>
              <w:right w:val="single" w:color="auto" w:sz="4" w:space="0"/>
            </w:tcBorders>
            <w:vAlign w:val="center"/>
          </w:tcPr>
          <w:p>
            <w:pPr>
              <w:adjustRightInd w:val="0"/>
              <w:snapToGrid w:val="0"/>
              <w:rPr>
                <w:b/>
                <w:bCs/>
                <w:color w:val="auto"/>
                <w:kern w:val="10"/>
                <w:szCs w:val="21"/>
                <w:highlight w:val="none"/>
              </w:rPr>
            </w:pPr>
            <w:r>
              <w:rPr>
                <w:rFonts w:hint="eastAsia"/>
                <w:b/>
                <w:bCs/>
                <w:color w:val="auto"/>
                <w:kern w:val="10"/>
                <w:szCs w:val="21"/>
                <w:highlight w:val="none"/>
              </w:rPr>
              <w:t>占比%</w:t>
            </w:r>
          </w:p>
        </w:tc>
        <w:tc>
          <w:tcPr>
            <w:tcW w:w="843" w:type="pct"/>
            <w:tcBorders>
              <w:top w:val="single" w:color="auto" w:sz="4" w:space="0"/>
              <w:left w:val="single" w:color="auto" w:sz="4" w:space="0"/>
              <w:right w:val="single" w:color="auto" w:sz="4" w:space="0"/>
            </w:tcBorders>
            <w:vAlign w:val="center"/>
          </w:tcPr>
          <w:p>
            <w:pPr>
              <w:adjustRightInd w:val="0"/>
              <w:snapToGrid w:val="0"/>
              <w:rPr>
                <w:b/>
                <w:bCs/>
                <w:color w:val="auto"/>
                <w:szCs w:val="21"/>
                <w:highlight w:val="none"/>
              </w:rPr>
            </w:pPr>
            <w:r>
              <w:rPr>
                <w:rFonts w:hint="eastAsia"/>
                <w:b/>
                <w:bCs/>
                <w:color w:val="auto"/>
                <w:szCs w:val="21"/>
                <w:highlight w:val="none"/>
              </w:rPr>
              <w:t>面积（</w:t>
            </w:r>
            <w:r>
              <w:rPr>
                <w:b/>
                <w:bCs/>
                <w:color w:val="auto"/>
                <w:highlight w:val="none"/>
              </w:rPr>
              <w:t>m</w:t>
            </w:r>
            <w:r>
              <w:rPr>
                <w:b/>
                <w:bCs/>
                <w:color w:val="auto"/>
                <w:highlight w:val="none"/>
                <w:vertAlign w:val="superscript"/>
              </w:rPr>
              <w:t>2</w:t>
            </w:r>
            <w:r>
              <w:rPr>
                <w:rFonts w:hint="eastAsia"/>
                <w:b/>
                <w:bCs/>
                <w:color w:val="auto"/>
                <w:szCs w:val="21"/>
                <w:highlight w:val="none"/>
              </w:rPr>
              <w:t>）</w:t>
            </w:r>
          </w:p>
        </w:tc>
        <w:tc>
          <w:tcPr>
            <w:tcW w:w="881" w:type="pct"/>
            <w:tcBorders>
              <w:top w:val="single" w:color="auto" w:sz="4" w:space="0"/>
              <w:left w:val="single" w:color="auto" w:sz="4" w:space="0"/>
            </w:tcBorders>
            <w:vAlign w:val="center"/>
          </w:tcPr>
          <w:p>
            <w:pPr>
              <w:adjustRightInd w:val="0"/>
              <w:snapToGrid w:val="0"/>
              <w:rPr>
                <w:b/>
                <w:bCs/>
                <w:color w:val="auto"/>
                <w:szCs w:val="21"/>
                <w:highlight w:val="none"/>
              </w:rPr>
            </w:pPr>
            <w:r>
              <w:rPr>
                <w:rFonts w:hint="eastAsia"/>
                <w:b/>
                <w:bCs/>
                <w:color w:val="auto"/>
                <w:szCs w:val="21"/>
                <w:highlight w:val="none"/>
              </w:rPr>
              <w:t>占比%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hint="eastAsia" w:eastAsia="宋体"/>
                <w:color w:val="auto"/>
                <w:kern w:val="10"/>
                <w:szCs w:val="21"/>
                <w:highlight w:val="none"/>
                <w:lang w:eastAsia="zh-CN"/>
              </w:rPr>
            </w:pPr>
            <w:r>
              <w:rPr>
                <w:rFonts w:hint="eastAsia"/>
                <w:color w:val="auto"/>
                <w:kern w:val="10"/>
                <w:szCs w:val="21"/>
                <w:highlight w:val="none"/>
                <w:lang w:val="en-US" w:eastAsia="zh-CN"/>
              </w:rPr>
              <w:t>耕地</w:t>
            </w:r>
          </w:p>
        </w:tc>
        <w:tc>
          <w:tcPr>
            <w:tcW w:w="1052" w:type="pct"/>
            <w:tcBorders>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8.27</w:t>
            </w:r>
          </w:p>
        </w:tc>
        <w:tc>
          <w:tcPr>
            <w:tcW w:w="846" w:type="pct"/>
            <w:tcBorders>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44.36</w:t>
            </w:r>
          </w:p>
        </w:tc>
        <w:tc>
          <w:tcPr>
            <w:tcW w:w="843" w:type="pct"/>
            <w:tcBorders>
              <w:left w:val="single" w:color="auto" w:sz="4"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c>
          <w:tcPr>
            <w:tcW w:w="881" w:type="pct"/>
            <w:tcBorders>
              <w:left w:val="single" w:color="auto" w:sz="4" w:space="0"/>
              <w:bottom w:val="single" w:color="auto" w:sz="6"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乔木林地</w:t>
            </w:r>
          </w:p>
        </w:tc>
        <w:tc>
          <w:tcPr>
            <w:tcW w:w="1052"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0.378</w:t>
            </w:r>
          </w:p>
        </w:tc>
        <w:tc>
          <w:tcPr>
            <w:tcW w:w="846"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kern w:val="10"/>
                <w:szCs w:val="21"/>
                <w:highlight w:val="none"/>
                <w:lang w:val="en-US" w:eastAsia="zh-CN"/>
              </w:rPr>
            </w:pPr>
            <w:r>
              <w:rPr>
                <w:rFonts w:hint="eastAsia"/>
                <w:color w:val="auto"/>
                <w:kern w:val="10"/>
                <w:szCs w:val="21"/>
                <w:highlight w:val="none"/>
                <w:lang w:val="en-US" w:eastAsia="zh-CN"/>
              </w:rPr>
              <w:t>2.03</w:t>
            </w:r>
          </w:p>
        </w:tc>
        <w:tc>
          <w:tcPr>
            <w:tcW w:w="84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color w:val="auto"/>
                <w:kern w:val="10"/>
                <w:szCs w:val="21"/>
                <w:highlight w:val="none"/>
              </w:rPr>
            </w:pPr>
            <w:r>
              <w:rPr>
                <w:rFonts w:hint="eastAsia"/>
                <w:color w:val="auto"/>
                <w:kern w:val="10"/>
                <w:szCs w:val="21"/>
                <w:highlight w:val="none"/>
              </w:rPr>
              <w:t>-</w:t>
            </w:r>
          </w:p>
        </w:tc>
        <w:tc>
          <w:tcPr>
            <w:tcW w:w="881" w:type="pct"/>
            <w:tcBorders>
              <w:top w:val="single" w:color="auto" w:sz="6" w:space="0"/>
              <w:left w:val="single" w:color="auto" w:sz="4" w:space="0"/>
              <w:bottom w:val="single" w:color="auto" w:sz="6" w:space="0"/>
            </w:tcBorders>
            <w:vAlign w:val="center"/>
          </w:tcPr>
          <w:p>
            <w:pPr>
              <w:adjustRightInd w:val="0"/>
              <w:snapToGrid w:val="0"/>
              <w:jc w:val="center"/>
              <w:rPr>
                <w:color w:val="auto"/>
                <w:kern w:val="10"/>
                <w:szCs w:val="21"/>
                <w:highlight w:val="none"/>
              </w:rPr>
            </w:pPr>
            <w:r>
              <w:rPr>
                <w:rFonts w:hint="eastAsia"/>
                <w:color w:val="auto"/>
                <w:kern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lang w:val="en-US" w:eastAsia="zh-CN"/>
              </w:rPr>
              <w:t>其他</w:t>
            </w:r>
            <w:r>
              <w:rPr>
                <w:rFonts w:hint="eastAsia"/>
                <w:color w:val="auto"/>
                <w:szCs w:val="21"/>
                <w:highlight w:val="none"/>
              </w:rPr>
              <w:t>林地</w:t>
            </w:r>
          </w:p>
        </w:tc>
        <w:tc>
          <w:tcPr>
            <w:tcW w:w="1052"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0.825</w:t>
            </w:r>
          </w:p>
        </w:tc>
        <w:tc>
          <w:tcPr>
            <w:tcW w:w="846"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kern w:val="10"/>
                <w:szCs w:val="21"/>
                <w:highlight w:val="none"/>
                <w:lang w:val="en-US" w:eastAsia="zh-CN"/>
              </w:rPr>
            </w:pPr>
            <w:r>
              <w:rPr>
                <w:rFonts w:hint="eastAsia"/>
                <w:color w:val="auto"/>
                <w:kern w:val="10"/>
                <w:szCs w:val="21"/>
                <w:highlight w:val="none"/>
                <w:lang w:val="en-US" w:eastAsia="zh-CN"/>
              </w:rPr>
              <w:t>4.42</w:t>
            </w:r>
          </w:p>
        </w:tc>
        <w:tc>
          <w:tcPr>
            <w:tcW w:w="84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color w:val="auto"/>
                <w:kern w:val="10"/>
                <w:szCs w:val="21"/>
                <w:highlight w:val="none"/>
              </w:rPr>
            </w:pPr>
            <w:r>
              <w:rPr>
                <w:rFonts w:hint="eastAsia"/>
                <w:color w:val="auto"/>
                <w:kern w:val="10"/>
                <w:szCs w:val="21"/>
                <w:highlight w:val="none"/>
              </w:rPr>
              <w:t>-</w:t>
            </w:r>
          </w:p>
        </w:tc>
        <w:tc>
          <w:tcPr>
            <w:tcW w:w="881" w:type="pct"/>
            <w:tcBorders>
              <w:top w:val="single" w:color="auto" w:sz="6" w:space="0"/>
              <w:left w:val="single" w:color="auto" w:sz="4" w:space="0"/>
              <w:bottom w:val="single" w:color="auto" w:sz="6" w:space="0"/>
            </w:tcBorders>
            <w:vAlign w:val="center"/>
          </w:tcPr>
          <w:p>
            <w:pPr>
              <w:adjustRightInd w:val="0"/>
              <w:snapToGrid w:val="0"/>
              <w:jc w:val="center"/>
              <w:rPr>
                <w:color w:val="auto"/>
                <w:kern w:val="10"/>
                <w:szCs w:val="21"/>
                <w:highlight w:val="none"/>
              </w:rPr>
            </w:pPr>
            <w:r>
              <w:rPr>
                <w:rFonts w:hint="eastAsia"/>
                <w:color w:val="auto"/>
                <w:kern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草地</w:t>
            </w:r>
          </w:p>
        </w:tc>
        <w:tc>
          <w:tcPr>
            <w:tcW w:w="1052"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4.217</w:t>
            </w:r>
          </w:p>
        </w:tc>
        <w:tc>
          <w:tcPr>
            <w:tcW w:w="846"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22.62</w:t>
            </w:r>
          </w:p>
        </w:tc>
        <w:tc>
          <w:tcPr>
            <w:tcW w:w="84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c>
          <w:tcPr>
            <w:tcW w:w="881" w:type="pct"/>
            <w:tcBorders>
              <w:top w:val="single" w:color="auto" w:sz="6" w:space="0"/>
              <w:left w:val="single" w:color="auto" w:sz="4" w:space="0"/>
              <w:bottom w:val="single" w:color="auto" w:sz="6"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lang w:val="en-US" w:eastAsia="zh-CN"/>
              </w:rPr>
              <w:t>工业</w:t>
            </w:r>
            <w:r>
              <w:rPr>
                <w:rFonts w:hint="eastAsia"/>
                <w:color w:val="auto"/>
                <w:szCs w:val="21"/>
                <w:highlight w:val="none"/>
              </w:rPr>
              <w:t>用地</w:t>
            </w:r>
          </w:p>
        </w:tc>
        <w:tc>
          <w:tcPr>
            <w:tcW w:w="1052"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0.199</w:t>
            </w:r>
          </w:p>
        </w:tc>
        <w:tc>
          <w:tcPr>
            <w:tcW w:w="846"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1.07</w:t>
            </w:r>
          </w:p>
        </w:tc>
        <w:tc>
          <w:tcPr>
            <w:tcW w:w="84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1994.56</w:t>
            </w:r>
          </w:p>
        </w:tc>
        <w:tc>
          <w:tcPr>
            <w:tcW w:w="881"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农村宅基地</w:t>
            </w:r>
          </w:p>
        </w:tc>
        <w:tc>
          <w:tcPr>
            <w:tcW w:w="1052"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0.254</w:t>
            </w:r>
          </w:p>
        </w:tc>
        <w:tc>
          <w:tcPr>
            <w:tcW w:w="846"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1.36</w:t>
            </w:r>
          </w:p>
        </w:tc>
        <w:tc>
          <w:tcPr>
            <w:tcW w:w="84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w:t>
            </w:r>
          </w:p>
        </w:tc>
        <w:tc>
          <w:tcPr>
            <w:tcW w:w="881" w:type="pct"/>
            <w:tcBorders>
              <w:top w:val="single" w:color="auto" w:sz="6" w:space="0"/>
              <w:left w:val="single" w:color="auto" w:sz="4" w:space="0"/>
              <w:bottom w:val="single" w:color="auto" w:sz="6" w:space="0"/>
            </w:tcBorders>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color w:val="auto"/>
                <w:spacing w:val="-12"/>
                <w:szCs w:val="21"/>
                <w:highlight w:val="none"/>
              </w:rPr>
            </w:pPr>
            <w:r>
              <w:rPr>
                <w:rFonts w:hint="eastAsia"/>
                <w:color w:val="auto"/>
                <w:spacing w:val="-12"/>
                <w:szCs w:val="21"/>
                <w:highlight w:val="none"/>
              </w:rPr>
              <w:t>公路用地</w:t>
            </w:r>
          </w:p>
        </w:tc>
        <w:tc>
          <w:tcPr>
            <w:tcW w:w="1052"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0.512</w:t>
            </w:r>
          </w:p>
        </w:tc>
        <w:tc>
          <w:tcPr>
            <w:tcW w:w="846"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2.74</w:t>
            </w:r>
          </w:p>
        </w:tc>
        <w:tc>
          <w:tcPr>
            <w:tcW w:w="84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c>
          <w:tcPr>
            <w:tcW w:w="881" w:type="pct"/>
            <w:tcBorders>
              <w:top w:val="single" w:color="auto" w:sz="6" w:space="0"/>
              <w:left w:val="single" w:color="auto" w:sz="4" w:space="0"/>
              <w:bottom w:val="single" w:color="auto" w:sz="6"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szCs w:val="21"/>
                <w:highlight w:val="none"/>
              </w:rPr>
              <w:t>农村道路</w:t>
            </w:r>
          </w:p>
        </w:tc>
        <w:tc>
          <w:tcPr>
            <w:tcW w:w="1052" w:type="pct"/>
            <w:tcBorders>
              <w:top w:val="single" w:color="auto" w:sz="6" w:space="0"/>
              <w:left w:val="single" w:color="auto" w:sz="4" w:space="0"/>
              <w:bottom w:val="single" w:color="auto" w:sz="6"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0.305</w:t>
            </w:r>
          </w:p>
        </w:tc>
        <w:tc>
          <w:tcPr>
            <w:tcW w:w="846"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1.65</w:t>
            </w:r>
          </w:p>
        </w:tc>
        <w:tc>
          <w:tcPr>
            <w:tcW w:w="843"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c>
          <w:tcPr>
            <w:tcW w:w="881" w:type="pct"/>
            <w:tcBorders>
              <w:top w:val="single" w:color="auto" w:sz="6" w:space="0"/>
              <w:left w:val="single" w:color="auto" w:sz="4" w:space="0"/>
              <w:bottom w:val="single" w:color="auto" w:sz="6" w:space="0"/>
            </w:tcBorders>
            <w:vAlign w:val="center"/>
          </w:tcPr>
          <w:p>
            <w:pPr>
              <w:adjustRightInd w:val="0"/>
              <w:snapToGrid w:val="0"/>
              <w:jc w:val="center"/>
              <w:rPr>
                <w:color w:val="auto"/>
                <w:szCs w:val="21"/>
                <w:highlight w:val="none"/>
              </w:rPr>
            </w:pPr>
            <w:r>
              <w:rPr>
                <w:rFonts w:hint="eastAsia"/>
                <w:color w:val="auto"/>
                <w:kern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75" w:type="pct"/>
            <w:tcBorders>
              <w:top w:val="single" w:color="auto" w:sz="6" w:space="0"/>
              <w:left w:val="single" w:color="auto" w:sz="6" w:space="0"/>
              <w:bottom w:val="single" w:color="auto" w:sz="6" w:space="0"/>
              <w:right w:val="single" w:color="auto" w:sz="4" w:space="0"/>
            </w:tcBorders>
            <w:vAlign w:val="center"/>
          </w:tcPr>
          <w:p>
            <w:pPr>
              <w:widowControl/>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建设用地</w:t>
            </w:r>
          </w:p>
        </w:tc>
        <w:tc>
          <w:tcPr>
            <w:tcW w:w="1052" w:type="pct"/>
            <w:tcBorders>
              <w:top w:val="single" w:color="auto" w:sz="6" w:space="0"/>
              <w:left w:val="single" w:color="auto" w:sz="4" w:space="0"/>
              <w:bottom w:val="single" w:color="auto" w:sz="6" w:space="0"/>
            </w:tcBorders>
            <w:vAlign w:val="center"/>
          </w:tcPr>
          <w:p>
            <w:pPr>
              <w:widowControl/>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3.68</w:t>
            </w:r>
          </w:p>
        </w:tc>
        <w:tc>
          <w:tcPr>
            <w:tcW w:w="846" w:type="pct"/>
            <w:tcBorders>
              <w:top w:val="single" w:color="auto" w:sz="6" w:space="0"/>
              <w:left w:val="single" w:color="auto" w:sz="4" w:space="0"/>
              <w:bottom w:val="single" w:color="auto" w:sz="6" w:space="0"/>
              <w:right w:val="single" w:color="auto" w:sz="4" w:space="0"/>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19.75</w:t>
            </w:r>
          </w:p>
        </w:tc>
        <w:tc>
          <w:tcPr>
            <w:tcW w:w="843" w:type="pct"/>
            <w:tcBorders>
              <w:top w:val="single" w:color="auto" w:sz="6" w:space="0"/>
              <w:left w:val="single" w:color="auto" w:sz="4" w:space="0"/>
              <w:bottom w:val="single" w:color="auto" w:sz="6" w:space="0"/>
              <w:right w:val="single" w:color="auto" w:sz="4" w:space="0"/>
            </w:tcBorders>
            <w:vAlign w:val="center"/>
          </w:tcPr>
          <w:p>
            <w:pPr>
              <w:jc w:val="center"/>
              <w:rPr>
                <w:color w:val="auto"/>
                <w:szCs w:val="21"/>
                <w:highlight w:val="none"/>
              </w:rPr>
            </w:pPr>
            <w:r>
              <w:rPr>
                <w:rFonts w:hint="eastAsia"/>
                <w:color w:val="auto"/>
                <w:szCs w:val="21"/>
                <w:highlight w:val="none"/>
              </w:rPr>
              <w:t>-</w:t>
            </w:r>
          </w:p>
        </w:tc>
        <w:tc>
          <w:tcPr>
            <w:tcW w:w="881" w:type="pct"/>
            <w:tcBorders>
              <w:top w:val="single" w:color="auto" w:sz="6" w:space="0"/>
              <w:left w:val="single" w:color="auto" w:sz="4" w:space="0"/>
              <w:bottom w:val="single" w:color="auto" w:sz="6" w:space="0"/>
            </w:tcBorders>
            <w:vAlign w:val="center"/>
          </w:tcPr>
          <w:p>
            <w:pPr>
              <w:jc w:val="center"/>
              <w:rPr>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1" w:hRule="atLeast"/>
          <w:jc w:val="center"/>
        </w:trPr>
        <w:tc>
          <w:tcPr>
            <w:tcW w:w="1375" w:type="pct"/>
            <w:tcBorders>
              <w:top w:val="single" w:color="auto" w:sz="4" w:space="0"/>
              <w:right w:val="single" w:color="auto" w:sz="4" w:space="0"/>
            </w:tcBorders>
            <w:vAlign w:val="center"/>
          </w:tcPr>
          <w:p>
            <w:pPr>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合计</w:t>
            </w:r>
          </w:p>
        </w:tc>
        <w:tc>
          <w:tcPr>
            <w:tcW w:w="1052" w:type="pct"/>
            <w:tcBorders>
              <w:top w:val="single" w:color="auto" w:sz="4" w:space="0"/>
              <w:left w:val="single" w:color="auto" w:sz="4" w:space="0"/>
            </w:tcBorders>
            <w:vAlign w:val="center"/>
          </w:tcPr>
          <w:p>
            <w:pPr>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18.64</w:t>
            </w:r>
          </w:p>
        </w:tc>
        <w:tc>
          <w:tcPr>
            <w:tcW w:w="846" w:type="pct"/>
            <w:tcBorders>
              <w:top w:val="single" w:color="auto" w:sz="4" w:space="0"/>
              <w:left w:val="single" w:color="auto" w:sz="4" w:space="0"/>
              <w:right w:val="single" w:color="auto" w:sz="4"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00</w:t>
            </w:r>
          </w:p>
        </w:tc>
        <w:tc>
          <w:tcPr>
            <w:tcW w:w="843" w:type="pct"/>
            <w:tcBorders>
              <w:top w:val="single" w:color="auto" w:sz="4" w:space="0"/>
              <w:left w:val="single" w:color="auto" w:sz="4" w:space="0"/>
              <w:right w:val="single" w:color="auto" w:sz="4" w:space="0"/>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1994.56</w:t>
            </w:r>
          </w:p>
        </w:tc>
        <w:tc>
          <w:tcPr>
            <w:tcW w:w="881" w:type="pct"/>
            <w:tcBorders>
              <w:top w:val="single" w:color="auto" w:sz="4" w:space="0"/>
              <w:left w:val="single" w:color="auto" w:sz="4"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00</w:t>
            </w:r>
          </w:p>
        </w:tc>
      </w:tr>
    </w:tbl>
    <w:p>
      <w:pPr>
        <w:spacing w:line="360" w:lineRule="auto"/>
        <w:outlineLvl w:val="1"/>
        <w:rPr>
          <w:b/>
          <w:color w:val="auto"/>
          <w:sz w:val="30"/>
          <w:szCs w:val="30"/>
          <w:highlight w:val="none"/>
        </w:rPr>
      </w:pPr>
      <w:bookmarkStart w:id="540" w:name="_Toc3498"/>
      <w:bookmarkStart w:id="541" w:name="_Toc1940"/>
      <w:r>
        <w:rPr>
          <w:b/>
          <w:color w:val="auto"/>
          <w:sz w:val="30"/>
          <w:szCs w:val="30"/>
          <w:highlight w:val="none"/>
        </w:rPr>
        <w:t>4.</w:t>
      </w:r>
      <w:bookmarkEnd w:id="540"/>
      <w:r>
        <w:rPr>
          <w:rFonts w:hint="eastAsia"/>
          <w:b/>
          <w:color w:val="auto"/>
          <w:sz w:val="30"/>
          <w:szCs w:val="30"/>
          <w:highlight w:val="none"/>
          <w:lang w:val="en-US" w:eastAsia="zh-CN"/>
        </w:rPr>
        <w:t>3</w:t>
      </w:r>
      <w:r>
        <w:rPr>
          <w:b/>
          <w:color w:val="auto"/>
          <w:sz w:val="30"/>
          <w:szCs w:val="30"/>
          <w:highlight w:val="none"/>
        </w:rPr>
        <w:t>周边污染源调查</w:t>
      </w:r>
      <w:bookmarkEnd w:id="541"/>
      <w:r>
        <w:rPr>
          <w:b/>
          <w:color w:val="auto"/>
          <w:sz w:val="30"/>
          <w:szCs w:val="30"/>
          <w:highlight w:val="none"/>
        </w:rPr>
        <w:t xml:space="preserve"> </w:t>
      </w:r>
    </w:p>
    <w:p>
      <w:pPr>
        <w:adjustRightInd w:val="0"/>
        <w:snapToGrid w:val="0"/>
        <w:spacing w:line="360" w:lineRule="auto"/>
        <w:ind w:firstLine="480" w:firstLineChars="200"/>
        <w:rPr>
          <w:rFonts w:hint="eastAsia"/>
          <w:color w:val="auto"/>
          <w:sz w:val="24"/>
          <w:highlight w:val="none"/>
        </w:rPr>
      </w:pPr>
      <w:r>
        <w:rPr>
          <w:color w:val="auto"/>
          <w:sz w:val="24"/>
          <w:highlight w:val="none"/>
        </w:rPr>
        <w:t>本项目位于寻甸</w:t>
      </w:r>
      <w:r>
        <w:rPr>
          <w:rFonts w:hint="eastAsia"/>
          <w:color w:val="auto"/>
          <w:sz w:val="24"/>
          <w:highlight w:val="none"/>
          <w:lang w:val="en-US" w:eastAsia="zh-CN"/>
        </w:rPr>
        <w:t>县仁德街道建设社区三月三村</w:t>
      </w:r>
      <w:r>
        <w:rPr>
          <w:color w:val="auto"/>
          <w:sz w:val="24"/>
          <w:highlight w:val="none"/>
        </w:rPr>
        <w:t>，</w:t>
      </w:r>
      <w:r>
        <w:rPr>
          <w:rFonts w:hint="eastAsia"/>
          <w:color w:val="auto"/>
          <w:sz w:val="24"/>
          <w:highlight w:val="none"/>
        </w:rPr>
        <w:t>本次评价重点统计了项目周围主要污染企业，具体如表4.</w:t>
      </w:r>
      <w:r>
        <w:rPr>
          <w:rFonts w:hint="eastAsia"/>
          <w:color w:val="auto"/>
          <w:sz w:val="24"/>
          <w:highlight w:val="none"/>
          <w:lang w:val="en-US" w:eastAsia="zh-CN"/>
        </w:rPr>
        <w:t>3</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所示。</w:t>
      </w:r>
    </w:p>
    <w:p>
      <w:pPr>
        <w:pStyle w:val="21"/>
        <w:jc w:val="center"/>
        <w:rPr>
          <w:rFonts w:hint="eastAsia"/>
          <w:b/>
          <w:bCs/>
          <w:color w:val="auto"/>
          <w:sz w:val="24"/>
          <w:highlight w:val="none"/>
          <w:lang w:val="en-US" w:eastAsia="zh-CN"/>
        </w:rPr>
      </w:pPr>
    </w:p>
    <w:p>
      <w:pPr>
        <w:pStyle w:val="21"/>
        <w:jc w:val="center"/>
        <w:rPr>
          <w:rFonts w:hint="eastAsia"/>
          <w:b/>
          <w:bCs/>
          <w:color w:val="auto"/>
          <w:sz w:val="24"/>
          <w:highlight w:val="none"/>
          <w:lang w:val="en-US" w:eastAsia="zh-CN"/>
        </w:rPr>
      </w:pPr>
    </w:p>
    <w:p>
      <w:pPr>
        <w:pStyle w:val="21"/>
        <w:jc w:val="center"/>
        <w:rPr>
          <w:rFonts w:hint="eastAsia"/>
          <w:b/>
          <w:bCs/>
          <w:color w:val="auto"/>
          <w:sz w:val="24"/>
          <w:highlight w:val="none"/>
          <w:lang w:val="en-US" w:eastAsia="zh-CN"/>
        </w:rPr>
      </w:pPr>
    </w:p>
    <w:p>
      <w:pPr>
        <w:pStyle w:val="21"/>
        <w:jc w:val="center"/>
        <w:rPr>
          <w:rFonts w:hint="eastAsia"/>
          <w:b/>
          <w:bCs/>
          <w:color w:val="auto"/>
          <w:sz w:val="24"/>
          <w:highlight w:val="none"/>
          <w:lang w:val="en-US" w:eastAsia="zh-CN"/>
        </w:rPr>
      </w:pPr>
    </w:p>
    <w:p>
      <w:pPr>
        <w:pStyle w:val="21"/>
        <w:jc w:val="center"/>
        <w:rPr>
          <w:rFonts w:hint="default" w:eastAsia="宋体"/>
          <w:b/>
          <w:bCs/>
          <w:color w:val="auto"/>
          <w:highlight w:val="none"/>
          <w:lang w:val="en-US" w:eastAsia="zh-CN"/>
        </w:rPr>
      </w:pPr>
      <w:r>
        <w:rPr>
          <w:rFonts w:hint="eastAsia"/>
          <w:b/>
          <w:bCs/>
          <w:color w:val="auto"/>
          <w:sz w:val="24"/>
          <w:highlight w:val="none"/>
          <w:lang w:val="en-US" w:eastAsia="zh-CN"/>
        </w:rPr>
        <w:t>表4.3-1  本项目周围工业企业分布情况一览表</w:t>
      </w:r>
    </w:p>
    <w:tbl>
      <w:tblPr>
        <w:tblStyle w:val="56"/>
        <w:tblW w:w="8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129"/>
        <w:gridCol w:w="924"/>
        <w:gridCol w:w="1440"/>
        <w:gridCol w:w="930"/>
        <w:gridCol w:w="1173"/>
        <w:gridCol w:w="1113"/>
        <w:gridCol w:w="706"/>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pStyle w:val="24"/>
              <w:pBdr>
                <w:bottom w:val="none" w:color="auto" w:sz="0" w:space="0"/>
              </w:pBdr>
              <w:rPr>
                <w:b/>
                <w:bCs/>
                <w:color w:val="auto"/>
                <w:sz w:val="21"/>
                <w:szCs w:val="21"/>
                <w:highlight w:val="none"/>
              </w:rPr>
            </w:pPr>
            <w:r>
              <w:rPr>
                <w:b/>
                <w:bCs/>
                <w:color w:val="auto"/>
                <w:sz w:val="21"/>
                <w:szCs w:val="21"/>
                <w:highlight w:val="none"/>
              </w:rPr>
              <w:t>序号</w:t>
            </w:r>
          </w:p>
        </w:tc>
        <w:tc>
          <w:tcPr>
            <w:tcW w:w="1129" w:type="dxa"/>
            <w:vAlign w:val="center"/>
          </w:tcPr>
          <w:p>
            <w:pPr>
              <w:pStyle w:val="24"/>
              <w:pBdr>
                <w:bottom w:val="none" w:color="auto" w:sz="0" w:space="0"/>
              </w:pBdr>
              <w:rPr>
                <w:b/>
                <w:bCs/>
                <w:color w:val="auto"/>
                <w:sz w:val="21"/>
                <w:szCs w:val="21"/>
                <w:highlight w:val="none"/>
              </w:rPr>
            </w:pPr>
            <w:r>
              <w:rPr>
                <w:b/>
                <w:bCs/>
                <w:color w:val="auto"/>
                <w:sz w:val="21"/>
                <w:szCs w:val="21"/>
                <w:highlight w:val="none"/>
              </w:rPr>
              <w:t>工业企业单位名称</w:t>
            </w:r>
          </w:p>
        </w:tc>
        <w:tc>
          <w:tcPr>
            <w:tcW w:w="924" w:type="dxa"/>
            <w:vAlign w:val="center"/>
          </w:tcPr>
          <w:p>
            <w:pPr>
              <w:pStyle w:val="24"/>
              <w:pBdr>
                <w:bottom w:val="none" w:color="auto" w:sz="0" w:space="0"/>
              </w:pBdr>
              <w:rPr>
                <w:b/>
                <w:bCs/>
                <w:color w:val="auto"/>
                <w:sz w:val="21"/>
                <w:szCs w:val="21"/>
                <w:highlight w:val="none"/>
              </w:rPr>
            </w:pPr>
            <w:r>
              <w:rPr>
                <w:b/>
                <w:bCs/>
                <w:color w:val="auto"/>
                <w:sz w:val="21"/>
                <w:szCs w:val="21"/>
                <w:highlight w:val="none"/>
              </w:rPr>
              <w:t>与本项目厂界方位、距离</w:t>
            </w:r>
          </w:p>
        </w:tc>
        <w:tc>
          <w:tcPr>
            <w:tcW w:w="1440" w:type="dxa"/>
            <w:vAlign w:val="center"/>
          </w:tcPr>
          <w:p>
            <w:pPr>
              <w:pStyle w:val="24"/>
              <w:pBdr>
                <w:bottom w:val="none" w:color="auto" w:sz="0" w:space="0"/>
              </w:pBdr>
              <w:rPr>
                <w:b/>
                <w:bCs/>
                <w:color w:val="auto"/>
                <w:sz w:val="21"/>
                <w:szCs w:val="21"/>
                <w:highlight w:val="none"/>
              </w:rPr>
            </w:pPr>
            <w:r>
              <w:rPr>
                <w:b/>
                <w:bCs/>
                <w:color w:val="auto"/>
                <w:sz w:val="21"/>
                <w:szCs w:val="21"/>
                <w:highlight w:val="none"/>
              </w:rPr>
              <w:t>主营业务</w:t>
            </w:r>
          </w:p>
        </w:tc>
        <w:tc>
          <w:tcPr>
            <w:tcW w:w="930" w:type="dxa"/>
            <w:vAlign w:val="center"/>
          </w:tcPr>
          <w:p>
            <w:pPr>
              <w:pStyle w:val="24"/>
              <w:pBdr>
                <w:bottom w:val="none" w:color="auto" w:sz="0" w:space="0"/>
              </w:pBdr>
              <w:rPr>
                <w:b/>
                <w:bCs/>
                <w:color w:val="auto"/>
                <w:sz w:val="21"/>
                <w:szCs w:val="21"/>
                <w:highlight w:val="none"/>
              </w:rPr>
            </w:pPr>
            <w:r>
              <w:rPr>
                <w:b/>
                <w:bCs/>
                <w:color w:val="auto"/>
                <w:sz w:val="21"/>
                <w:szCs w:val="21"/>
                <w:highlight w:val="none"/>
              </w:rPr>
              <w:t>主要污染物</w:t>
            </w:r>
          </w:p>
        </w:tc>
        <w:tc>
          <w:tcPr>
            <w:tcW w:w="1173" w:type="dxa"/>
            <w:vAlign w:val="center"/>
          </w:tcPr>
          <w:p>
            <w:pPr>
              <w:pStyle w:val="24"/>
              <w:pBdr>
                <w:bottom w:val="none" w:color="auto" w:sz="0" w:space="0"/>
              </w:pBdr>
              <w:rPr>
                <w:b/>
                <w:bCs/>
                <w:color w:val="auto"/>
                <w:sz w:val="21"/>
                <w:szCs w:val="21"/>
                <w:highlight w:val="none"/>
              </w:rPr>
            </w:pPr>
            <w:r>
              <w:rPr>
                <w:b/>
                <w:bCs/>
                <w:color w:val="auto"/>
                <w:sz w:val="21"/>
                <w:szCs w:val="21"/>
                <w:highlight w:val="none"/>
              </w:rPr>
              <w:t>大气污染物</w:t>
            </w:r>
          </w:p>
        </w:tc>
        <w:tc>
          <w:tcPr>
            <w:tcW w:w="1113" w:type="dxa"/>
            <w:vAlign w:val="center"/>
          </w:tcPr>
          <w:p>
            <w:pPr>
              <w:pStyle w:val="24"/>
              <w:pBdr>
                <w:bottom w:val="none" w:color="auto" w:sz="0" w:space="0"/>
              </w:pBdr>
              <w:rPr>
                <w:b/>
                <w:bCs/>
                <w:color w:val="auto"/>
                <w:sz w:val="21"/>
                <w:szCs w:val="21"/>
                <w:highlight w:val="none"/>
              </w:rPr>
            </w:pPr>
            <w:r>
              <w:rPr>
                <w:b/>
                <w:bCs/>
                <w:color w:val="auto"/>
                <w:sz w:val="21"/>
                <w:szCs w:val="21"/>
                <w:highlight w:val="none"/>
              </w:rPr>
              <w:t>废水污染物</w:t>
            </w:r>
          </w:p>
        </w:tc>
        <w:tc>
          <w:tcPr>
            <w:tcW w:w="706" w:type="dxa"/>
            <w:vAlign w:val="center"/>
          </w:tcPr>
          <w:p>
            <w:pPr>
              <w:pStyle w:val="24"/>
              <w:pBdr>
                <w:bottom w:val="none" w:color="auto" w:sz="0" w:space="0"/>
              </w:pBdr>
              <w:rPr>
                <w:b/>
                <w:bCs/>
                <w:color w:val="auto"/>
                <w:sz w:val="21"/>
                <w:szCs w:val="21"/>
                <w:highlight w:val="none"/>
              </w:rPr>
            </w:pPr>
            <w:r>
              <w:rPr>
                <w:b/>
                <w:bCs/>
                <w:color w:val="auto"/>
                <w:sz w:val="21"/>
                <w:szCs w:val="21"/>
                <w:highlight w:val="none"/>
              </w:rPr>
              <w:t>固体废物</w:t>
            </w:r>
          </w:p>
        </w:tc>
        <w:tc>
          <w:tcPr>
            <w:tcW w:w="700" w:type="dxa"/>
            <w:vAlign w:val="center"/>
          </w:tcPr>
          <w:p>
            <w:pPr>
              <w:pStyle w:val="24"/>
              <w:pBdr>
                <w:bottom w:val="none" w:color="auto" w:sz="0" w:space="0"/>
              </w:pBdr>
              <w:rPr>
                <w:b/>
                <w:bCs/>
                <w:color w:val="auto"/>
                <w:sz w:val="21"/>
                <w:szCs w:val="21"/>
                <w:highlight w:val="none"/>
              </w:rPr>
            </w:pPr>
            <w:r>
              <w:rPr>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pStyle w:val="24"/>
              <w:pBdr>
                <w:bottom w:val="none" w:color="auto" w:sz="0" w:space="0"/>
              </w:pBdr>
              <w:rPr>
                <w:color w:val="auto"/>
                <w:sz w:val="21"/>
                <w:szCs w:val="21"/>
                <w:highlight w:val="none"/>
              </w:rPr>
            </w:pPr>
            <w:r>
              <w:rPr>
                <w:color w:val="auto"/>
                <w:sz w:val="21"/>
                <w:szCs w:val="21"/>
                <w:highlight w:val="none"/>
              </w:rPr>
              <w:t>1</w:t>
            </w:r>
          </w:p>
        </w:tc>
        <w:tc>
          <w:tcPr>
            <w:tcW w:w="1129" w:type="dxa"/>
            <w:vAlign w:val="center"/>
          </w:tcPr>
          <w:p>
            <w:pPr>
              <w:pStyle w:val="24"/>
              <w:pBdr>
                <w:bottom w:val="none" w:color="auto" w:sz="0" w:space="0"/>
              </w:pBdr>
              <w:rPr>
                <w:rFonts w:hint="default" w:eastAsia="宋体"/>
                <w:color w:val="auto"/>
                <w:sz w:val="21"/>
                <w:szCs w:val="21"/>
                <w:highlight w:val="none"/>
                <w:lang w:val="en-US" w:eastAsia="zh-CN"/>
              </w:rPr>
            </w:pPr>
            <w:r>
              <w:rPr>
                <w:rFonts w:hint="eastAsia"/>
                <w:color w:val="auto"/>
                <w:sz w:val="21"/>
                <w:szCs w:val="21"/>
                <w:highlight w:val="none"/>
                <w:lang w:val="en-US" w:eastAsia="zh-CN"/>
              </w:rPr>
              <w:t>寻甸冷库</w:t>
            </w:r>
          </w:p>
        </w:tc>
        <w:tc>
          <w:tcPr>
            <w:tcW w:w="924" w:type="dxa"/>
            <w:vAlign w:val="center"/>
          </w:tcPr>
          <w:p>
            <w:pPr>
              <w:pStyle w:val="24"/>
              <w:pBdr>
                <w:bottom w:val="none" w:color="auto" w:sz="0" w:space="0"/>
              </w:pBdr>
              <w:rPr>
                <w:rFonts w:hint="default" w:eastAsia="宋体"/>
                <w:color w:val="auto"/>
                <w:sz w:val="21"/>
                <w:szCs w:val="21"/>
                <w:highlight w:val="none"/>
                <w:lang w:val="en-US" w:eastAsia="zh-CN"/>
              </w:rPr>
            </w:pPr>
            <w:r>
              <w:rPr>
                <w:rFonts w:hint="eastAsia"/>
                <w:color w:val="auto"/>
                <w:sz w:val="21"/>
                <w:szCs w:val="21"/>
                <w:highlight w:val="none"/>
                <w:lang w:val="en-US" w:eastAsia="zh-CN"/>
              </w:rPr>
              <w:t>南</w:t>
            </w:r>
            <w:r>
              <w:rPr>
                <w:color w:val="auto"/>
                <w:sz w:val="21"/>
                <w:szCs w:val="21"/>
                <w:highlight w:val="none"/>
              </w:rPr>
              <w:t>侧，</w:t>
            </w:r>
            <w:r>
              <w:rPr>
                <w:rFonts w:hint="eastAsia"/>
                <w:color w:val="auto"/>
                <w:sz w:val="21"/>
                <w:szCs w:val="21"/>
                <w:highlight w:val="none"/>
                <w:lang w:val="en-US" w:eastAsia="zh-CN"/>
              </w:rPr>
              <w:t>50</w:t>
            </w:r>
            <w:r>
              <w:rPr>
                <w:color w:val="auto"/>
                <w:sz w:val="21"/>
                <w:szCs w:val="21"/>
                <w:highlight w:val="none"/>
              </w:rPr>
              <w:t>m</w:t>
            </w:r>
            <w:r>
              <w:rPr>
                <w:rFonts w:hint="eastAsia"/>
                <w:color w:val="auto"/>
                <w:sz w:val="21"/>
                <w:szCs w:val="21"/>
                <w:highlight w:val="none"/>
                <w:lang w:eastAsia="zh-CN"/>
              </w:rPr>
              <w:t>、</w:t>
            </w:r>
            <w:r>
              <w:rPr>
                <w:rFonts w:hint="eastAsia"/>
                <w:color w:val="auto"/>
                <w:sz w:val="21"/>
                <w:szCs w:val="21"/>
                <w:highlight w:val="none"/>
                <w:lang w:val="en-US" w:eastAsia="zh-CN"/>
              </w:rPr>
              <w:t>西侧，10m</w:t>
            </w:r>
          </w:p>
        </w:tc>
        <w:tc>
          <w:tcPr>
            <w:tcW w:w="1440" w:type="dxa"/>
            <w:vAlign w:val="center"/>
          </w:tcPr>
          <w:p>
            <w:pPr>
              <w:pStyle w:val="24"/>
              <w:pBdr>
                <w:bottom w:val="none" w:color="auto" w:sz="0" w:space="0"/>
              </w:pBdr>
              <w:rPr>
                <w:rFonts w:hint="default" w:eastAsia="宋体"/>
                <w:color w:val="auto"/>
                <w:sz w:val="21"/>
                <w:szCs w:val="21"/>
                <w:highlight w:val="none"/>
                <w:lang w:val="en-US" w:eastAsia="zh-CN"/>
              </w:rPr>
            </w:pPr>
            <w:r>
              <w:rPr>
                <w:rFonts w:hint="eastAsia"/>
                <w:color w:val="auto"/>
                <w:sz w:val="21"/>
                <w:szCs w:val="21"/>
                <w:highlight w:val="none"/>
                <w:lang w:val="en-US" w:eastAsia="zh-CN"/>
              </w:rPr>
              <w:t>食品冷冻、冷藏服务</w:t>
            </w:r>
          </w:p>
        </w:tc>
        <w:tc>
          <w:tcPr>
            <w:tcW w:w="930" w:type="dxa"/>
            <w:vAlign w:val="center"/>
          </w:tcPr>
          <w:p>
            <w:pPr>
              <w:pStyle w:val="24"/>
              <w:pBdr>
                <w:bottom w:val="none" w:color="auto" w:sz="0" w:space="0"/>
              </w:pBdr>
              <w:rPr>
                <w:color w:val="auto"/>
                <w:sz w:val="21"/>
                <w:szCs w:val="21"/>
                <w:highlight w:val="none"/>
              </w:rPr>
            </w:pPr>
            <w:r>
              <w:rPr>
                <w:rFonts w:hint="eastAsia"/>
                <w:color w:val="auto"/>
                <w:sz w:val="21"/>
                <w:szCs w:val="21"/>
                <w:highlight w:val="none"/>
                <w:lang w:val="en-US" w:eastAsia="zh-CN"/>
              </w:rPr>
              <w:t>生活</w:t>
            </w:r>
            <w:r>
              <w:rPr>
                <w:color w:val="auto"/>
                <w:sz w:val="21"/>
                <w:szCs w:val="21"/>
                <w:highlight w:val="none"/>
              </w:rPr>
              <w:t>废水；废气；噪声；固废</w:t>
            </w:r>
          </w:p>
        </w:tc>
        <w:tc>
          <w:tcPr>
            <w:tcW w:w="1173" w:type="dxa"/>
            <w:vAlign w:val="center"/>
          </w:tcPr>
          <w:p>
            <w:pPr>
              <w:pStyle w:val="24"/>
              <w:pBdr>
                <w:bottom w:val="none" w:color="auto" w:sz="0" w:space="0"/>
              </w:pBdr>
              <w:rPr>
                <w:color w:val="auto"/>
                <w:sz w:val="21"/>
                <w:szCs w:val="21"/>
                <w:highlight w:val="none"/>
              </w:rPr>
            </w:pPr>
            <w:r>
              <w:rPr>
                <w:rFonts w:hint="eastAsia"/>
                <w:color w:val="auto"/>
                <w:sz w:val="21"/>
                <w:szCs w:val="21"/>
                <w:highlight w:val="none"/>
              </w:rPr>
              <w:t>颗粒物</w:t>
            </w:r>
          </w:p>
        </w:tc>
        <w:tc>
          <w:tcPr>
            <w:tcW w:w="1113" w:type="dxa"/>
            <w:vAlign w:val="center"/>
          </w:tcPr>
          <w:p>
            <w:pPr>
              <w:pStyle w:val="24"/>
              <w:pBdr>
                <w:bottom w:val="none" w:color="auto" w:sz="0" w:space="0"/>
              </w:pBdr>
              <w:rPr>
                <w:color w:val="auto"/>
                <w:sz w:val="21"/>
                <w:szCs w:val="21"/>
                <w:highlight w:val="none"/>
              </w:rPr>
            </w:pPr>
            <w:r>
              <w:rPr>
                <w:color w:val="auto"/>
                <w:sz w:val="21"/>
                <w:szCs w:val="21"/>
                <w:highlight w:val="none"/>
              </w:rPr>
              <w:t>pH、COD、BOD</w:t>
            </w:r>
            <w:r>
              <w:rPr>
                <w:color w:val="auto"/>
                <w:sz w:val="21"/>
                <w:szCs w:val="21"/>
                <w:highlight w:val="none"/>
                <w:vertAlign w:val="subscript"/>
              </w:rPr>
              <w:t>5</w:t>
            </w:r>
            <w:r>
              <w:rPr>
                <w:color w:val="auto"/>
                <w:sz w:val="21"/>
                <w:szCs w:val="21"/>
                <w:highlight w:val="none"/>
              </w:rPr>
              <w:t>、氨氮、</w:t>
            </w:r>
            <w:r>
              <w:rPr>
                <w:rFonts w:hint="eastAsia"/>
                <w:color w:val="auto"/>
                <w:sz w:val="21"/>
                <w:szCs w:val="21"/>
                <w:highlight w:val="none"/>
              </w:rPr>
              <w:t>SS</w:t>
            </w:r>
          </w:p>
        </w:tc>
        <w:tc>
          <w:tcPr>
            <w:tcW w:w="706" w:type="dxa"/>
            <w:vAlign w:val="center"/>
          </w:tcPr>
          <w:p>
            <w:pPr>
              <w:pStyle w:val="24"/>
              <w:pBdr>
                <w:bottom w:val="none" w:color="auto" w:sz="0" w:space="0"/>
              </w:pBdr>
              <w:rPr>
                <w:color w:val="auto"/>
                <w:sz w:val="21"/>
                <w:szCs w:val="21"/>
                <w:highlight w:val="none"/>
              </w:rPr>
            </w:pPr>
            <w:r>
              <w:rPr>
                <w:color w:val="auto"/>
                <w:sz w:val="21"/>
                <w:szCs w:val="21"/>
                <w:highlight w:val="none"/>
              </w:rPr>
              <w:t>一般固废、危险废物</w:t>
            </w:r>
          </w:p>
        </w:tc>
        <w:tc>
          <w:tcPr>
            <w:tcW w:w="700" w:type="dxa"/>
            <w:vAlign w:val="center"/>
          </w:tcPr>
          <w:p>
            <w:pPr>
              <w:pStyle w:val="24"/>
              <w:pBdr>
                <w:bottom w:val="none" w:color="auto" w:sz="0" w:space="0"/>
              </w:pBdr>
              <w:rPr>
                <w:color w:val="auto"/>
                <w:sz w:val="21"/>
                <w:szCs w:val="21"/>
                <w:highlight w:val="none"/>
              </w:rPr>
            </w:pPr>
            <w:r>
              <w:rPr>
                <w:color w:val="auto"/>
                <w:sz w:val="21"/>
                <w:szCs w:val="21"/>
                <w:highlight w:val="none"/>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pStyle w:val="24"/>
              <w:pBdr>
                <w:bottom w:val="none" w:color="auto" w:sz="0" w:space="0"/>
              </w:pBdr>
              <w:rPr>
                <w:color w:val="auto"/>
                <w:sz w:val="21"/>
                <w:szCs w:val="21"/>
                <w:highlight w:val="none"/>
              </w:rPr>
            </w:pPr>
            <w:r>
              <w:rPr>
                <w:color w:val="auto"/>
                <w:sz w:val="21"/>
                <w:szCs w:val="21"/>
                <w:highlight w:val="none"/>
              </w:rPr>
              <w:t>2</w:t>
            </w:r>
          </w:p>
        </w:tc>
        <w:tc>
          <w:tcPr>
            <w:tcW w:w="1129" w:type="dxa"/>
            <w:vAlign w:val="center"/>
          </w:tcPr>
          <w:p>
            <w:pPr>
              <w:pStyle w:val="24"/>
              <w:pBdr>
                <w:bottom w:val="none" w:color="auto" w:sz="0" w:space="0"/>
              </w:pBdr>
              <w:rPr>
                <w:rFonts w:hint="default" w:eastAsia="宋体"/>
                <w:color w:val="auto"/>
                <w:sz w:val="21"/>
                <w:szCs w:val="21"/>
                <w:highlight w:val="none"/>
                <w:lang w:val="en-US" w:eastAsia="zh-CN"/>
              </w:rPr>
            </w:pPr>
            <w:r>
              <w:rPr>
                <w:rFonts w:hint="eastAsia"/>
                <w:color w:val="auto"/>
                <w:sz w:val="21"/>
                <w:szCs w:val="21"/>
                <w:highlight w:val="none"/>
                <w:lang w:val="en-US" w:eastAsia="zh-CN"/>
              </w:rPr>
              <w:t>昆明宝顿农业科技有限公司</w:t>
            </w:r>
          </w:p>
        </w:tc>
        <w:tc>
          <w:tcPr>
            <w:tcW w:w="924" w:type="dxa"/>
            <w:vAlign w:val="center"/>
          </w:tcPr>
          <w:p>
            <w:pPr>
              <w:pStyle w:val="24"/>
              <w:pBdr>
                <w:bottom w:val="none" w:color="auto" w:sz="0" w:space="0"/>
              </w:pBdr>
              <w:rPr>
                <w:color w:val="auto"/>
                <w:sz w:val="21"/>
                <w:szCs w:val="21"/>
                <w:highlight w:val="none"/>
              </w:rPr>
            </w:pPr>
            <w:r>
              <w:rPr>
                <w:rFonts w:hint="eastAsia"/>
                <w:color w:val="auto"/>
                <w:sz w:val="21"/>
                <w:szCs w:val="21"/>
                <w:highlight w:val="none"/>
              </w:rPr>
              <w:t>东侧，</w:t>
            </w:r>
            <w:r>
              <w:rPr>
                <w:rFonts w:hint="eastAsia"/>
                <w:color w:val="auto"/>
                <w:sz w:val="21"/>
                <w:szCs w:val="21"/>
                <w:highlight w:val="none"/>
                <w:lang w:val="en-US" w:eastAsia="zh-CN"/>
              </w:rPr>
              <w:t>30</w:t>
            </w:r>
            <w:r>
              <w:rPr>
                <w:rFonts w:hint="eastAsia"/>
                <w:color w:val="auto"/>
                <w:sz w:val="21"/>
                <w:szCs w:val="21"/>
                <w:highlight w:val="none"/>
              </w:rPr>
              <w:t>m</w:t>
            </w:r>
          </w:p>
        </w:tc>
        <w:tc>
          <w:tcPr>
            <w:tcW w:w="1440" w:type="dxa"/>
            <w:vAlign w:val="center"/>
          </w:tcPr>
          <w:p>
            <w:pPr>
              <w:pStyle w:val="24"/>
              <w:pBdr>
                <w:bottom w:val="none" w:color="auto" w:sz="0" w:space="0"/>
              </w:pBdr>
              <w:rPr>
                <w:rFonts w:hint="default" w:eastAsia="宋体"/>
                <w:color w:val="auto"/>
                <w:sz w:val="21"/>
                <w:szCs w:val="21"/>
                <w:highlight w:val="none"/>
                <w:lang w:val="en-US" w:eastAsia="zh-CN"/>
              </w:rPr>
            </w:pPr>
            <w:r>
              <w:rPr>
                <w:rFonts w:hint="eastAsia"/>
                <w:color w:val="auto"/>
                <w:sz w:val="21"/>
                <w:szCs w:val="21"/>
                <w:highlight w:val="none"/>
                <w:lang w:val="en-US" w:eastAsia="zh-CN"/>
              </w:rPr>
              <w:t>水果、蔬菜的种植、收购、分拣、加工、包装</w:t>
            </w:r>
          </w:p>
        </w:tc>
        <w:tc>
          <w:tcPr>
            <w:tcW w:w="930" w:type="dxa"/>
            <w:vAlign w:val="center"/>
          </w:tcPr>
          <w:p>
            <w:pPr>
              <w:pStyle w:val="24"/>
              <w:pBdr>
                <w:bottom w:val="none" w:color="auto" w:sz="0" w:space="0"/>
              </w:pBdr>
              <w:rPr>
                <w:rFonts w:hint="default" w:eastAsia="宋体"/>
                <w:color w:val="auto"/>
                <w:sz w:val="21"/>
                <w:szCs w:val="21"/>
                <w:highlight w:val="none"/>
                <w:lang w:val="en-US" w:eastAsia="zh-CN"/>
              </w:rPr>
            </w:pPr>
            <w:r>
              <w:rPr>
                <w:rFonts w:hint="eastAsia"/>
                <w:color w:val="auto"/>
                <w:sz w:val="21"/>
                <w:szCs w:val="21"/>
                <w:highlight w:val="none"/>
                <w:lang w:val="en-US" w:eastAsia="zh-CN"/>
              </w:rPr>
              <w:t>生活废水、废气、噪声、固废</w:t>
            </w:r>
          </w:p>
        </w:tc>
        <w:tc>
          <w:tcPr>
            <w:tcW w:w="1173" w:type="dxa"/>
            <w:vAlign w:val="center"/>
          </w:tcPr>
          <w:p>
            <w:pPr>
              <w:pStyle w:val="24"/>
              <w:pBdr>
                <w:bottom w:val="none" w:color="auto" w:sz="0" w:space="0"/>
              </w:pBdr>
              <w:rPr>
                <w:color w:val="auto"/>
                <w:sz w:val="21"/>
                <w:szCs w:val="21"/>
                <w:highlight w:val="none"/>
              </w:rPr>
            </w:pPr>
            <w:r>
              <w:rPr>
                <w:rFonts w:hint="eastAsia"/>
                <w:color w:val="auto"/>
                <w:sz w:val="21"/>
                <w:szCs w:val="21"/>
                <w:highlight w:val="none"/>
              </w:rPr>
              <w:t>颗粒物</w:t>
            </w:r>
          </w:p>
        </w:tc>
        <w:tc>
          <w:tcPr>
            <w:tcW w:w="1113" w:type="dxa"/>
            <w:vAlign w:val="center"/>
          </w:tcPr>
          <w:p>
            <w:pPr>
              <w:snapToGrid w:val="0"/>
              <w:jc w:val="center"/>
              <w:rPr>
                <w:color w:val="auto"/>
                <w:szCs w:val="21"/>
                <w:highlight w:val="none"/>
              </w:rPr>
            </w:pPr>
            <w:r>
              <w:rPr>
                <w:color w:val="auto"/>
                <w:szCs w:val="21"/>
                <w:highlight w:val="none"/>
              </w:rPr>
              <w:t>pH、COD、BOD</w:t>
            </w:r>
            <w:r>
              <w:rPr>
                <w:color w:val="auto"/>
                <w:szCs w:val="21"/>
                <w:highlight w:val="none"/>
                <w:vertAlign w:val="subscript"/>
              </w:rPr>
              <w:t>5</w:t>
            </w:r>
            <w:r>
              <w:rPr>
                <w:color w:val="auto"/>
                <w:szCs w:val="21"/>
                <w:highlight w:val="none"/>
              </w:rPr>
              <w:t>、氨氮、</w:t>
            </w:r>
            <w:r>
              <w:rPr>
                <w:rFonts w:hint="eastAsia"/>
                <w:color w:val="auto"/>
                <w:szCs w:val="21"/>
                <w:highlight w:val="none"/>
              </w:rPr>
              <w:t>SS</w:t>
            </w:r>
          </w:p>
        </w:tc>
        <w:tc>
          <w:tcPr>
            <w:tcW w:w="706" w:type="dxa"/>
            <w:vAlign w:val="center"/>
          </w:tcPr>
          <w:p>
            <w:pPr>
              <w:pStyle w:val="24"/>
              <w:pBdr>
                <w:bottom w:val="none" w:color="auto" w:sz="0" w:space="0"/>
              </w:pBdr>
              <w:rPr>
                <w:color w:val="auto"/>
                <w:sz w:val="21"/>
                <w:szCs w:val="21"/>
                <w:highlight w:val="none"/>
              </w:rPr>
            </w:pPr>
            <w:r>
              <w:rPr>
                <w:color w:val="auto"/>
                <w:sz w:val="21"/>
                <w:szCs w:val="21"/>
                <w:highlight w:val="none"/>
              </w:rPr>
              <w:t>一般固废、危险废物</w:t>
            </w:r>
          </w:p>
        </w:tc>
        <w:tc>
          <w:tcPr>
            <w:tcW w:w="700" w:type="dxa"/>
            <w:vAlign w:val="center"/>
          </w:tcPr>
          <w:p>
            <w:pPr>
              <w:pStyle w:val="24"/>
              <w:pBdr>
                <w:bottom w:val="none" w:color="auto" w:sz="0" w:space="0"/>
              </w:pBdr>
              <w:rPr>
                <w:color w:val="auto"/>
                <w:sz w:val="21"/>
                <w:szCs w:val="21"/>
                <w:highlight w:val="none"/>
              </w:rPr>
            </w:pPr>
            <w:r>
              <w:rPr>
                <w:color w:val="auto"/>
                <w:sz w:val="21"/>
                <w:szCs w:val="21"/>
                <w:highlight w:val="none"/>
              </w:rPr>
              <w:t>已建成</w:t>
            </w:r>
          </w:p>
        </w:tc>
      </w:tr>
    </w:tbl>
    <w:p>
      <w:pPr>
        <w:adjustRightInd w:val="0"/>
        <w:snapToGrid w:val="0"/>
        <w:spacing w:line="360" w:lineRule="auto"/>
        <w:ind w:firstLine="480" w:firstLineChars="200"/>
        <w:rPr>
          <w:color w:val="auto"/>
          <w:sz w:val="24"/>
          <w:highlight w:val="none"/>
        </w:rPr>
      </w:pPr>
    </w:p>
    <w:bookmarkEnd w:id="479"/>
    <w:bookmarkEnd w:id="480"/>
    <w:bookmarkEnd w:id="481"/>
    <w:bookmarkEnd w:id="482"/>
    <w:bookmarkEnd w:id="483"/>
    <w:bookmarkEnd w:id="484"/>
    <w:p>
      <w:pPr>
        <w:pStyle w:val="2"/>
        <w:tabs>
          <w:tab w:val="left" w:pos="4140"/>
        </w:tabs>
        <w:spacing w:before="0" w:after="0" w:line="360" w:lineRule="auto"/>
        <w:rPr>
          <w:color w:val="auto"/>
          <w:sz w:val="32"/>
          <w:szCs w:val="32"/>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bookmarkStart w:id="542" w:name="_Toc75908705"/>
      <w:bookmarkStart w:id="543" w:name="_Toc259104797"/>
      <w:bookmarkStart w:id="544" w:name="_Toc259129015"/>
      <w:bookmarkStart w:id="545" w:name="_Toc367281553"/>
      <w:bookmarkStart w:id="546" w:name="_Toc259104117"/>
      <w:bookmarkStart w:id="547" w:name="_Toc259130382"/>
      <w:bookmarkStart w:id="548" w:name="_Toc275730456"/>
      <w:bookmarkStart w:id="549" w:name="_Toc367282136"/>
      <w:bookmarkStart w:id="550" w:name="_Toc346698466"/>
      <w:bookmarkStart w:id="551" w:name="_Toc275002090"/>
    </w:p>
    <w:p>
      <w:pPr>
        <w:pStyle w:val="2"/>
        <w:tabs>
          <w:tab w:val="left" w:pos="4140"/>
        </w:tabs>
        <w:spacing w:before="0" w:after="0" w:line="360" w:lineRule="auto"/>
        <w:rPr>
          <w:color w:val="auto"/>
          <w:sz w:val="32"/>
          <w:szCs w:val="32"/>
          <w:highlight w:val="none"/>
        </w:rPr>
      </w:pPr>
      <w:bookmarkStart w:id="552" w:name="_Toc28466"/>
      <w:r>
        <w:rPr>
          <w:color w:val="auto"/>
          <w:sz w:val="32"/>
          <w:szCs w:val="32"/>
          <w:highlight w:val="none"/>
        </w:rPr>
        <w:t>5环境影响预测预评价</w:t>
      </w:r>
      <w:bookmarkEnd w:id="542"/>
      <w:bookmarkEnd w:id="552"/>
    </w:p>
    <w:p>
      <w:pPr>
        <w:spacing w:line="360" w:lineRule="auto"/>
        <w:outlineLvl w:val="1"/>
        <w:rPr>
          <w:b/>
          <w:color w:val="auto"/>
          <w:sz w:val="30"/>
          <w:szCs w:val="30"/>
          <w:highlight w:val="none"/>
        </w:rPr>
      </w:pPr>
      <w:bookmarkStart w:id="553" w:name="_Toc5786"/>
      <w:r>
        <w:rPr>
          <w:b/>
          <w:color w:val="auto"/>
          <w:sz w:val="30"/>
          <w:szCs w:val="30"/>
          <w:highlight w:val="none"/>
        </w:rPr>
        <w:t>5.1施工期环境影响预测评价</w:t>
      </w:r>
      <w:bookmarkEnd w:id="553"/>
      <w:r>
        <w:rPr>
          <w:b/>
          <w:color w:val="auto"/>
          <w:sz w:val="30"/>
          <w:szCs w:val="30"/>
          <w:highlight w:val="none"/>
        </w:rPr>
        <w:t xml:space="preserve"> </w:t>
      </w:r>
    </w:p>
    <w:p>
      <w:pPr>
        <w:keepNext/>
        <w:keepLines/>
        <w:spacing w:line="360" w:lineRule="auto"/>
        <w:outlineLvl w:val="2"/>
        <w:rPr>
          <w:b/>
          <w:bCs/>
          <w:color w:val="auto"/>
          <w:sz w:val="24"/>
          <w:highlight w:val="none"/>
        </w:rPr>
      </w:pPr>
      <w:bookmarkStart w:id="554" w:name="_Toc75908706"/>
      <w:bookmarkStart w:id="555" w:name="_Toc341709414"/>
      <w:bookmarkStart w:id="556" w:name="_Toc21518"/>
      <w:bookmarkStart w:id="557" w:name="_Toc341709663"/>
      <w:bookmarkStart w:id="558" w:name="_Toc338937275"/>
      <w:r>
        <w:rPr>
          <w:b/>
          <w:bCs/>
          <w:color w:val="auto"/>
          <w:sz w:val="24"/>
          <w:highlight w:val="none"/>
        </w:rPr>
        <w:t>5.1.1施工期大气环境影响分析</w:t>
      </w:r>
      <w:bookmarkEnd w:id="554"/>
      <w:bookmarkEnd w:id="555"/>
      <w:bookmarkEnd w:id="556"/>
      <w:bookmarkEnd w:id="557"/>
      <w:bookmarkEnd w:id="558"/>
    </w:p>
    <w:p>
      <w:pPr>
        <w:spacing w:line="360" w:lineRule="auto"/>
        <w:ind w:firstLine="480" w:firstLineChars="200"/>
        <w:rPr>
          <w:color w:val="auto"/>
          <w:sz w:val="24"/>
          <w:highlight w:val="none"/>
        </w:rPr>
      </w:pPr>
      <w:r>
        <w:rPr>
          <w:color w:val="auto"/>
          <w:sz w:val="24"/>
          <w:highlight w:val="none"/>
        </w:rPr>
        <w:t>（1）施工扬尘</w:t>
      </w:r>
    </w:p>
    <w:p>
      <w:pPr>
        <w:spacing w:line="360" w:lineRule="auto"/>
        <w:ind w:firstLine="480" w:firstLineChars="200"/>
        <w:rPr>
          <w:color w:val="auto"/>
          <w:sz w:val="24"/>
          <w:highlight w:val="none"/>
        </w:rPr>
      </w:pPr>
      <w:r>
        <w:rPr>
          <w:color w:val="auto"/>
          <w:sz w:val="24"/>
          <w:highlight w:val="none"/>
        </w:rPr>
        <w:t>项目施工期对环境空气影响的主要污染物为施工扬尘。据有关研究表明，施工场地的起尘量与排放，受施工作业的活动程度、特定操作、场地干燥程度及颗粒物、季节与气象风速、风向及管理水平等诸多因素有关，难于定量。据类比多个建筑施工场地的施工扬尘情况，施工扬尘对空气环境的影响范围一般在下风向150m左右。</w:t>
      </w:r>
    </w:p>
    <w:p>
      <w:pPr>
        <w:spacing w:line="360" w:lineRule="auto"/>
        <w:ind w:firstLine="480" w:firstLineChars="200"/>
        <w:rPr>
          <w:color w:val="auto"/>
          <w:sz w:val="24"/>
          <w:highlight w:val="none"/>
        </w:rPr>
      </w:pPr>
      <w:r>
        <w:rPr>
          <w:rFonts w:hint="eastAsia"/>
          <w:color w:val="auto"/>
          <w:sz w:val="24"/>
          <w:highlight w:val="none"/>
        </w:rPr>
        <w:t>本项目在已建成的厂房内进行装修</w:t>
      </w:r>
      <w:r>
        <w:rPr>
          <w:rFonts w:hint="eastAsia"/>
          <w:color w:val="auto"/>
          <w:sz w:val="24"/>
          <w:highlight w:val="none"/>
          <w:lang w:val="en-US" w:eastAsia="zh-CN"/>
        </w:rPr>
        <w:t>隔断</w:t>
      </w:r>
      <w:r>
        <w:rPr>
          <w:rFonts w:hint="eastAsia"/>
          <w:color w:val="auto"/>
          <w:sz w:val="24"/>
          <w:highlight w:val="none"/>
        </w:rPr>
        <w:t>和安装</w:t>
      </w:r>
      <w:r>
        <w:rPr>
          <w:rFonts w:hint="eastAsia"/>
          <w:color w:val="auto"/>
          <w:sz w:val="24"/>
          <w:highlight w:val="none"/>
          <w:lang w:val="en-US" w:eastAsia="zh-CN"/>
        </w:rPr>
        <w:t>设施</w:t>
      </w:r>
      <w:r>
        <w:rPr>
          <w:rFonts w:hint="eastAsia"/>
          <w:color w:val="auto"/>
          <w:sz w:val="24"/>
          <w:highlight w:val="none"/>
        </w:rPr>
        <w:t>设备，且厂房外</w:t>
      </w:r>
      <w:r>
        <w:rPr>
          <w:rFonts w:hint="eastAsia"/>
          <w:color w:val="auto"/>
          <w:sz w:val="24"/>
          <w:highlight w:val="none"/>
          <w:lang w:val="en-US" w:eastAsia="zh-CN"/>
        </w:rPr>
        <w:t>已建有围墙遮挡</w:t>
      </w:r>
      <w:r>
        <w:rPr>
          <w:rFonts w:hint="eastAsia"/>
          <w:color w:val="auto"/>
          <w:sz w:val="24"/>
          <w:highlight w:val="none"/>
        </w:rPr>
        <w:t>，项目在施工过程中</w:t>
      </w:r>
      <w:r>
        <w:rPr>
          <w:color w:val="auto"/>
          <w:sz w:val="24"/>
          <w:highlight w:val="none"/>
        </w:rPr>
        <w:t>采取洒水抑尘措施后，对</w:t>
      </w:r>
      <w:r>
        <w:rPr>
          <w:rFonts w:hint="eastAsia"/>
          <w:color w:val="auto"/>
          <w:sz w:val="24"/>
          <w:highlight w:val="none"/>
          <w:lang w:val="en-US" w:eastAsia="zh-CN"/>
        </w:rPr>
        <w:t>环境</w:t>
      </w:r>
      <w:r>
        <w:rPr>
          <w:color w:val="auto"/>
          <w:sz w:val="24"/>
          <w:highlight w:val="none"/>
        </w:rPr>
        <w:t>影响较小。</w:t>
      </w:r>
    </w:p>
    <w:p>
      <w:pPr>
        <w:spacing w:line="360" w:lineRule="auto"/>
        <w:ind w:firstLine="480" w:firstLineChars="200"/>
        <w:rPr>
          <w:color w:val="auto"/>
          <w:sz w:val="24"/>
          <w:highlight w:val="none"/>
        </w:rPr>
      </w:pPr>
      <w:r>
        <w:rPr>
          <w:color w:val="auto"/>
          <w:sz w:val="24"/>
          <w:highlight w:val="none"/>
        </w:rPr>
        <w:t>（2）</w:t>
      </w:r>
      <w:r>
        <w:rPr>
          <w:color w:val="auto"/>
          <w:sz w:val="24"/>
          <w:szCs w:val="20"/>
          <w:highlight w:val="none"/>
        </w:rPr>
        <w:t>施工机械废气</w:t>
      </w:r>
    </w:p>
    <w:p>
      <w:pPr>
        <w:spacing w:line="360" w:lineRule="auto"/>
        <w:ind w:firstLine="480" w:firstLineChars="200"/>
        <w:rPr>
          <w:color w:val="auto"/>
          <w:sz w:val="24"/>
          <w:highlight w:val="none"/>
        </w:rPr>
      </w:pPr>
      <w:r>
        <w:rPr>
          <w:color w:val="auto"/>
          <w:sz w:val="24"/>
          <w:highlight w:val="none"/>
        </w:rPr>
        <w:t>施工机械废气和各种运输车辆排放的汽车尾气，主要污染物为NO</w:t>
      </w:r>
      <w:r>
        <w:rPr>
          <w:color w:val="auto"/>
          <w:sz w:val="24"/>
          <w:highlight w:val="none"/>
          <w:vertAlign w:val="subscript"/>
        </w:rPr>
        <w:t>x</w:t>
      </w:r>
      <w:r>
        <w:rPr>
          <w:color w:val="auto"/>
          <w:sz w:val="24"/>
          <w:highlight w:val="none"/>
        </w:rPr>
        <w:t>、CO及THC等，由于本项目施工量较小，施工机械使用量少，则排放的机械废气量也较小，排放后很快扩散或被周边植被吸收，对外环境影响小。</w:t>
      </w:r>
    </w:p>
    <w:p>
      <w:pPr>
        <w:keepNext/>
        <w:keepLines/>
        <w:spacing w:line="360" w:lineRule="auto"/>
        <w:outlineLvl w:val="2"/>
        <w:rPr>
          <w:b/>
          <w:bCs/>
          <w:color w:val="auto"/>
          <w:sz w:val="24"/>
          <w:highlight w:val="none"/>
        </w:rPr>
      </w:pPr>
      <w:bookmarkStart w:id="559" w:name="_Toc75908707"/>
      <w:bookmarkStart w:id="560" w:name="_Toc21849"/>
      <w:r>
        <w:rPr>
          <w:b/>
          <w:bCs/>
          <w:color w:val="auto"/>
          <w:sz w:val="24"/>
          <w:highlight w:val="none"/>
        </w:rPr>
        <w:t>5.1.2施工期水环境影响分析</w:t>
      </w:r>
      <w:bookmarkEnd w:id="559"/>
      <w:bookmarkEnd w:id="560"/>
    </w:p>
    <w:p>
      <w:pPr>
        <w:spacing w:line="360" w:lineRule="auto"/>
        <w:ind w:firstLine="480"/>
        <w:rPr>
          <w:color w:val="auto"/>
          <w:sz w:val="24"/>
          <w:highlight w:val="none"/>
        </w:rPr>
      </w:pPr>
      <w:r>
        <w:rPr>
          <w:color w:val="auto"/>
          <w:sz w:val="24"/>
          <w:highlight w:val="none"/>
        </w:rPr>
        <w:t>施工废水主要有施工场地生产废水、施工人员生活污水。</w:t>
      </w:r>
    </w:p>
    <w:p>
      <w:pPr>
        <w:spacing w:line="360" w:lineRule="auto"/>
        <w:ind w:firstLine="482"/>
        <w:rPr>
          <w:color w:val="auto"/>
          <w:sz w:val="24"/>
          <w:szCs w:val="20"/>
          <w:highlight w:val="none"/>
        </w:rPr>
      </w:pPr>
      <w:r>
        <w:rPr>
          <w:color w:val="auto"/>
          <w:sz w:val="24"/>
          <w:szCs w:val="20"/>
          <w:highlight w:val="none"/>
        </w:rPr>
        <w:t>（1）生产废水</w:t>
      </w:r>
    </w:p>
    <w:p>
      <w:pPr>
        <w:spacing w:line="360" w:lineRule="auto"/>
        <w:ind w:firstLine="480" w:firstLineChars="200"/>
        <w:rPr>
          <w:color w:val="auto"/>
          <w:sz w:val="24"/>
          <w:highlight w:val="none"/>
        </w:rPr>
      </w:pPr>
      <w:r>
        <w:rPr>
          <w:color w:val="auto"/>
          <w:sz w:val="24"/>
          <w:highlight w:val="none"/>
        </w:rPr>
        <w:t>施工废水主要产生于混凝土养护及墙面的冲洗、构件与建筑材料的保湿等施工工序，废水主要污染物为泥沙、悬浮物等。施工废水</w:t>
      </w:r>
      <w:r>
        <w:rPr>
          <w:rFonts w:hint="eastAsia"/>
          <w:color w:val="auto"/>
          <w:sz w:val="24"/>
          <w:highlight w:val="none"/>
        </w:rPr>
        <w:t>设置1个0.5m</w:t>
      </w:r>
      <w:r>
        <w:rPr>
          <w:rFonts w:hint="eastAsia"/>
          <w:color w:val="auto"/>
          <w:sz w:val="24"/>
          <w:highlight w:val="none"/>
          <w:vertAlign w:val="superscript"/>
        </w:rPr>
        <w:t>3</w:t>
      </w:r>
      <w:r>
        <w:rPr>
          <w:rFonts w:hint="eastAsia"/>
          <w:color w:val="auto"/>
          <w:sz w:val="24"/>
          <w:highlight w:val="none"/>
        </w:rPr>
        <w:t>临时沉淀池进行</w:t>
      </w:r>
      <w:r>
        <w:rPr>
          <w:color w:val="auto"/>
          <w:sz w:val="24"/>
          <w:highlight w:val="none"/>
        </w:rPr>
        <w:t>沉淀处理后</w:t>
      </w:r>
      <w:r>
        <w:rPr>
          <w:rFonts w:hint="eastAsia"/>
          <w:color w:val="auto"/>
          <w:sz w:val="24"/>
          <w:highlight w:val="none"/>
        </w:rPr>
        <w:t>，</w:t>
      </w:r>
      <w:r>
        <w:rPr>
          <w:color w:val="auto"/>
          <w:sz w:val="24"/>
          <w:highlight w:val="none"/>
        </w:rPr>
        <w:t>回用于施工场地洒水降尘，不外排。</w:t>
      </w:r>
    </w:p>
    <w:p>
      <w:pPr>
        <w:spacing w:line="360" w:lineRule="auto"/>
        <w:ind w:firstLine="480" w:firstLineChars="200"/>
        <w:rPr>
          <w:color w:val="auto"/>
          <w:sz w:val="24"/>
          <w:highlight w:val="none"/>
        </w:rPr>
      </w:pPr>
      <w:r>
        <w:rPr>
          <w:color w:val="auto"/>
          <w:sz w:val="24"/>
          <w:highlight w:val="none"/>
        </w:rPr>
        <w:t>（2）生活污水</w:t>
      </w:r>
    </w:p>
    <w:p>
      <w:pPr>
        <w:spacing w:line="360" w:lineRule="auto"/>
        <w:ind w:firstLine="482"/>
        <w:rPr>
          <w:color w:val="auto"/>
          <w:sz w:val="24"/>
          <w:highlight w:val="none"/>
        </w:rPr>
      </w:pPr>
      <w:r>
        <w:rPr>
          <w:rFonts w:hint="eastAsia"/>
          <w:color w:val="auto"/>
          <w:sz w:val="24"/>
          <w:highlight w:val="none"/>
        </w:rPr>
        <w:t>项目施工人员均为当地民工，不安排集中住宿，生活污水主要为施工人员洗手废水。</w:t>
      </w:r>
      <w:r>
        <w:rPr>
          <w:color w:val="auto"/>
          <w:sz w:val="24"/>
          <w:highlight w:val="none"/>
        </w:rPr>
        <w:t>施工人员如厕依托</w:t>
      </w:r>
      <w:r>
        <w:rPr>
          <w:rFonts w:hint="eastAsia"/>
          <w:color w:val="auto"/>
          <w:sz w:val="24"/>
          <w:highlight w:val="none"/>
          <w:lang w:val="en-US" w:eastAsia="zh-CN"/>
        </w:rPr>
        <w:t>项目周边的卫生间</w:t>
      </w:r>
      <w:r>
        <w:rPr>
          <w:color w:val="auto"/>
          <w:sz w:val="24"/>
          <w:highlight w:val="none"/>
        </w:rPr>
        <w:t>；</w:t>
      </w:r>
      <w:r>
        <w:rPr>
          <w:color w:val="auto"/>
          <w:kern w:val="0"/>
          <w:sz w:val="24"/>
          <w:szCs w:val="20"/>
          <w:highlight w:val="none"/>
        </w:rPr>
        <w:t>其它盥洗生活污水</w:t>
      </w:r>
      <w:r>
        <w:rPr>
          <w:color w:val="auto"/>
          <w:sz w:val="24"/>
          <w:szCs w:val="20"/>
          <w:highlight w:val="none"/>
        </w:rPr>
        <w:t>产生量为</w:t>
      </w:r>
      <w:r>
        <w:rPr>
          <w:rFonts w:hint="eastAsia"/>
          <w:color w:val="auto"/>
          <w:sz w:val="24"/>
          <w:szCs w:val="20"/>
          <w:highlight w:val="none"/>
          <w:lang w:val="en-US" w:eastAsia="zh-CN"/>
        </w:rPr>
        <w:t>0.075</w:t>
      </w:r>
      <w:r>
        <w:rPr>
          <w:color w:val="auto"/>
          <w:sz w:val="24"/>
          <w:szCs w:val="20"/>
          <w:highlight w:val="none"/>
        </w:rPr>
        <w:t>m</w:t>
      </w:r>
      <w:r>
        <w:rPr>
          <w:color w:val="auto"/>
          <w:sz w:val="24"/>
          <w:szCs w:val="20"/>
          <w:highlight w:val="none"/>
          <w:vertAlign w:val="superscript"/>
        </w:rPr>
        <w:t>3</w:t>
      </w:r>
      <w:r>
        <w:rPr>
          <w:color w:val="auto"/>
          <w:sz w:val="24"/>
          <w:szCs w:val="20"/>
          <w:highlight w:val="none"/>
        </w:rPr>
        <w:t>/d，主要污染物为COD、BOD</w:t>
      </w:r>
      <w:r>
        <w:rPr>
          <w:color w:val="auto"/>
          <w:sz w:val="24"/>
          <w:szCs w:val="20"/>
          <w:highlight w:val="none"/>
          <w:vertAlign w:val="subscript"/>
        </w:rPr>
        <w:t>5</w:t>
      </w:r>
      <w:r>
        <w:rPr>
          <w:color w:val="auto"/>
          <w:sz w:val="24"/>
          <w:szCs w:val="20"/>
          <w:highlight w:val="none"/>
        </w:rPr>
        <w:t>、氨氮、SS</w:t>
      </w:r>
      <w:r>
        <w:rPr>
          <w:rFonts w:hint="eastAsia"/>
          <w:color w:val="auto"/>
          <w:sz w:val="24"/>
          <w:szCs w:val="20"/>
          <w:highlight w:val="none"/>
        </w:rPr>
        <w:t>，</w:t>
      </w:r>
      <w:r>
        <w:rPr>
          <w:color w:val="auto"/>
          <w:kern w:val="0"/>
          <w:sz w:val="24"/>
          <w:szCs w:val="20"/>
          <w:highlight w:val="none"/>
        </w:rPr>
        <w:t>生活污水</w:t>
      </w:r>
      <w:r>
        <w:rPr>
          <w:color w:val="auto"/>
          <w:sz w:val="24"/>
          <w:highlight w:val="none"/>
        </w:rPr>
        <w:t>收集后</w:t>
      </w:r>
      <w:r>
        <w:rPr>
          <w:rFonts w:hint="eastAsia"/>
          <w:color w:val="auto"/>
          <w:sz w:val="24"/>
          <w:highlight w:val="none"/>
        </w:rPr>
        <w:t>，</w:t>
      </w:r>
      <w:r>
        <w:rPr>
          <w:rFonts w:hint="eastAsia"/>
          <w:color w:val="auto"/>
          <w:sz w:val="24"/>
          <w:highlight w:val="none"/>
          <w:lang w:val="en-US" w:eastAsia="zh-CN"/>
        </w:rPr>
        <w:t>依托项目区已有化粪池处理。</w:t>
      </w:r>
    </w:p>
    <w:p>
      <w:pPr>
        <w:keepNext/>
        <w:keepLines/>
        <w:spacing w:line="360" w:lineRule="auto"/>
        <w:outlineLvl w:val="2"/>
        <w:rPr>
          <w:b/>
          <w:bCs/>
          <w:color w:val="auto"/>
          <w:sz w:val="24"/>
          <w:highlight w:val="none"/>
        </w:rPr>
      </w:pPr>
      <w:bookmarkStart w:id="561" w:name="_Toc75908708"/>
      <w:bookmarkStart w:id="562" w:name="_Toc338937277"/>
      <w:bookmarkStart w:id="563" w:name="_Toc26226"/>
      <w:bookmarkStart w:id="564" w:name="_Toc341709416"/>
      <w:bookmarkStart w:id="565" w:name="_Toc341709665"/>
      <w:r>
        <w:rPr>
          <w:b/>
          <w:bCs/>
          <w:color w:val="auto"/>
          <w:sz w:val="24"/>
          <w:highlight w:val="none"/>
        </w:rPr>
        <w:t>5.1.3施工期声环境影响分析</w:t>
      </w:r>
      <w:bookmarkEnd w:id="561"/>
      <w:bookmarkEnd w:id="562"/>
      <w:bookmarkEnd w:id="563"/>
      <w:bookmarkEnd w:id="564"/>
      <w:bookmarkEnd w:id="565"/>
    </w:p>
    <w:p>
      <w:pPr>
        <w:spacing w:line="360" w:lineRule="auto"/>
        <w:ind w:firstLine="480"/>
        <w:rPr>
          <w:color w:val="auto"/>
          <w:sz w:val="24"/>
          <w:highlight w:val="none"/>
        </w:rPr>
      </w:pPr>
      <w:r>
        <w:rPr>
          <w:color w:val="auto"/>
          <w:sz w:val="24"/>
          <w:highlight w:val="none"/>
        </w:rPr>
        <w:t>施工期主要噪声污染源为</w:t>
      </w:r>
      <w:r>
        <w:rPr>
          <w:rFonts w:hint="eastAsia"/>
          <w:color w:val="auto"/>
          <w:sz w:val="24"/>
          <w:highlight w:val="none"/>
          <w:lang w:val="en-US" w:eastAsia="zh-CN"/>
        </w:rPr>
        <w:t>切割机、电焊机</w:t>
      </w:r>
      <w:r>
        <w:rPr>
          <w:color w:val="auto"/>
          <w:sz w:val="24"/>
          <w:highlight w:val="none"/>
        </w:rPr>
        <w:t>、电钻等施工机械以及交通运输车辆，主要噪声源及噪声级见表</w:t>
      </w:r>
      <w:r>
        <w:rPr>
          <w:rFonts w:hint="eastAsia"/>
          <w:color w:val="auto"/>
          <w:sz w:val="24"/>
          <w:highlight w:val="none"/>
        </w:rPr>
        <w:t>5</w:t>
      </w:r>
      <w:r>
        <w:rPr>
          <w:color w:val="auto"/>
          <w:sz w:val="24"/>
          <w:highlight w:val="none"/>
        </w:rPr>
        <w:t>.1-1。</w:t>
      </w:r>
    </w:p>
    <w:p>
      <w:pPr>
        <w:spacing w:line="360" w:lineRule="auto"/>
        <w:ind w:firstLine="480"/>
        <w:rPr>
          <w:color w:val="auto"/>
          <w:sz w:val="24"/>
          <w:highlight w:val="none"/>
        </w:rPr>
      </w:pPr>
      <w:r>
        <w:rPr>
          <w:color w:val="auto"/>
          <w:sz w:val="24"/>
          <w:highlight w:val="none"/>
        </w:rPr>
        <w:t>在施工噪声预测计算中，施工机械噪声衰减模式如下：</w:t>
      </w:r>
    </w:p>
    <w:p>
      <w:pPr>
        <w:spacing w:line="360" w:lineRule="auto"/>
        <w:ind w:firstLine="480"/>
        <w:jc w:val="center"/>
        <w:rPr>
          <w:color w:val="auto"/>
          <w:sz w:val="24"/>
          <w:highlight w:val="none"/>
        </w:rPr>
      </w:pPr>
      <w:r>
        <w:rPr>
          <w:color w:val="auto"/>
          <w:sz w:val="24"/>
          <w:highlight w:val="none"/>
        </w:rPr>
        <w:t>△L＝L</w:t>
      </w:r>
      <w:r>
        <w:rPr>
          <w:color w:val="auto"/>
          <w:sz w:val="24"/>
          <w:highlight w:val="none"/>
          <w:vertAlign w:val="subscript"/>
        </w:rPr>
        <w:t>1</w:t>
      </w:r>
      <w:r>
        <w:rPr>
          <w:color w:val="auto"/>
          <w:sz w:val="24"/>
          <w:highlight w:val="none"/>
        </w:rPr>
        <w:t>－L</w:t>
      </w:r>
      <w:r>
        <w:rPr>
          <w:color w:val="auto"/>
          <w:sz w:val="24"/>
          <w:highlight w:val="none"/>
          <w:vertAlign w:val="subscript"/>
        </w:rPr>
        <w:t>2</w:t>
      </w:r>
      <w:r>
        <w:rPr>
          <w:color w:val="auto"/>
          <w:sz w:val="24"/>
          <w:highlight w:val="none"/>
        </w:rPr>
        <w:t>＝20lg(r</w:t>
      </w:r>
      <w:r>
        <w:rPr>
          <w:color w:val="auto"/>
          <w:sz w:val="24"/>
          <w:highlight w:val="none"/>
          <w:vertAlign w:val="subscript"/>
        </w:rPr>
        <w:t>2</w:t>
      </w:r>
      <w:r>
        <w:rPr>
          <w:color w:val="auto"/>
          <w:sz w:val="24"/>
          <w:highlight w:val="none"/>
        </w:rPr>
        <w:t>/r</w:t>
      </w:r>
      <w:r>
        <w:rPr>
          <w:color w:val="auto"/>
          <w:sz w:val="24"/>
          <w:highlight w:val="none"/>
          <w:vertAlign w:val="subscript"/>
        </w:rPr>
        <w:t>1</w:t>
      </w:r>
      <w:r>
        <w:rPr>
          <w:color w:val="auto"/>
          <w:sz w:val="24"/>
          <w:highlight w:val="none"/>
        </w:rPr>
        <w:t>)</w:t>
      </w:r>
    </w:p>
    <w:p>
      <w:pPr>
        <w:spacing w:line="360" w:lineRule="auto"/>
        <w:ind w:firstLine="480"/>
        <w:rPr>
          <w:color w:val="auto"/>
          <w:sz w:val="24"/>
          <w:highlight w:val="none"/>
        </w:rPr>
      </w:pPr>
      <w:r>
        <w:rPr>
          <w:color w:val="auto"/>
          <w:sz w:val="24"/>
          <w:highlight w:val="none"/>
        </w:rPr>
        <w:t>式中：△L——距离增加产生的噪声衰减值(dB)；</w:t>
      </w:r>
    </w:p>
    <w:p>
      <w:pPr>
        <w:spacing w:line="360" w:lineRule="auto"/>
        <w:ind w:firstLine="1200" w:firstLineChars="500"/>
        <w:rPr>
          <w:color w:val="auto"/>
          <w:sz w:val="24"/>
          <w:highlight w:val="none"/>
        </w:rPr>
      </w:pPr>
      <w:r>
        <w:rPr>
          <w:color w:val="auto"/>
          <w:sz w:val="24"/>
          <w:highlight w:val="none"/>
        </w:rPr>
        <w:t>L</w:t>
      </w:r>
      <w:r>
        <w:rPr>
          <w:color w:val="auto"/>
          <w:sz w:val="24"/>
          <w:highlight w:val="none"/>
          <w:vertAlign w:val="subscript"/>
        </w:rPr>
        <w:t>1</w:t>
      </w:r>
      <w:r>
        <w:rPr>
          <w:color w:val="auto"/>
          <w:sz w:val="24"/>
          <w:highlight w:val="none"/>
        </w:rPr>
        <w:t>——距点声源r</w:t>
      </w:r>
      <w:r>
        <w:rPr>
          <w:color w:val="auto"/>
          <w:sz w:val="24"/>
          <w:highlight w:val="none"/>
          <w:vertAlign w:val="subscript"/>
        </w:rPr>
        <w:t>1</w:t>
      </w:r>
      <w:r>
        <w:rPr>
          <w:color w:val="auto"/>
          <w:sz w:val="24"/>
          <w:highlight w:val="none"/>
        </w:rPr>
        <w:t>处的噪声值(dB)；</w:t>
      </w:r>
    </w:p>
    <w:p>
      <w:pPr>
        <w:spacing w:line="360" w:lineRule="auto"/>
        <w:ind w:firstLine="1200" w:firstLineChars="500"/>
        <w:rPr>
          <w:color w:val="auto"/>
          <w:sz w:val="24"/>
          <w:highlight w:val="none"/>
        </w:rPr>
      </w:pPr>
      <w:r>
        <w:rPr>
          <w:color w:val="auto"/>
          <w:sz w:val="24"/>
          <w:highlight w:val="none"/>
        </w:rPr>
        <w:t>L</w:t>
      </w:r>
      <w:r>
        <w:rPr>
          <w:color w:val="auto"/>
          <w:sz w:val="24"/>
          <w:highlight w:val="none"/>
          <w:vertAlign w:val="subscript"/>
        </w:rPr>
        <w:t>2</w:t>
      </w:r>
      <w:r>
        <w:rPr>
          <w:color w:val="auto"/>
          <w:sz w:val="24"/>
          <w:highlight w:val="none"/>
        </w:rPr>
        <w:t>——距点声源r</w:t>
      </w:r>
      <w:r>
        <w:rPr>
          <w:color w:val="auto"/>
          <w:sz w:val="24"/>
          <w:highlight w:val="none"/>
          <w:vertAlign w:val="subscript"/>
        </w:rPr>
        <w:t>2</w:t>
      </w:r>
      <w:r>
        <w:rPr>
          <w:color w:val="auto"/>
          <w:sz w:val="24"/>
          <w:highlight w:val="none"/>
        </w:rPr>
        <w:t>处的噪声值(dB)。</w:t>
      </w:r>
    </w:p>
    <w:p>
      <w:pPr>
        <w:spacing w:line="360" w:lineRule="auto"/>
        <w:ind w:firstLine="480"/>
        <w:rPr>
          <w:color w:val="auto"/>
          <w:sz w:val="24"/>
          <w:highlight w:val="none"/>
        </w:rPr>
      </w:pPr>
      <w:r>
        <w:rPr>
          <w:color w:val="auto"/>
          <w:sz w:val="24"/>
          <w:highlight w:val="none"/>
        </w:rPr>
        <w:t>由此式可计算出噪声值随距离衰减的情况，结果见表</w:t>
      </w:r>
      <w:r>
        <w:rPr>
          <w:rFonts w:hint="eastAsia"/>
          <w:color w:val="auto"/>
          <w:sz w:val="24"/>
          <w:highlight w:val="none"/>
        </w:rPr>
        <w:t>5</w:t>
      </w:r>
      <w:r>
        <w:rPr>
          <w:color w:val="auto"/>
          <w:sz w:val="24"/>
          <w:highlight w:val="none"/>
        </w:rPr>
        <w:t>.1-1。</w:t>
      </w:r>
    </w:p>
    <w:p>
      <w:pPr>
        <w:spacing w:line="360" w:lineRule="auto"/>
        <w:jc w:val="center"/>
        <w:rPr>
          <w:b/>
          <w:color w:val="auto"/>
          <w:sz w:val="24"/>
          <w:highlight w:val="none"/>
        </w:rPr>
      </w:pPr>
      <w:r>
        <w:rPr>
          <w:b/>
          <w:bCs/>
          <w:color w:val="auto"/>
          <w:sz w:val="24"/>
          <w:highlight w:val="none"/>
        </w:rPr>
        <w:t>表</w:t>
      </w:r>
      <w:r>
        <w:rPr>
          <w:rFonts w:hint="eastAsia"/>
          <w:b/>
          <w:bCs/>
          <w:color w:val="auto"/>
          <w:sz w:val="24"/>
          <w:highlight w:val="none"/>
        </w:rPr>
        <w:t>5</w:t>
      </w:r>
      <w:r>
        <w:rPr>
          <w:b/>
          <w:bCs/>
          <w:color w:val="auto"/>
          <w:sz w:val="24"/>
          <w:highlight w:val="none"/>
        </w:rPr>
        <w:t>.1-1  施工机械噪声影响预测结果表</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308"/>
        <w:gridCol w:w="944"/>
        <w:gridCol w:w="1175"/>
        <w:gridCol w:w="1057"/>
        <w:gridCol w:w="1059"/>
        <w:gridCol w:w="110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7" w:type="dxa"/>
            <w:vMerge w:val="restart"/>
            <w:vAlign w:val="center"/>
          </w:tcPr>
          <w:p>
            <w:pPr>
              <w:spacing w:line="360" w:lineRule="auto"/>
              <w:jc w:val="center"/>
              <w:rPr>
                <w:b/>
                <w:color w:val="auto"/>
                <w:szCs w:val="21"/>
                <w:highlight w:val="none"/>
              </w:rPr>
            </w:pPr>
            <w:r>
              <w:rPr>
                <w:b/>
                <w:color w:val="auto"/>
                <w:szCs w:val="21"/>
                <w:highlight w:val="none"/>
              </w:rPr>
              <w:t>序号</w:t>
            </w:r>
          </w:p>
        </w:tc>
        <w:tc>
          <w:tcPr>
            <w:tcW w:w="1308" w:type="dxa"/>
            <w:vMerge w:val="restart"/>
            <w:vAlign w:val="center"/>
          </w:tcPr>
          <w:p>
            <w:pPr>
              <w:spacing w:line="360" w:lineRule="auto"/>
              <w:jc w:val="center"/>
              <w:rPr>
                <w:b/>
                <w:color w:val="auto"/>
                <w:szCs w:val="21"/>
                <w:highlight w:val="none"/>
              </w:rPr>
            </w:pPr>
            <w:r>
              <w:rPr>
                <w:b/>
                <w:color w:val="auto"/>
                <w:szCs w:val="21"/>
                <w:highlight w:val="none"/>
              </w:rPr>
              <w:t>设备名称</w:t>
            </w:r>
          </w:p>
        </w:tc>
        <w:tc>
          <w:tcPr>
            <w:tcW w:w="944" w:type="dxa"/>
            <w:vMerge w:val="restart"/>
            <w:vAlign w:val="center"/>
          </w:tcPr>
          <w:p>
            <w:pPr>
              <w:spacing w:line="360" w:lineRule="auto"/>
              <w:jc w:val="center"/>
              <w:rPr>
                <w:b/>
                <w:color w:val="auto"/>
                <w:szCs w:val="21"/>
                <w:highlight w:val="none"/>
              </w:rPr>
            </w:pPr>
            <w:r>
              <w:rPr>
                <w:b/>
                <w:color w:val="auto"/>
                <w:szCs w:val="21"/>
                <w:highlight w:val="none"/>
              </w:rPr>
              <w:t>声级</w:t>
            </w:r>
          </w:p>
          <w:p>
            <w:pPr>
              <w:spacing w:line="360" w:lineRule="auto"/>
              <w:jc w:val="center"/>
              <w:rPr>
                <w:b/>
                <w:color w:val="auto"/>
                <w:szCs w:val="21"/>
                <w:highlight w:val="none"/>
              </w:rPr>
            </w:pPr>
            <w:r>
              <w:rPr>
                <w:b/>
                <w:color w:val="auto"/>
                <w:szCs w:val="21"/>
                <w:highlight w:val="none"/>
              </w:rPr>
              <w:t>dB(A)</w:t>
            </w:r>
          </w:p>
        </w:tc>
        <w:tc>
          <w:tcPr>
            <w:tcW w:w="1175" w:type="dxa"/>
            <w:vMerge w:val="restart"/>
            <w:vAlign w:val="center"/>
          </w:tcPr>
          <w:p>
            <w:pPr>
              <w:spacing w:line="360" w:lineRule="auto"/>
              <w:jc w:val="center"/>
              <w:rPr>
                <w:b/>
                <w:color w:val="auto"/>
                <w:szCs w:val="21"/>
                <w:highlight w:val="none"/>
              </w:rPr>
            </w:pPr>
            <w:r>
              <w:rPr>
                <w:b/>
                <w:color w:val="auto"/>
                <w:szCs w:val="21"/>
                <w:highlight w:val="none"/>
              </w:rPr>
              <w:t>距声源</w:t>
            </w:r>
          </w:p>
          <w:p>
            <w:pPr>
              <w:spacing w:line="360" w:lineRule="auto"/>
              <w:jc w:val="center"/>
              <w:rPr>
                <w:b/>
                <w:color w:val="auto"/>
                <w:szCs w:val="21"/>
                <w:highlight w:val="none"/>
              </w:rPr>
            </w:pPr>
            <w:r>
              <w:rPr>
                <w:b/>
                <w:color w:val="auto"/>
                <w:szCs w:val="21"/>
                <w:highlight w:val="none"/>
              </w:rPr>
              <w:t>距离(m)</w:t>
            </w:r>
          </w:p>
        </w:tc>
        <w:tc>
          <w:tcPr>
            <w:tcW w:w="2116" w:type="dxa"/>
            <w:gridSpan w:val="2"/>
            <w:vAlign w:val="center"/>
          </w:tcPr>
          <w:p>
            <w:pPr>
              <w:spacing w:line="360" w:lineRule="auto"/>
              <w:jc w:val="center"/>
              <w:rPr>
                <w:b/>
                <w:color w:val="auto"/>
                <w:szCs w:val="21"/>
                <w:highlight w:val="none"/>
              </w:rPr>
            </w:pPr>
            <w:r>
              <w:rPr>
                <w:b/>
                <w:color w:val="auto"/>
                <w:szCs w:val="21"/>
                <w:highlight w:val="none"/>
              </w:rPr>
              <w:t>评价标准dB (A)</w:t>
            </w:r>
          </w:p>
        </w:tc>
        <w:tc>
          <w:tcPr>
            <w:tcW w:w="2219" w:type="dxa"/>
            <w:gridSpan w:val="2"/>
            <w:vAlign w:val="center"/>
          </w:tcPr>
          <w:p>
            <w:pPr>
              <w:spacing w:line="360" w:lineRule="auto"/>
              <w:jc w:val="center"/>
              <w:rPr>
                <w:b/>
                <w:color w:val="auto"/>
                <w:szCs w:val="21"/>
                <w:highlight w:val="none"/>
              </w:rPr>
            </w:pPr>
            <w:r>
              <w:rPr>
                <w:b/>
                <w:color w:val="auto"/>
                <w:szCs w:val="21"/>
                <w:highlight w:val="none"/>
              </w:rPr>
              <w:t>最大超标范围(m)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7" w:type="dxa"/>
            <w:vMerge w:val="continue"/>
            <w:vAlign w:val="center"/>
          </w:tcPr>
          <w:p>
            <w:pPr>
              <w:spacing w:line="360" w:lineRule="auto"/>
              <w:jc w:val="center"/>
              <w:rPr>
                <w:b/>
                <w:color w:val="auto"/>
                <w:szCs w:val="21"/>
                <w:highlight w:val="none"/>
              </w:rPr>
            </w:pPr>
          </w:p>
        </w:tc>
        <w:tc>
          <w:tcPr>
            <w:tcW w:w="1308" w:type="dxa"/>
            <w:vMerge w:val="continue"/>
            <w:vAlign w:val="center"/>
          </w:tcPr>
          <w:p>
            <w:pPr>
              <w:spacing w:line="360" w:lineRule="auto"/>
              <w:jc w:val="center"/>
              <w:rPr>
                <w:b/>
                <w:color w:val="auto"/>
                <w:szCs w:val="21"/>
                <w:highlight w:val="none"/>
              </w:rPr>
            </w:pPr>
          </w:p>
        </w:tc>
        <w:tc>
          <w:tcPr>
            <w:tcW w:w="944" w:type="dxa"/>
            <w:vMerge w:val="continue"/>
            <w:vAlign w:val="center"/>
          </w:tcPr>
          <w:p>
            <w:pPr>
              <w:spacing w:line="360" w:lineRule="auto"/>
              <w:jc w:val="center"/>
              <w:rPr>
                <w:b/>
                <w:color w:val="auto"/>
                <w:szCs w:val="21"/>
                <w:highlight w:val="none"/>
              </w:rPr>
            </w:pPr>
          </w:p>
        </w:tc>
        <w:tc>
          <w:tcPr>
            <w:tcW w:w="1175" w:type="dxa"/>
            <w:vMerge w:val="continue"/>
            <w:vAlign w:val="center"/>
          </w:tcPr>
          <w:p>
            <w:pPr>
              <w:spacing w:line="360" w:lineRule="auto"/>
              <w:jc w:val="center"/>
              <w:rPr>
                <w:b/>
                <w:color w:val="auto"/>
                <w:szCs w:val="21"/>
                <w:highlight w:val="none"/>
              </w:rPr>
            </w:pPr>
          </w:p>
        </w:tc>
        <w:tc>
          <w:tcPr>
            <w:tcW w:w="1057" w:type="dxa"/>
            <w:vAlign w:val="center"/>
          </w:tcPr>
          <w:p>
            <w:pPr>
              <w:spacing w:line="360" w:lineRule="auto"/>
              <w:jc w:val="center"/>
              <w:rPr>
                <w:b/>
                <w:color w:val="auto"/>
                <w:szCs w:val="21"/>
                <w:highlight w:val="none"/>
              </w:rPr>
            </w:pPr>
            <w:r>
              <w:rPr>
                <w:b/>
                <w:color w:val="auto"/>
                <w:szCs w:val="21"/>
                <w:highlight w:val="none"/>
              </w:rPr>
              <w:t>昼间</w:t>
            </w:r>
          </w:p>
        </w:tc>
        <w:tc>
          <w:tcPr>
            <w:tcW w:w="1059" w:type="dxa"/>
            <w:vAlign w:val="center"/>
          </w:tcPr>
          <w:p>
            <w:pPr>
              <w:spacing w:line="360" w:lineRule="auto"/>
              <w:jc w:val="center"/>
              <w:rPr>
                <w:b/>
                <w:color w:val="auto"/>
                <w:szCs w:val="21"/>
                <w:highlight w:val="none"/>
              </w:rPr>
            </w:pPr>
            <w:r>
              <w:rPr>
                <w:b/>
                <w:color w:val="auto"/>
                <w:szCs w:val="21"/>
                <w:highlight w:val="none"/>
              </w:rPr>
              <w:t>夜间</w:t>
            </w:r>
          </w:p>
        </w:tc>
        <w:tc>
          <w:tcPr>
            <w:tcW w:w="1108" w:type="dxa"/>
            <w:vAlign w:val="center"/>
          </w:tcPr>
          <w:p>
            <w:pPr>
              <w:spacing w:line="360" w:lineRule="auto"/>
              <w:jc w:val="center"/>
              <w:rPr>
                <w:b/>
                <w:color w:val="auto"/>
                <w:szCs w:val="21"/>
                <w:highlight w:val="none"/>
              </w:rPr>
            </w:pPr>
            <w:r>
              <w:rPr>
                <w:b/>
                <w:color w:val="auto"/>
                <w:szCs w:val="21"/>
                <w:highlight w:val="none"/>
              </w:rPr>
              <w:t>昼间</w:t>
            </w:r>
          </w:p>
        </w:tc>
        <w:tc>
          <w:tcPr>
            <w:tcW w:w="1111" w:type="dxa"/>
            <w:vAlign w:val="center"/>
          </w:tcPr>
          <w:p>
            <w:pPr>
              <w:spacing w:line="360" w:lineRule="auto"/>
              <w:jc w:val="center"/>
              <w:rPr>
                <w:b/>
                <w:color w:val="auto"/>
                <w:szCs w:val="21"/>
                <w:highlight w:val="none"/>
              </w:rPr>
            </w:pPr>
            <w:r>
              <w:rPr>
                <w:b/>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7"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308"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振捣机</w:t>
            </w:r>
          </w:p>
        </w:tc>
        <w:tc>
          <w:tcPr>
            <w:tcW w:w="944"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1175"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057" w:type="dxa"/>
            <w:vMerge w:val="restart"/>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70</w:t>
            </w:r>
          </w:p>
        </w:tc>
        <w:tc>
          <w:tcPr>
            <w:tcW w:w="1059" w:type="dxa"/>
            <w:vMerge w:val="restart"/>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55</w:t>
            </w:r>
          </w:p>
        </w:tc>
        <w:tc>
          <w:tcPr>
            <w:tcW w:w="1108"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14</w:t>
            </w:r>
          </w:p>
        </w:tc>
        <w:tc>
          <w:tcPr>
            <w:tcW w:w="1111"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7"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308"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切割机</w:t>
            </w:r>
          </w:p>
        </w:tc>
        <w:tc>
          <w:tcPr>
            <w:tcW w:w="944"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88</w:t>
            </w:r>
          </w:p>
        </w:tc>
        <w:tc>
          <w:tcPr>
            <w:tcW w:w="1175"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057" w:type="dxa"/>
            <w:vMerge w:val="continue"/>
            <w:vAlign w:val="center"/>
          </w:tcPr>
          <w:p>
            <w:pPr>
              <w:spacing w:line="360" w:lineRule="auto"/>
              <w:jc w:val="center"/>
              <w:rPr>
                <w:rFonts w:hint="eastAsia"/>
                <w:color w:val="auto"/>
                <w:szCs w:val="21"/>
                <w:highlight w:val="none"/>
                <w:lang w:val="en-US" w:eastAsia="zh-CN"/>
              </w:rPr>
            </w:pPr>
          </w:p>
        </w:tc>
        <w:tc>
          <w:tcPr>
            <w:tcW w:w="1059" w:type="dxa"/>
            <w:vMerge w:val="continue"/>
            <w:vAlign w:val="center"/>
          </w:tcPr>
          <w:p>
            <w:pPr>
              <w:spacing w:line="360" w:lineRule="auto"/>
              <w:jc w:val="center"/>
              <w:rPr>
                <w:rFonts w:hint="eastAsia"/>
                <w:color w:val="auto"/>
                <w:szCs w:val="21"/>
                <w:highlight w:val="none"/>
                <w:lang w:val="en-US" w:eastAsia="zh-CN"/>
              </w:rPr>
            </w:pPr>
          </w:p>
        </w:tc>
        <w:tc>
          <w:tcPr>
            <w:tcW w:w="1108"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1111"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7" w:type="dxa"/>
            <w:shd w:val="clear" w:color="auto" w:fill="auto"/>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308"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电锯</w:t>
            </w:r>
          </w:p>
        </w:tc>
        <w:tc>
          <w:tcPr>
            <w:tcW w:w="944"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103</w:t>
            </w:r>
          </w:p>
        </w:tc>
        <w:tc>
          <w:tcPr>
            <w:tcW w:w="1175"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057" w:type="dxa"/>
            <w:vMerge w:val="continue"/>
            <w:vAlign w:val="center"/>
          </w:tcPr>
          <w:p>
            <w:pPr>
              <w:spacing w:line="360" w:lineRule="auto"/>
              <w:jc w:val="center"/>
              <w:rPr>
                <w:rFonts w:hint="eastAsia"/>
                <w:color w:val="auto"/>
                <w:szCs w:val="21"/>
                <w:highlight w:val="none"/>
                <w:lang w:val="en-US" w:eastAsia="zh-CN"/>
              </w:rPr>
            </w:pPr>
          </w:p>
        </w:tc>
        <w:tc>
          <w:tcPr>
            <w:tcW w:w="1059" w:type="dxa"/>
            <w:vMerge w:val="continue"/>
            <w:vAlign w:val="center"/>
          </w:tcPr>
          <w:p>
            <w:pPr>
              <w:spacing w:line="360" w:lineRule="auto"/>
              <w:jc w:val="center"/>
              <w:rPr>
                <w:rFonts w:hint="eastAsia"/>
                <w:color w:val="auto"/>
                <w:szCs w:val="21"/>
                <w:highlight w:val="none"/>
                <w:lang w:val="en-US" w:eastAsia="zh-CN"/>
              </w:rPr>
            </w:pPr>
          </w:p>
        </w:tc>
        <w:tc>
          <w:tcPr>
            <w:tcW w:w="1108"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1111"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7" w:type="dxa"/>
            <w:shd w:val="clear" w:color="auto" w:fill="auto"/>
            <w:vAlign w:val="center"/>
          </w:tcPr>
          <w:p>
            <w:pPr>
              <w:spacing w:line="360" w:lineRule="auto"/>
              <w:jc w:val="center"/>
              <w:rPr>
                <w:color w:val="auto"/>
                <w:szCs w:val="21"/>
                <w:highlight w:val="none"/>
              </w:rPr>
            </w:pPr>
            <w:r>
              <w:rPr>
                <w:color w:val="auto"/>
                <w:szCs w:val="21"/>
                <w:highlight w:val="none"/>
              </w:rPr>
              <w:t>4</w:t>
            </w:r>
          </w:p>
        </w:tc>
        <w:tc>
          <w:tcPr>
            <w:tcW w:w="1308"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电焊机</w:t>
            </w:r>
          </w:p>
        </w:tc>
        <w:tc>
          <w:tcPr>
            <w:tcW w:w="944"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75</w:t>
            </w:r>
          </w:p>
        </w:tc>
        <w:tc>
          <w:tcPr>
            <w:tcW w:w="1175" w:type="dxa"/>
            <w:vAlign w:val="center"/>
          </w:tcPr>
          <w:p>
            <w:pPr>
              <w:spacing w:line="360" w:lineRule="auto"/>
              <w:jc w:val="center"/>
              <w:rPr>
                <w:color w:val="auto"/>
                <w:szCs w:val="21"/>
                <w:highlight w:val="none"/>
              </w:rPr>
            </w:pPr>
            <w:r>
              <w:rPr>
                <w:color w:val="auto"/>
                <w:szCs w:val="21"/>
                <w:highlight w:val="none"/>
              </w:rPr>
              <w:t>1</w:t>
            </w:r>
          </w:p>
        </w:tc>
        <w:tc>
          <w:tcPr>
            <w:tcW w:w="1057" w:type="dxa"/>
            <w:vMerge w:val="continue"/>
            <w:vAlign w:val="center"/>
          </w:tcPr>
          <w:p>
            <w:pPr>
              <w:spacing w:line="360" w:lineRule="auto"/>
              <w:jc w:val="center"/>
              <w:rPr>
                <w:rFonts w:hint="default" w:eastAsia="宋体"/>
                <w:color w:val="auto"/>
                <w:szCs w:val="21"/>
                <w:highlight w:val="none"/>
                <w:lang w:val="en-US" w:eastAsia="zh-CN"/>
              </w:rPr>
            </w:pPr>
          </w:p>
        </w:tc>
        <w:tc>
          <w:tcPr>
            <w:tcW w:w="1059" w:type="dxa"/>
            <w:vMerge w:val="continue"/>
            <w:vAlign w:val="center"/>
          </w:tcPr>
          <w:p>
            <w:pPr>
              <w:spacing w:line="360" w:lineRule="auto"/>
              <w:jc w:val="center"/>
              <w:rPr>
                <w:rFonts w:hint="default" w:eastAsia="宋体"/>
                <w:color w:val="auto"/>
                <w:szCs w:val="21"/>
                <w:highlight w:val="none"/>
                <w:lang w:val="en-US" w:eastAsia="zh-CN"/>
              </w:rPr>
            </w:pPr>
          </w:p>
        </w:tc>
        <w:tc>
          <w:tcPr>
            <w:tcW w:w="1108"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28</w:t>
            </w:r>
          </w:p>
        </w:tc>
        <w:tc>
          <w:tcPr>
            <w:tcW w:w="1111"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1</w:t>
            </w:r>
            <w:r>
              <w:rPr>
                <w:color w:val="auto"/>
                <w:szCs w:val="21"/>
                <w:highlight w:val="none"/>
              </w:rPr>
              <w:t>5</w:t>
            </w:r>
            <w:r>
              <w:rPr>
                <w:rFonts w:hint="eastAsia"/>
                <w:color w:val="auto"/>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7" w:type="dxa"/>
            <w:shd w:val="clear" w:color="auto" w:fill="auto"/>
            <w:vAlign w:val="center"/>
          </w:tcPr>
          <w:p>
            <w:pPr>
              <w:spacing w:line="360" w:lineRule="auto"/>
              <w:jc w:val="center"/>
              <w:rPr>
                <w:color w:val="auto"/>
                <w:szCs w:val="21"/>
                <w:highlight w:val="none"/>
              </w:rPr>
            </w:pPr>
            <w:r>
              <w:rPr>
                <w:color w:val="auto"/>
                <w:szCs w:val="21"/>
                <w:highlight w:val="none"/>
              </w:rPr>
              <w:t>5</w:t>
            </w:r>
          </w:p>
        </w:tc>
        <w:tc>
          <w:tcPr>
            <w:tcW w:w="1308" w:type="dxa"/>
            <w:vAlign w:val="center"/>
          </w:tcPr>
          <w:p>
            <w:pPr>
              <w:spacing w:line="360" w:lineRule="auto"/>
              <w:jc w:val="center"/>
              <w:rPr>
                <w:rFonts w:hint="eastAsia" w:eastAsia="宋体"/>
                <w:color w:val="auto"/>
                <w:szCs w:val="21"/>
                <w:highlight w:val="none"/>
                <w:lang w:val="en-US" w:eastAsia="zh-CN"/>
              </w:rPr>
            </w:pPr>
            <w:r>
              <w:rPr>
                <w:rFonts w:hint="eastAsia"/>
                <w:color w:val="auto"/>
                <w:szCs w:val="21"/>
                <w:highlight w:val="none"/>
                <w:lang w:val="en-US" w:eastAsia="zh-CN"/>
              </w:rPr>
              <w:t>电钻</w:t>
            </w:r>
          </w:p>
        </w:tc>
        <w:tc>
          <w:tcPr>
            <w:tcW w:w="944"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1175" w:type="dxa"/>
            <w:vAlign w:val="center"/>
          </w:tcPr>
          <w:p>
            <w:pPr>
              <w:spacing w:line="360" w:lineRule="auto"/>
              <w:jc w:val="center"/>
              <w:rPr>
                <w:color w:val="auto"/>
                <w:szCs w:val="21"/>
                <w:highlight w:val="none"/>
              </w:rPr>
            </w:pPr>
            <w:r>
              <w:rPr>
                <w:color w:val="auto"/>
                <w:szCs w:val="21"/>
                <w:highlight w:val="none"/>
              </w:rPr>
              <w:t>1</w:t>
            </w:r>
          </w:p>
        </w:tc>
        <w:tc>
          <w:tcPr>
            <w:tcW w:w="1057" w:type="dxa"/>
            <w:vMerge w:val="continue"/>
            <w:vAlign w:val="center"/>
          </w:tcPr>
          <w:p>
            <w:pPr>
              <w:spacing w:line="360" w:lineRule="auto"/>
              <w:jc w:val="center"/>
              <w:rPr>
                <w:color w:val="auto"/>
                <w:szCs w:val="21"/>
                <w:highlight w:val="none"/>
              </w:rPr>
            </w:pPr>
          </w:p>
        </w:tc>
        <w:tc>
          <w:tcPr>
            <w:tcW w:w="1059" w:type="dxa"/>
            <w:vMerge w:val="continue"/>
            <w:vAlign w:val="center"/>
          </w:tcPr>
          <w:p>
            <w:pPr>
              <w:spacing w:line="360" w:lineRule="auto"/>
              <w:jc w:val="center"/>
              <w:rPr>
                <w:color w:val="auto"/>
                <w:szCs w:val="21"/>
                <w:highlight w:val="none"/>
              </w:rPr>
            </w:pPr>
          </w:p>
        </w:tc>
        <w:tc>
          <w:tcPr>
            <w:tcW w:w="1108"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32</w:t>
            </w:r>
          </w:p>
        </w:tc>
        <w:tc>
          <w:tcPr>
            <w:tcW w:w="1111"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178</w:t>
            </w:r>
          </w:p>
        </w:tc>
      </w:tr>
    </w:tbl>
    <w:p>
      <w:pPr>
        <w:spacing w:line="360" w:lineRule="auto"/>
        <w:ind w:firstLine="480" w:firstLineChars="200"/>
        <w:rPr>
          <w:color w:val="auto"/>
          <w:sz w:val="24"/>
          <w:highlight w:val="none"/>
        </w:rPr>
      </w:pPr>
      <w:r>
        <w:rPr>
          <w:color w:val="auto"/>
          <w:sz w:val="24"/>
          <w:highlight w:val="none"/>
        </w:rPr>
        <w:t>由表</w:t>
      </w:r>
      <w:r>
        <w:rPr>
          <w:rFonts w:hint="eastAsia"/>
          <w:color w:val="auto"/>
          <w:sz w:val="24"/>
          <w:highlight w:val="none"/>
        </w:rPr>
        <w:t>5</w:t>
      </w:r>
      <w:r>
        <w:rPr>
          <w:color w:val="auto"/>
          <w:sz w:val="24"/>
          <w:highlight w:val="none"/>
        </w:rPr>
        <w:t>.1-1可知，施工机械的噪声由于声级较高，昼间施工大部分机械噪声距施工场地</w:t>
      </w:r>
      <w:r>
        <w:rPr>
          <w:rFonts w:hint="eastAsia"/>
          <w:color w:val="auto"/>
          <w:sz w:val="24"/>
          <w:highlight w:val="none"/>
          <w:lang w:val="en-US" w:eastAsia="zh-CN"/>
        </w:rPr>
        <w:t>45</w:t>
      </w:r>
      <w:r>
        <w:rPr>
          <w:color w:val="auto"/>
          <w:sz w:val="24"/>
          <w:highlight w:val="none"/>
        </w:rPr>
        <w:t>m以外可达到标准要求，夜间离声源设备2</w:t>
      </w:r>
      <w:r>
        <w:rPr>
          <w:rFonts w:hint="eastAsia"/>
          <w:color w:val="auto"/>
          <w:sz w:val="24"/>
          <w:highlight w:val="none"/>
          <w:lang w:val="en-US" w:eastAsia="zh-CN"/>
        </w:rPr>
        <w:t>5</w:t>
      </w:r>
      <w:r>
        <w:rPr>
          <w:color w:val="auto"/>
          <w:sz w:val="24"/>
          <w:highlight w:val="none"/>
        </w:rPr>
        <w:t>1m的距离方能达标。同时在施工期通常是多台设备同时施工，产生的叠加噪声影响更远。</w:t>
      </w:r>
    </w:p>
    <w:p>
      <w:pPr>
        <w:spacing w:line="360" w:lineRule="auto"/>
        <w:ind w:firstLine="480" w:firstLineChars="200"/>
        <w:rPr>
          <w:color w:val="auto"/>
          <w:sz w:val="24"/>
          <w:highlight w:val="none"/>
        </w:rPr>
      </w:pPr>
      <w:r>
        <w:rPr>
          <w:color w:val="auto"/>
          <w:sz w:val="24"/>
          <w:highlight w:val="none"/>
        </w:rPr>
        <w:t>经核实，本项目夜间不施工，距离项目最近敏感点为</w:t>
      </w:r>
      <w:r>
        <w:rPr>
          <w:rFonts w:hint="eastAsia"/>
          <w:color w:val="auto"/>
          <w:sz w:val="24"/>
          <w:highlight w:val="none"/>
        </w:rPr>
        <w:t>东侧</w:t>
      </w:r>
      <w:r>
        <w:rPr>
          <w:rFonts w:hint="eastAsia"/>
          <w:color w:val="auto"/>
          <w:sz w:val="24"/>
          <w:highlight w:val="none"/>
          <w:lang w:val="en-US" w:eastAsia="zh-CN"/>
        </w:rPr>
        <w:t>约70</w:t>
      </w:r>
      <w:r>
        <w:rPr>
          <w:rFonts w:hint="eastAsia"/>
          <w:color w:val="auto"/>
          <w:sz w:val="24"/>
          <w:highlight w:val="none"/>
        </w:rPr>
        <w:t>m处的</w:t>
      </w:r>
      <w:r>
        <w:rPr>
          <w:rFonts w:hint="eastAsia"/>
          <w:color w:val="auto"/>
          <w:sz w:val="24"/>
          <w:highlight w:val="none"/>
          <w:lang w:val="en-US" w:eastAsia="zh-CN"/>
        </w:rPr>
        <w:t>三月三</w:t>
      </w:r>
      <w:r>
        <w:rPr>
          <w:rFonts w:hint="eastAsia"/>
          <w:color w:val="auto"/>
          <w:sz w:val="24"/>
          <w:highlight w:val="none"/>
        </w:rPr>
        <w:t>村</w:t>
      </w:r>
      <w:r>
        <w:rPr>
          <w:rFonts w:hint="eastAsia"/>
          <w:color w:val="auto"/>
          <w:sz w:val="24"/>
          <w:highlight w:val="none"/>
          <w:lang w:val="en-US" w:eastAsia="zh-CN"/>
        </w:rPr>
        <w:t>散户</w:t>
      </w:r>
      <w:r>
        <w:rPr>
          <w:rFonts w:hint="eastAsia"/>
          <w:color w:val="auto"/>
          <w:sz w:val="24"/>
          <w:highlight w:val="none"/>
        </w:rPr>
        <w:t>，</w:t>
      </w:r>
      <w:r>
        <w:rPr>
          <w:color w:val="auto"/>
          <w:sz w:val="24"/>
          <w:highlight w:val="none"/>
        </w:rPr>
        <w:t>本项目施工噪声对其</w:t>
      </w:r>
      <w:r>
        <w:rPr>
          <w:rFonts w:hint="eastAsia"/>
          <w:color w:val="auto"/>
          <w:sz w:val="24"/>
          <w:highlight w:val="none"/>
        </w:rPr>
        <w:t>不会</w:t>
      </w:r>
      <w:r>
        <w:rPr>
          <w:color w:val="auto"/>
          <w:sz w:val="24"/>
          <w:highlight w:val="none"/>
        </w:rPr>
        <w:t>产生影响。为了</w:t>
      </w:r>
      <w:r>
        <w:rPr>
          <w:rFonts w:hint="eastAsia"/>
          <w:color w:val="auto"/>
          <w:sz w:val="24"/>
          <w:highlight w:val="none"/>
        </w:rPr>
        <w:t>进一步</w:t>
      </w:r>
      <w:r>
        <w:rPr>
          <w:color w:val="auto"/>
          <w:sz w:val="24"/>
          <w:highlight w:val="none"/>
        </w:rPr>
        <w:t>减少施工噪声对周围环境的影响，本次环评提出以下防治措施：</w:t>
      </w:r>
    </w:p>
    <w:p>
      <w:pPr>
        <w:spacing w:line="360" w:lineRule="auto"/>
        <w:ind w:firstLine="480" w:firstLineChars="200"/>
        <w:rPr>
          <w:color w:val="auto"/>
          <w:sz w:val="24"/>
          <w:highlight w:val="none"/>
        </w:rPr>
      </w:pPr>
      <w:r>
        <w:rPr>
          <w:color w:val="auto"/>
          <w:sz w:val="24"/>
          <w:highlight w:val="none"/>
        </w:rPr>
        <w:t>（1）施工期间必须严格按《建筑施工场界环境噪声排放标准》（GB12523-2011）进行施工噪声的控制，以减少工程建设施工对周边环境造成影响。</w:t>
      </w:r>
    </w:p>
    <w:p>
      <w:pPr>
        <w:spacing w:line="360" w:lineRule="auto"/>
        <w:ind w:firstLine="480" w:firstLineChars="200"/>
        <w:rPr>
          <w:color w:val="auto"/>
          <w:sz w:val="24"/>
          <w:highlight w:val="none"/>
        </w:rPr>
      </w:pPr>
      <w:r>
        <w:rPr>
          <w:color w:val="auto"/>
          <w:sz w:val="24"/>
          <w:highlight w:val="none"/>
        </w:rPr>
        <w:t>（2）加强施工管理，优化施工方式，以减少工程建设施工对周边环境造成影响。</w:t>
      </w:r>
    </w:p>
    <w:p>
      <w:pPr>
        <w:spacing w:line="360" w:lineRule="auto"/>
        <w:ind w:firstLine="480" w:firstLineChars="200"/>
        <w:rPr>
          <w:color w:val="auto"/>
          <w:sz w:val="24"/>
          <w:highlight w:val="none"/>
        </w:rPr>
      </w:pPr>
      <w:r>
        <w:rPr>
          <w:color w:val="auto"/>
          <w:sz w:val="24"/>
          <w:highlight w:val="none"/>
        </w:rPr>
        <w:t>（3）禁止使用高噪声设备，应尽量选择低噪声设备，合理布置施工场地，高噪声设备应尽量设置于项目中部，避免高噪设备在同一时段集中使用。</w:t>
      </w:r>
    </w:p>
    <w:p>
      <w:pPr>
        <w:spacing w:line="360" w:lineRule="auto"/>
        <w:ind w:firstLine="480" w:firstLineChars="200"/>
        <w:rPr>
          <w:color w:val="auto"/>
          <w:sz w:val="24"/>
          <w:highlight w:val="none"/>
        </w:rPr>
      </w:pPr>
      <w:r>
        <w:rPr>
          <w:color w:val="auto"/>
          <w:sz w:val="24"/>
          <w:highlight w:val="none"/>
        </w:rPr>
        <w:t>（4）项目施工过程中禁止在12时至14时、22时至次日6时进行建筑施工作业。</w:t>
      </w:r>
    </w:p>
    <w:p>
      <w:pPr>
        <w:spacing w:line="360" w:lineRule="auto"/>
        <w:ind w:firstLine="480" w:firstLineChars="200"/>
        <w:rPr>
          <w:color w:val="auto"/>
          <w:sz w:val="24"/>
          <w:highlight w:val="none"/>
        </w:rPr>
      </w:pPr>
      <w:r>
        <w:rPr>
          <w:color w:val="auto"/>
          <w:sz w:val="24"/>
          <w:highlight w:val="none"/>
        </w:rPr>
        <w:t>（5）制订施工计划时，应尽量避免同时使用大量高噪声设备施工。采取选用低噪声设备、文明施工等措施，尽量避免扰民情况发生。</w:t>
      </w:r>
    </w:p>
    <w:p>
      <w:pPr>
        <w:spacing w:line="360" w:lineRule="auto"/>
        <w:ind w:firstLine="480" w:firstLineChars="200"/>
        <w:rPr>
          <w:color w:val="auto"/>
          <w:sz w:val="24"/>
          <w:highlight w:val="none"/>
        </w:rPr>
      </w:pPr>
      <w:r>
        <w:rPr>
          <w:color w:val="auto"/>
          <w:sz w:val="24"/>
          <w:highlight w:val="none"/>
        </w:rPr>
        <w:t>（6）对动力机械设备进行定期的维修、养护；避免</w:t>
      </w:r>
      <w:r>
        <w:rPr>
          <w:rFonts w:hint="eastAsia"/>
          <w:color w:val="auto"/>
          <w:sz w:val="24"/>
          <w:highlight w:val="none"/>
          <w:lang w:eastAsia="zh-CN"/>
        </w:rPr>
        <w:t>设备</w:t>
      </w:r>
      <w:r>
        <w:rPr>
          <w:color w:val="auto"/>
          <w:sz w:val="24"/>
          <w:highlight w:val="none"/>
        </w:rPr>
        <w:t>因松动部件的振动或消声器的损坏而增加其工作时的噪声级。</w:t>
      </w:r>
    </w:p>
    <w:p>
      <w:pPr>
        <w:spacing w:line="360" w:lineRule="auto"/>
        <w:ind w:firstLine="480" w:firstLineChars="200"/>
        <w:rPr>
          <w:color w:val="auto"/>
          <w:sz w:val="24"/>
          <w:highlight w:val="none"/>
        </w:rPr>
      </w:pPr>
      <w:r>
        <w:rPr>
          <w:color w:val="auto"/>
          <w:sz w:val="24"/>
          <w:highlight w:val="none"/>
        </w:rPr>
        <w:t>（7）闲置不用的设备应立即关闭，运输车辆进入现场应减速，并减少鸣笛。</w:t>
      </w:r>
    </w:p>
    <w:p>
      <w:pPr>
        <w:spacing w:line="360" w:lineRule="auto"/>
        <w:ind w:firstLine="480" w:firstLineChars="200"/>
        <w:rPr>
          <w:color w:val="auto"/>
          <w:sz w:val="24"/>
          <w:highlight w:val="none"/>
        </w:rPr>
      </w:pPr>
      <w:r>
        <w:rPr>
          <w:color w:val="auto"/>
          <w:sz w:val="24"/>
          <w:highlight w:val="none"/>
        </w:rPr>
        <w:t>（8）按规程操作机械设备。模板、支架拆卸过程中，遵守作业规定，减少碰撞噪音。</w:t>
      </w:r>
    </w:p>
    <w:p>
      <w:pPr>
        <w:spacing w:line="360" w:lineRule="auto"/>
        <w:ind w:firstLine="480" w:firstLineChars="200"/>
        <w:rPr>
          <w:color w:val="auto"/>
          <w:sz w:val="24"/>
          <w:highlight w:val="none"/>
        </w:rPr>
      </w:pPr>
      <w:r>
        <w:rPr>
          <w:color w:val="auto"/>
          <w:sz w:val="24"/>
          <w:highlight w:val="none"/>
        </w:rPr>
        <w:t>综上，在严格落实上述措施后，施工噪声将得到有效控制，施工噪声对周边的影响较小，同时由于项目施工期较短，噪声产生的影响将随施工的结束而消失。</w:t>
      </w:r>
    </w:p>
    <w:p>
      <w:pPr>
        <w:keepNext/>
        <w:keepLines/>
        <w:spacing w:line="360" w:lineRule="auto"/>
        <w:outlineLvl w:val="2"/>
        <w:rPr>
          <w:b/>
          <w:bCs/>
          <w:color w:val="auto"/>
          <w:sz w:val="24"/>
          <w:highlight w:val="none"/>
        </w:rPr>
      </w:pPr>
      <w:bookmarkStart w:id="566" w:name="_Toc341709417"/>
      <w:bookmarkStart w:id="567" w:name="_Toc338937278"/>
      <w:bookmarkStart w:id="568" w:name="_Toc28267"/>
      <w:bookmarkStart w:id="569" w:name="_Toc75908709"/>
      <w:bookmarkStart w:id="570" w:name="_Toc341709666"/>
      <w:r>
        <w:rPr>
          <w:b/>
          <w:bCs/>
          <w:color w:val="auto"/>
          <w:sz w:val="24"/>
          <w:highlight w:val="none"/>
        </w:rPr>
        <w:t>5.1.4施工期固废影响分析</w:t>
      </w:r>
      <w:bookmarkEnd w:id="566"/>
      <w:bookmarkEnd w:id="567"/>
      <w:bookmarkEnd w:id="568"/>
      <w:bookmarkEnd w:id="569"/>
      <w:bookmarkEnd w:id="570"/>
    </w:p>
    <w:p>
      <w:pPr>
        <w:spacing w:line="360" w:lineRule="auto"/>
        <w:ind w:firstLine="480" w:firstLineChars="200"/>
        <w:rPr>
          <w:color w:val="auto"/>
          <w:sz w:val="24"/>
          <w:szCs w:val="20"/>
          <w:highlight w:val="none"/>
        </w:rPr>
      </w:pPr>
      <w:r>
        <w:rPr>
          <w:color w:val="auto"/>
          <w:sz w:val="24"/>
          <w:szCs w:val="20"/>
          <w:highlight w:val="none"/>
        </w:rPr>
        <w:t>本项目</w:t>
      </w:r>
      <w:r>
        <w:rPr>
          <w:rFonts w:hint="eastAsia"/>
          <w:color w:val="auto"/>
          <w:sz w:val="24"/>
          <w:szCs w:val="20"/>
          <w:highlight w:val="none"/>
          <w:lang w:val="en-US" w:eastAsia="zh-CN"/>
        </w:rPr>
        <w:t>土石方主要产生于冷却水池的开挖，开挖量小，开挖的土石方全部用作场地平整回填</w:t>
      </w:r>
      <w:r>
        <w:rPr>
          <w:color w:val="auto"/>
          <w:sz w:val="24"/>
          <w:szCs w:val="20"/>
          <w:highlight w:val="none"/>
        </w:rPr>
        <w:t>。施工期固体废物主要包括建设过程中产生的建筑垃圾和施工人员生活垃圾。</w:t>
      </w:r>
    </w:p>
    <w:p>
      <w:pPr>
        <w:spacing w:line="360" w:lineRule="auto"/>
        <w:ind w:firstLine="480" w:firstLineChars="200"/>
        <w:rPr>
          <w:color w:val="auto"/>
          <w:sz w:val="24"/>
          <w:szCs w:val="20"/>
          <w:highlight w:val="none"/>
        </w:rPr>
      </w:pPr>
      <w:r>
        <w:rPr>
          <w:color w:val="auto"/>
          <w:sz w:val="24"/>
          <w:highlight w:val="none"/>
        </w:rPr>
        <w:t>建设单位对建筑垃圾进行充分回收利用，剩余部分运往当地指定建筑垃圾填埋场集中处置。</w:t>
      </w:r>
      <w:r>
        <w:rPr>
          <w:color w:val="auto"/>
          <w:sz w:val="24"/>
          <w:szCs w:val="20"/>
          <w:highlight w:val="none"/>
        </w:rPr>
        <w:t>生活垃圾由施工队</w:t>
      </w:r>
      <w:r>
        <w:rPr>
          <w:color w:val="auto"/>
          <w:sz w:val="24"/>
          <w:highlight w:val="none"/>
        </w:rPr>
        <w:t>设</w:t>
      </w:r>
      <w:r>
        <w:rPr>
          <w:color w:val="auto"/>
          <w:sz w:val="24"/>
          <w:szCs w:val="20"/>
          <w:highlight w:val="none"/>
        </w:rPr>
        <w:t>临时生活垃圾收集设施，统一收集后定期运往指定地点由环卫部门集中处置。</w:t>
      </w:r>
    </w:p>
    <w:p>
      <w:pPr>
        <w:keepNext/>
        <w:keepLines/>
        <w:spacing w:line="360" w:lineRule="auto"/>
        <w:outlineLvl w:val="2"/>
        <w:rPr>
          <w:b/>
          <w:bCs/>
          <w:color w:val="auto"/>
          <w:sz w:val="24"/>
          <w:highlight w:val="none"/>
        </w:rPr>
      </w:pPr>
      <w:bookmarkStart w:id="571" w:name="_Toc30239"/>
      <w:bookmarkStart w:id="572" w:name="_Toc75908710"/>
      <w:r>
        <w:rPr>
          <w:b/>
          <w:bCs/>
          <w:color w:val="auto"/>
          <w:sz w:val="24"/>
          <w:highlight w:val="none"/>
        </w:rPr>
        <w:t>5.1.5施工期生态影响分析</w:t>
      </w:r>
      <w:bookmarkEnd w:id="571"/>
      <w:bookmarkEnd w:id="572"/>
    </w:p>
    <w:p>
      <w:pPr>
        <w:spacing w:line="360" w:lineRule="auto"/>
        <w:ind w:firstLine="482" w:firstLineChars="200"/>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1、</w:t>
      </w:r>
      <w:r>
        <w:rPr>
          <w:rFonts w:ascii="Times New Roman" w:hAnsi="Times New Roman" w:eastAsia="宋体" w:cs="Times New Roman"/>
          <w:b/>
          <w:bCs/>
          <w:color w:val="auto"/>
          <w:sz w:val="24"/>
          <w:highlight w:val="none"/>
        </w:rPr>
        <w:t xml:space="preserve">对植被的影响 </w:t>
      </w:r>
    </w:p>
    <w:p>
      <w:pPr>
        <w:spacing w:line="360" w:lineRule="auto"/>
        <w:ind w:firstLine="480" w:firstLineChars="200"/>
        <w:rPr>
          <w:rFonts w:hint="default"/>
          <w:color w:val="auto"/>
          <w:sz w:val="24"/>
          <w:highlight w:val="none"/>
          <w:lang w:val="en-US" w:eastAsia="zh-CN"/>
        </w:rPr>
      </w:pPr>
      <w:r>
        <w:rPr>
          <w:color w:val="auto"/>
          <w:sz w:val="24"/>
          <w:highlight w:val="none"/>
        </w:rPr>
        <w:t>项目总</w:t>
      </w:r>
      <w:r>
        <w:rPr>
          <w:rFonts w:hint="eastAsia"/>
          <w:color w:val="auto"/>
          <w:sz w:val="24"/>
          <w:highlight w:val="none"/>
          <w:lang w:val="en-US" w:eastAsia="zh-CN"/>
        </w:rPr>
        <w:t>用地</w:t>
      </w:r>
      <w:r>
        <w:rPr>
          <w:color w:val="auto"/>
          <w:sz w:val="24"/>
          <w:highlight w:val="none"/>
        </w:rPr>
        <w:t>面积为</w:t>
      </w:r>
      <w:r>
        <w:rPr>
          <w:rFonts w:hint="eastAsia"/>
          <w:color w:val="auto"/>
          <w:sz w:val="24"/>
          <w:highlight w:val="none"/>
          <w:lang w:val="en-US" w:eastAsia="zh-CN"/>
        </w:rPr>
        <w:t>1994.56</w:t>
      </w:r>
      <w:r>
        <w:rPr>
          <w:color w:val="auto"/>
          <w:sz w:val="24"/>
          <w:highlight w:val="none"/>
        </w:rPr>
        <w:t>m²，占地类型</w:t>
      </w:r>
      <w:r>
        <w:rPr>
          <w:bCs/>
          <w:color w:val="auto"/>
          <w:sz w:val="24"/>
          <w:highlight w:val="none"/>
        </w:rPr>
        <w:t>主要</w:t>
      </w:r>
      <w:r>
        <w:rPr>
          <w:rFonts w:hint="eastAsia"/>
          <w:bCs/>
          <w:color w:val="auto"/>
          <w:sz w:val="24"/>
          <w:highlight w:val="none"/>
          <w:lang w:val="en-US" w:eastAsia="zh-CN"/>
        </w:rPr>
        <w:t>为工业用地</w:t>
      </w:r>
      <w:r>
        <w:rPr>
          <w:color w:val="auto"/>
          <w:sz w:val="24"/>
          <w:highlight w:val="none"/>
        </w:rPr>
        <w:t>，</w:t>
      </w:r>
      <w:r>
        <w:rPr>
          <w:rFonts w:hint="eastAsia"/>
          <w:color w:val="auto"/>
          <w:sz w:val="24"/>
          <w:highlight w:val="none"/>
          <w:lang w:val="en-US" w:eastAsia="zh-CN"/>
        </w:rPr>
        <w:t>项目租赁已建成的空置厂房，经装修隔断后作为生产场地使用。项目</w:t>
      </w:r>
      <w:r>
        <w:rPr>
          <w:color w:val="auto"/>
          <w:sz w:val="24"/>
          <w:highlight w:val="none"/>
        </w:rPr>
        <w:t>区</w:t>
      </w:r>
      <w:r>
        <w:rPr>
          <w:rFonts w:hint="eastAsia"/>
          <w:color w:val="auto"/>
          <w:sz w:val="24"/>
          <w:highlight w:val="none"/>
          <w:lang w:val="en-US" w:eastAsia="zh-CN"/>
        </w:rPr>
        <w:t>场地已基本硬化，仅有少量人工植被作为绿化，因此，施工过程中不会改变原有地表形态，破坏地表，也不会破坏和扰动大面积的表土，对植被不会造成破坏，所以，项目建设不会改变现有生态系统的完整性和功能的持续性，故本项目的建设对植被没有影响。</w:t>
      </w:r>
    </w:p>
    <w:p>
      <w:pPr>
        <w:spacing w:line="360" w:lineRule="auto"/>
        <w:ind w:firstLine="482" w:firstLineChars="200"/>
        <w:rPr>
          <w:b/>
          <w:bCs w:val="0"/>
          <w:i w:val="0"/>
          <w:iCs w:val="0"/>
          <w:color w:val="auto"/>
          <w:sz w:val="24"/>
          <w:highlight w:val="none"/>
        </w:rPr>
      </w:pPr>
      <w:r>
        <w:rPr>
          <w:rFonts w:hint="eastAsia"/>
          <w:b/>
          <w:bCs w:val="0"/>
          <w:i w:val="0"/>
          <w:iCs w:val="0"/>
          <w:color w:val="auto"/>
          <w:sz w:val="24"/>
          <w:highlight w:val="none"/>
          <w:lang w:val="en-US" w:eastAsia="zh-CN"/>
        </w:rPr>
        <w:t>2、</w:t>
      </w:r>
      <w:r>
        <w:rPr>
          <w:b/>
          <w:bCs w:val="0"/>
          <w:i w:val="0"/>
          <w:iCs w:val="0"/>
          <w:color w:val="auto"/>
          <w:sz w:val="24"/>
          <w:highlight w:val="none"/>
        </w:rPr>
        <w:t xml:space="preserve">植被资源影响分析 </w:t>
      </w:r>
    </w:p>
    <w:p>
      <w:pPr>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color w:val="auto"/>
          <w:sz w:val="24"/>
          <w:highlight w:val="none"/>
        </w:rPr>
        <w:t>对珍稀濒危保护植物的影响</w:t>
      </w:r>
    </w:p>
    <w:p>
      <w:pPr>
        <w:spacing w:line="360" w:lineRule="auto"/>
        <w:ind w:firstLine="480" w:firstLineChars="200"/>
        <w:rPr>
          <w:color w:val="auto"/>
          <w:sz w:val="24"/>
          <w:highlight w:val="none"/>
        </w:rPr>
      </w:pPr>
      <w:r>
        <w:rPr>
          <w:color w:val="auto"/>
          <w:sz w:val="24"/>
          <w:highlight w:val="none"/>
        </w:rPr>
        <w:t>根据现场踏查，项目评价范围无珍稀濒危野生保护植物，</w:t>
      </w:r>
      <w:r>
        <w:rPr>
          <w:rFonts w:hint="eastAsia"/>
          <w:color w:val="auto"/>
          <w:sz w:val="24"/>
          <w:highlight w:val="none"/>
        </w:rPr>
        <w:t>本项目</w:t>
      </w:r>
      <w:r>
        <w:rPr>
          <w:color w:val="auto"/>
          <w:sz w:val="24"/>
          <w:highlight w:val="none"/>
        </w:rPr>
        <w:t xml:space="preserve">建设对保护植物无影响。 </w:t>
      </w:r>
    </w:p>
    <w:p>
      <w:pPr>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rPr>
        <w:t>2）</w:t>
      </w:r>
      <w:r>
        <w:rPr>
          <w:color w:val="auto"/>
          <w:sz w:val="24"/>
          <w:highlight w:val="none"/>
        </w:rPr>
        <w:t xml:space="preserve">对名木古树的影响 </w:t>
      </w:r>
    </w:p>
    <w:p>
      <w:pPr>
        <w:spacing w:line="360" w:lineRule="auto"/>
        <w:ind w:firstLine="480" w:firstLineChars="200"/>
        <w:rPr>
          <w:color w:val="auto"/>
          <w:sz w:val="24"/>
          <w:highlight w:val="none"/>
        </w:rPr>
      </w:pPr>
      <w:r>
        <w:rPr>
          <w:color w:val="auto"/>
          <w:sz w:val="24"/>
          <w:highlight w:val="none"/>
        </w:rPr>
        <w:t>根据现场踏查，项目评价范围无名木古树分布，</w:t>
      </w:r>
      <w:r>
        <w:rPr>
          <w:rFonts w:hint="eastAsia"/>
          <w:color w:val="auto"/>
          <w:sz w:val="24"/>
          <w:highlight w:val="none"/>
        </w:rPr>
        <w:t>本项目</w:t>
      </w:r>
      <w:r>
        <w:rPr>
          <w:color w:val="auto"/>
          <w:sz w:val="24"/>
          <w:highlight w:val="none"/>
        </w:rPr>
        <w:t xml:space="preserve">建设对名木古树无影响。 </w:t>
      </w:r>
    </w:p>
    <w:p>
      <w:pP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rPr>
        <w:t>3）</w:t>
      </w:r>
      <w:r>
        <w:rPr>
          <w:color w:val="auto"/>
          <w:sz w:val="24"/>
          <w:highlight w:val="none"/>
        </w:rPr>
        <w:t xml:space="preserve">对植物资源的影响 </w:t>
      </w:r>
    </w:p>
    <w:p>
      <w:pPr>
        <w:spacing w:line="360" w:lineRule="auto"/>
        <w:ind w:firstLine="480" w:firstLineChars="200"/>
        <w:rPr>
          <w:color w:val="auto"/>
          <w:sz w:val="24"/>
          <w:highlight w:val="none"/>
        </w:rPr>
      </w:pPr>
      <w:r>
        <w:rPr>
          <w:rFonts w:hint="eastAsia"/>
          <w:color w:val="auto"/>
          <w:sz w:val="24"/>
          <w:highlight w:val="none"/>
          <w:lang w:val="en-US" w:eastAsia="zh-CN"/>
        </w:rPr>
        <w:t>项目租赁已建成的空置厂房，经装修隔断后作为生产场地使用，没有新增用地，施工期不会对地表植物进行破坏，对植物资源没有影响。</w:t>
      </w:r>
    </w:p>
    <w:p>
      <w:pPr>
        <w:spacing w:line="360" w:lineRule="auto"/>
        <w:ind w:firstLine="482" w:firstLineChars="200"/>
        <w:rPr>
          <w:b/>
          <w:bCs/>
          <w:color w:val="auto"/>
          <w:sz w:val="24"/>
          <w:highlight w:val="none"/>
        </w:rPr>
      </w:pPr>
      <w:r>
        <w:rPr>
          <w:rFonts w:hint="eastAsia"/>
          <w:b/>
          <w:bCs/>
          <w:color w:val="auto"/>
          <w:sz w:val="24"/>
          <w:highlight w:val="none"/>
          <w:lang w:val="en-US" w:eastAsia="zh-CN"/>
        </w:rPr>
        <w:t>3、</w:t>
      </w:r>
      <w:r>
        <w:rPr>
          <w:b/>
          <w:bCs/>
          <w:color w:val="auto"/>
          <w:sz w:val="24"/>
          <w:highlight w:val="none"/>
        </w:rPr>
        <w:t>对陆栖脊椎动物的影响评价</w:t>
      </w:r>
    </w:p>
    <w:p>
      <w:pPr>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rPr>
        <w:t>1）</w:t>
      </w:r>
      <w:r>
        <w:rPr>
          <w:color w:val="auto"/>
          <w:sz w:val="24"/>
          <w:highlight w:val="none"/>
        </w:rPr>
        <w:t>对一般陆栖脊椎动物的影响</w:t>
      </w:r>
    </w:p>
    <w:p>
      <w:pPr>
        <w:spacing w:line="360" w:lineRule="auto"/>
        <w:ind w:firstLine="480" w:firstLineChars="200"/>
        <w:rPr>
          <w:color w:val="auto"/>
          <w:sz w:val="24"/>
          <w:highlight w:val="none"/>
        </w:rPr>
      </w:pPr>
      <w:r>
        <w:rPr>
          <w:color w:val="auto"/>
          <w:sz w:val="24"/>
          <w:highlight w:val="none"/>
        </w:rPr>
        <w:t>本</w:t>
      </w:r>
      <w:r>
        <w:rPr>
          <w:rFonts w:hint="eastAsia"/>
          <w:color w:val="auto"/>
          <w:sz w:val="24"/>
          <w:highlight w:val="none"/>
        </w:rPr>
        <w:t>项目</w:t>
      </w:r>
      <w:r>
        <w:rPr>
          <w:color w:val="auto"/>
          <w:sz w:val="24"/>
          <w:highlight w:val="none"/>
        </w:rPr>
        <w:t>对野生动物的影响主要是施工期机械作业产生噪声以及施工人员进驻等带来</w:t>
      </w:r>
      <w:r>
        <w:rPr>
          <w:rFonts w:hint="eastAsia"/>
          <w:color w:val="auto"/>
          <w:sz w:val="24"/>
          <w:highlight w:val="none"/>
          <w:lang w:val="en-US" w:eastAsia="zh-CN"/>
        </w:rPr>
        <w:t>的</w:t>
      </w:r>
      <w:r>
        <w:rPr>
          <w:color w:val="auto"/>
          <w:sz w:val="24"/>
          <w:highlight w:val="none"/>
        </w:rPr>
        <w:t>影响，动物产生趋避反应，大部分会</w:t>
      </w:r>
      <w:r>
        <w:rPr>
          <w:rFonts w:hint="eastAsia"/>
          <w:color w:val="auto"/>
          <w:sz w:val="24"/>
          <w:highlight w:val="none"/>
          <w:lang w:eastAsia="zh-CN"/>
        </w:rPr>
        <w:t>迁徙到</w:t>
      </w:r>
      <w:r>
        <w:rPr>
          <w:color w:val="auto"/>
          <w:sz w:val="24"/>
          <w:highlight w:val="none"/>
        </w:rPr>
        <w:t>距</w:t>
      </w:r>
      <w:r>
        <w:rPr>
          <w:rFonts w:hint="eastAsia"/>
          <w:color w:val="auto"/>
          <w:sz w:val="24"/>
          <w:highlight w:val="none"/>
        </w:rPr>
        <w:t>项目</w:t>
      </w:r>
      <w:r>
        <w:rPr>
          <w:color w:val="auto"/>
          <w:sz w:val="24"/>
          <w:highlight w:val="none"/>
        </w:rPr>
        <w:t>区较远的安全地带，从而使该区域的野生动物数量和种类在施工期下降，但这一影响是暂时的，随着施工期结束，施工人员撤离，生态环境逐渐得到恢复，该区域的动物数量将逐渐回升。根据</w:t>
      </w:r>
      <w:r>
        <w:rPr>
          <w:rFonts w:hint="eastAsia"/>
          <w:color w:val="auto"/>
          <w:sz w:val="24"/>
          <w:highlight w:val="none"/>
        </w:rPr>
        <w:t>现场踏勘及</w:t>
      </w:r>
      <w:r>
        <w:rPr>
          <w:color w:val="auto"/>
          <w:sz w:val="24"/>
          <w:highlight w:val="none"/>
        </w:rPr>
        <w:t>走访调查可知，项目评价范围的陆栖脊椎野生动物以鸟类占优势，迁移能力较强，两栖类、爬行类及哺乳类的物种均具有一定的迁移能力，且该区域的陆栖脊椎野生动物的分布区较为广泛。所以，在</w:t>
      </w:r>
      <w:r>
        <w:rPr>
          <w:rFonts w:hint="eastAsia"/>
          <w:color w:val="auto"/>
          <w:sz w:val="24"/>
          <w:highlight w:val="none"/>
        </w:rPr>
        <w:t>项目</w:t>
      </w:r>
      <w:r>
        <w:rPr>
          <w:color w:val="auto"/>
          <w:sz w:val="24"/>
          <w:highlight w:val="none"/>
        </w:rPr>
        <w:t xml:space="preserve">施工期间，陆栖脊椎动物对于这一类型的干扰能够主动避让，项目施工不会对该区域的陆栖脊椎野生动物多样性产生较大的影响。 </w:t>
      </w:r>
    </w:p>
    <w:p>
      <w:pPr>
        <w:spacing w:line="360" w:lineRule="auto"/>
        <w:ind w:firstLine="480" w:firstLineChars="200"/>
        <w:rPr>
          <w:color w:val="auto"/>
          <w:sz w:val="24"/>
          <w:highlight w:val="none"/>
        </w:rPr>
      </w:pPr>
      <w:r>
        <w:rPr>
          <w:color w:val="auto"/>
          <w:sz w:val="24"/>
          <w:highlight w:val="none"/>
        </w:rPr>
        <w:t>总之，本</w:t>
      </w:r>
      <w:r>
        <w:rPr>
          <w:rFonts w:hint="eastAsia"/>
          <w:color w:val="auto"/>
          <w:sz w:val="24"/>
          <w:highlight w:val="none"/>
        </w:rPr>
        <w:t>项目</w:t>
      </w:r>
      <w:r>
        <w:rPr>
          <w:color w:val="auto"/>
          <w:sz w:val="24"/>
          <w:highlight w:val="none"/>
        </w:rPr>
        <w:t>的建设将对项目评价范围野生动物资源产生一定的不利影响，但不会因为该</w:t>
      </w:r>
      <w:r>
        <w:rPr>
          <w:rFonts w:hint="eastAsia"/>
          <w:color w:val="auto"/>
          <w:sz w:val="24"/>
          <w:highlight w:val="none"/>
        </w:rPr>
        <w:t>项目</w:t>
      </w:r>
      <w:r>
        <w:rPr>
          <w:color w:val="auto"/>
          <w:sz w:val="24"/>
          <w:highlight w:val="none"/>
        </w:rPr>
        <w:t>建设而导致任何一种野生动物在项目评价范围的濒危或消失，且本</w:t>
      </w:r>
      <w:r>
        <w:rPr>
          <w:rFonts w:hint="eastAsia"/>
          <w:color w:val="auto"/>
          <w:sz w:val="24"/>
          <w:highlight w:val="none"/>
        </w:rPr>
        <w:t>项目</w:t>
      </w:r>
      <w:r>
        <w:rPr>
          <w:color w:val="auto"/>
          <w:sz w:val="24"/>
          <w:highlight w:val="none"/>
        </w:rPr>
        <w:t>占地区受人类影响严重，陆栖脊椎动物较少，不利影响较小。本项目施工期只要加强对施工人员的管理，严禁随意破坏周边生态环境，严禁捕杀区域内野生动物，则本</w:t>
      </w:r>
      <w:r>
        <w:rPr>
          <w:rFonts w:hint="eastAsia"/>
          <w:color w:val="auto"/>
          <w:sz w:val="24"/>
          <w:highlight w:val="none"/>
        </w:rPr>
        <w:t>项目</w:t>
      </w:r>
      <w:r>
        <w:rPr>
          <w:color w:val="auto"/>
          <w:sz w:val="24"/>
          <w:highlight w:val="none"/>
        </w:rPr>
        <w:t xml:space="preserve">的建设对周边野生动物的影响较小。 </w:t>
      </w:r>
    </w:p>
    <w:p>
      <w:pPr>
        <w:spacing w:line="360" w:lineRule="auto"/>
        <w:ind w:firstLine="480" w:firstLineChars="200"/>
        <w:rPr>
          <w:color w:val="auto"/>
          <w:sz w:val="24"/>
          <w:highlight w:val="none"/>
        </w:rPr>
      </w:pPr>
      <w:r>
        <w:rPr>
          <w:rFonts w:hint="eastAsia"/>
          <w:color w:val="auto"/>
          <w:sz w:val="24"/>
          <w:highlight w:val="none"/>
          <w:lang w:eastAsia="zh-CN"/>
        </w:rPr>
        <w:t>（</w:t>
      </w:r>
      <w:r>
        <w:rPr>
          <w:color w:val="auto"/>
          <w:sz w:val="24"/>
          <w:highlight w:val="none"/>
        </w:rPr>
        <w:t xml:space="preserve">2）对珍稀濒危保护野生动物的影响 </w:t>
      </w:r>
    </w:p>
    <w:p>
      <w:pPr>
        <w:spacing w:line="360" w:lineRule="auto"/>
        <w:ind w:firstLine="480" w:firstLineChars="200"/>
        <w:rPr>
          <w:color w:val="auto"/>
          <w:sz w:val="24"/>
          <w:highlight w:val="none"/>
        </w:rPr>
      </w:pPr>
      <w:r>
        <w:rPr>
          <w:color w:val="auto"/>
          <w:sz w:val="24"/>
          <w:highlight w:val="none"/>
        </w:rPr>
        <w:t>项目评价范围未发现国家级重点保护野生动物，未发现云南省省级重点保护野生动物；无《</w:t>
      </w:r>
      <w:r>
        <w:rPr>
          <w:rFonts w:hint="eastAsia"/>
          <w:color w:val="auto"/>
          <w:sz w:val="24"/>
          <w:highlight w:val="none"/>
        </w:rPr>
        <w:t>中国生物多样性红色名录—脊椎动物卷（2020）</w:t>
      </w:r>
      <w:r>
        <w:rPr>
          <w:color w:val="auto"/>
          <w:sz w:val="24"/>
          <w:highlight w:val="none"/>
        </w:rPr>
        <w:t>》（</w:t>
      </w:r>
      <w:r>
        <w:rPr>
          <w:rFonts w:hint="eastAsia"/>
          <w:color w:val="auto"/>
          <w:sz w:val="24"/>
          <w:highlight w:val="none"/>
        </w:rPr>
        <w:t>生态环境部</w:t>
      </w:r>
      <w:r>
        <w:rPr>
          <w:color w:val="auto"/>
          <w:sz w:val="24"/>
          <w:highlight w:val="none"/>
        </w:rPr>
        <w:t>中国科学院</w:t>
      </w:r>
      <w:r>
        <w:rPr>
          <w:rFonts w:hint="eastAsia"/>
          <w:color w:val="auto"/>
          <w:sz w:val="24"/>
          <w:highlight w:val="none"/>
        </w:rPr>
        <w:t>2023年第15号公告</w:t>
      </w:r>
      <w:r>
        <w:rPr>
          <w:color w:val="auto"/>
          <w:sz w:val="24"/>
          <w:highlight w:val="none"/>
        </w:rPr>
        <w:t>）记载的</w:t>
      </w:r>
      <w:r>
        <w:rPr>
          <w:rFonts w:hint="eastAsia"/>
          <w:color w:val="auto"/>
          <w:sz w:val="24"/>
          <w:highlight w:val="none"/>
        </w:rPr>
        <w:t>受威胁</w:t>
      </w:r>
      <w:r>
        <w:rPr>
          <w:color w:val="auto"/>
          <w:sz w:val="24"/>
          <w:highlight w:val="none"/>
        </w:rPr>
        <w:t>物种。调查未发现该地区特有种类分布。</w:t>
      </w:r>
    </w:p>
    <w:p>
      <w:pPr>
        <w:spacing w:line="360" w:lineRule="auto"/>
        <w:ind w:firstLine="480"/>
        <w:jc w:val="left"/>
        <w:rPr>
          <w:b/>
          <w:bCs/>
          <w:color w:val="auto"/>
          <w:sz w:val="24"/>
          <w:highlight w:val="none"/>
        </w:rPr>
      </w:pPr>
      <w:r>
        <w:rPr>
          <w:rFonts w:hint="eastAsia"/>
          <w:b/>
          <w:bCs/>
          <w:color w:val="auto"/>
          <w:sz w:val="24"/>
          <w:highlight w:val="none"/>
          <w:lang w:val="en-US" w:eastAsia="zh-CN"/>
        </w:rPr>
        <w:t>4、</w:t>
      </w:r>
      <w:r>
        <w:rPr>
          <w:b/>
          <w:bCs/>
          <w:color w:val="auto"/>
          <w:spacing w:val="10"/>
          <w:sz w:val="24"/>
          <w:highlight w:val="none"/>
        </w:rPr>
        <w:t>施工期生态环境保护措施</w:t>
      </w:r>
    </w:p>
    <w:p>
      <w:pPr>
        <w:spacing w:line="360" w:lineRule="auto"/>
        <w:ind w:firstLine="480" w:firstLineChars="200"/>
        <w:rPr>
          <w:color w:val="auto"/>
          <w:sz w:val="24"/>
          <w:highlight w:val="none"/>
        </w:rPr>
      </w:pPr>
      <w:r>
        <w:rPr>
          <w:color w:val="auto"/>
          <w:sz w:val="24"/>
          <w:highlight w:val="none"/>
        </w:rPr>
        <w:t>项目施工过程中主要生态影响措施如下：</w:t>
      </w:r>
    </w:p>
    <w:p>
      <w:pPr>
        <w:spacing w:line="360" w:lineRule="auto"/>
        <w:ind w:firstLine="480" w:firstLineChars="200"/>
        <w:rPr>
          <w:color w:val="auto"/>
          <w:sz w:val="24"/>
          <w:highlight w:val="none"/>
        </w:rPr>
      </w:pPr>
      <w:r>
        <w:rPr>
          <w:rFonts w:hint="eastAsia"/>
          <w:color w:val="auto"/>
          <w:sz w:val="24"/>
          <w:highlight w:val="none"/>
          <w:lang w:eastAsia="zh-CN"/>
        </w:rPr>
        <w:t>（</w:t>
      </w:r>
      <w:r>
        <w:rPr>
          <w:color w:val="auto"/>
          <w:sz w:val="24"/>
          <w:highlight w:val="none"/>
        </w:rPr>
        <w:t>1）严格控制项目建设用地</w:t>
      </w:r>
    </w:p>
    <w:p>
      <w:pPr>
        <w:spacing w:line="360" w:lineRule="auto"/>
        <w:ind w:firstLine="480" w:firstLineChars="200"/>
        <w:rPr>
          <w:color w:val="auto"/>
          <w:sz w:val="24"/>
          <w:highlight w:val="none"/>
        </w:rPr>
      </w:pPr>
      <w:r>
        <w:rPr>
          <w:color w:val="auto"/>
          <w:sz w:val="24"/>
          <w:highlight w:val="none"/>
        </w:rPr>
        <w:t>禁止</w:t>
      </w:r>
      <w:r>
        <w:rPr>
          <w:rFonts w:hint="eastAsia"/>
          <w:color w:val="auto"/>
          <w:sz w:val="24"/>
          <w:highlight w:val="none"/>
          <w:lang w:val="en-US" w:eastAsia="zh-CN"/>
        </w:rPr>
        <w:t>在已租用厂房外新增用地</w:t>
      </w:r>
      <w:r>
        <w:rPr>
          <w:color w:val="auto"/>
          <w:sz w:val="24"/>
          <w:highlight w:val="none"/>
        </w:rPr>
        <w:t>，要严格划定施工活动范围；施工人员、施工车辆和各种设备应按规定的路线行驶，不得随意破坏道路和碾压</w:t>
      </w:r>
      <w:r>
        <w:rPr>
          <w:rFonts w:hint="eastAsia"/>
          <w:color w:val="auto"/>
          <w:sz w:val="24"/>
          <w:highlight w:val="none"/>
        </w:rPr>
        <w:t>项目</w:t>
      </w:r>
      <w:r>
        <w:rPr>
          <w:color w:val="auto"/>
          <w:sz w:val="24"/>
          <w:highlight w:val="none"/>
        </w:rPr>
        <w:t>占地外的植被。</w:t>
      </w:r>
    </w:p>
    <w:p>
      <w:pPr>
        <w:spacing w:line="360" w:lineRule="auto"/>
        <w:ind w:firstLine="480" w:firstLineChars="200"/>
        <w:rPr>
          <w:color w:val="auto"/>
          <w:sz w:val="24"/>
          <w:highlight w:val="none"/>
        </w:rPr>
      </w:pPr>
      <w:r>
        <w:rPr>
          <w:rFonts w:hint="eastAsia"/>
          <w:color w:val="auto"/>
          <w:sz w:val="24"/>
          <w:highlight w:val="none"/>
          <w:lang w:eastAsia="zh-CN"/>
        </w:rPr>
        <w:t>（</w:t>
      </w:r>
      <w:r>
        <w:rPr>
          <w:color w:val="auto"/>
          <w:sz w:val="24"/>
          <w:highlight w:val="none"/>
        </w:rPr>
        <w:t>2）优化施工方案</w:t>
      </w:r>
    </w:p>
    <w:p>
      <w:pPr>
        <w:spacing w:line="360" w:lineRule="auto"/>
        <w:ind w:firstLine="480" w:firstLineChars="200"/>
        <w:rPr>
          <w:color w:val="auto"/>
          <w:sz w:val="24"/>
          <w:highlight w:val="none"/>
        </w:rPr>
      </w:pPr>
      <w:r>
        <w:rPr>
          <w:color w:val="auto"/>
          <w:sz w:val="24"/>
          <w:highlight w:val="none"/>
        </w:rPr>
        <w:t>要进一步优化施工方案，采用先进施工工艺和机械设备，同时做好机械保养，降低噪声等环境影响，从而避免施工机械噪声过大，影响</w:t>
      </w:r>
      <w:r>
        <w:rPr>
          <w:rFonts w:hint="eastAsia"/>
          <w:color w:val="auto"/>
          <w:sz w:val="24"/>
          <w:highlight w:val="none"/>
        </w:rPr>
        <w:t>评价</w:t>
      </w:r>
      <w:r>
        <w:rPr>
          <w:color w:val="auto"/>
          <w:sz w:val="24"/>
          <w:highlight w:val="none"/>
        </w:rPr>
        <w:t>区内动物正常的觅食、繁殖、活动。</w:t>
      </w:r>
    </w:p>
    <w:p>
      <w:pPr>
        <w:spacing w:line="360" w:lineRule="auto"/>
        <w:ind w:firstLine="480" w:firstLineChars="200"/>
        <w:rPr>
          <w:color w:val="auto"/>
          <w:sz w:val="24"/>
          <w:highlight w:val="none"/>
        </w:rPr>
      </w:pPr>
      <w:r>
        <w:rPr>
          <w:rFonts w:hint="eastAsia"/>
          <w:color w:val="auto"/>
          <w:sz w:val="24"/>
          <w:highlight w:val="none"/>
          <w:lang w:eastAsia="zh-CN"/>
        </w:rPr>
        <w:t>（</w:t>
      </w:r>
      <w:r>
        <w:rPr>
          <w:color w:val="auto"/>
          <w:sz w:val="24"/>
          <w:highlight w:val="none"/>
        </w:rPr>
        <w:t>3）强化施工环境管理</w:t>
      </w:r>
    </w:p>
    <w:p>
      <w:pPr>
        <w:spacing w:line="360" w:lineRule="auto"/>
        <w:ind w:firstLine="480" w:firstLineChars="200"/>
        <w:rPr>
          <w:color w:val="auto"/>
          <w:sz w:val="24"/>
          <w:highlight w:val="none"/>
        </w:rPr>
      </w:pPr>
      <w:r>
        <w:rPr>
          <w:color w:val="auto"/>
          <w:sz w:val="24"/>
          <w:highlight w:val="none"/>
        </w:rPr>
        <w:t>项目建设过程中的固体废弃物主要是废弃土石方和生活垃圾等，须按照本环评中提出的固废处置措施进行处置，严禁随意堆放。</w:t>
      </w:r>
    </w:p>
    <w:p>
      <w:pPr>
        <w:spacing w:line="360" w:lineRule="auto"/>
        <w:ind w:firstLine="480" w:firstLineChars="200"/>
        <w:rPr>
          <w:color w:val="auto"/>
          <w:sz w:val="24"/>
          <w:highlight w:val="none"/>
        </w:rPr>
      </w:pPr>
      <w:r>
        <w:rPr>
          <w:rFonts w:hint="eastAsia"/>
          <w:color w:val="auto"/>
          <w:sz w:val="24"/>
          <w:highlight w:val="none"/>
          <w:lang w:eastAsia="zh-CN"/>
        </w:rPr>
        <w:t>（</w:t>
      </w:r>
      <w:r>
        <w:rPr>
          <w:color w:val="auto"/>
          <w:sz w:val="24"/>
          <w:highlight w:val="none"/>
        </w:rPr>
        <w:t>4）植物的保护措施</w:t>
      </w:r>
    </w:p>
    <w:p>
      <w:pPr>
        <w:spacing w:line="360" w:lineRule="auto"/>
        <w:ind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施工过程中禁止随意侵占用地范围以外的土地，并与土地使用权所有方做好协调工作，避免因</w:t>
      </w:r>
      <w:r>
        <w:rPr>
          <w:rFonts w:hint="eastAsia"/>
          <w:color w:val="auto"/>
          <w:sz w:val="24"/>
          <w:highlight w:val="none"/>
        </w:rPr>
        <w:t>项目</w:t>
      </w:r>
      <w:r>
        <w:rPr>
          <w:color w:val="auto"/>
          <w:sz w:val="24"/>
          <w:highlight w:val="none"/>
        </w:rPr>
        <w:t xml:space="preserve">占地引发纠纷。 </w:t>
      </w:r>
    </w:p>
    <w:p>
      <w:pPr>
        <w:spacing w:line="360" w:lineRule="auto"/>
        <w:ind w:firstLine="480" w:firstLineChars="200"/>
        <w:rPr>
          <w:color w:val="auto"/>
          <w:sz w:val="24"/>
          <w:highlight w:val="none"/>
        </w:rPr>
      </w:pPr>
      <w:r>
        <w:rPr>
          <w:rFonts w:hint="eastAsia"/>
          <w:color w:val="auto"/>
          <w:sz w:val="24"/>
          <w:highlight w:val="none"/>
          <w:lang w:val="en-US" w:eastAsia="zh-CN"/>
        </w:rPr>
        <w:t>（5</w:t>
      </w:r>
      <w:r>
        <w:rPr>
          <w:color w:val="auto"/>
          <w:sz w:val="24"/>
          <w:highlight w:val="none"/>
        </w:rPr>
        <w:t>）动物保护措施</w:t>
      </w:r>
    </w:p>
    <w:p>
      <w:pPr>
        <w:spacing w:line="360" w:lineRule="auto"/>
        <w:ind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 xml:space="preserve">施工单位加强施工管理，规范施工行为，尽量减轻对项目区动物的直接惊扰； </w:t>
      </w:r>
    </w:p>
    <w:p>
      <w:pPr>
        <w:spacing w:line="360" w:lineRule="auto"/>
        <w:ind w:firstLine="480" w:firstLineChars="200"/>
        <w:rPr>
          <w:color w:val="auto"/>
          <w:sz w:val="24"/>
          <w:highlight w:val="none"/>
        </w:rPr>
      </w:pPr>
      <w:r>
        <w:rPr>
          <w:rFonts w:hint="eastAsia" w:ascii="宋体" w:hAnsi="宋体" w:cs="宋体"/>
          <w:color w:val="auto"/>
          <w:sz w:val="24"/>
          <w:highlight w:val="none"/>
        </w:rPr>
        <w:t>②</w:t>
      </w:r>
      <w:r>
        <w:rPr>
          <w:color w:val="auto"/>
          <w:sz w:val="24"/>
          <w:highlight w:val="none"/>
        </w:rPr>
        <w:t>施工单位对</w:t>
      </w:r>
      <w:r>
        <w:rPr>
          <w:rFonts w:hint="eastAsia"/>
          <w:color w:val="auto"/>
          <w:sz w:val="24"/>
          <w:highlight w:val="none"/>
        </w:rPr>
        <w:t>项目</w:t>
      </w:r>
      <w:r>
        <w:rPr>
          <w:color w:val="auto"/>
          <w:sz w:val="24"/>
          <w:highlight w:val="none"/>
        </w:rPr>
        <w:t>范围及周边动物实施保护管理，严禁违法捕捞、捕杀动物，在施工过程中遇见迁移困难的</w:t>
      </w:r>
      <w:r>
        <w:rPr>
          <w:rFonts w:hint="eastAsia"/>
          <w:color w:val="auto"/>
          <w:sz w:val="24"/>
          <w:highlight w:val="none"/>
          <w:lang w:eastAsia="zh-CN"/>
        </w:rPr>
        <w:t>两栖动物</w:t>
      </w:r>
      <w:r>
        <w:rPr>
          <w:color w:val="auto"/>
          <w:sz w:val="24"/>
          <w:highlight w:val="none"/>
        </w:rPr>
        <w:t xml:space="preserve">（特别是两栖动物）应主动救助等； </w:t>
      </w:r>
    </w:p>
    <w:p>
      <w:pPr>
        <w:spacing w:line="360" w:lineRule="auto"/>
        <w:ind w:firstLine="480"/>
        <w:jc w:val="left"/>
        <w:rPr>
          <w:color w:val="auto"/>
          <w:sz w:val="24"/>
          <w:highlight w:val="none"/>
        </w:rPr>
      </w:pPr>
      <w:r>
        <w:rPr>
          <w:rFonts w:hint="eastAsia" w:ascii="宋体" w:hAnsi="宋体" w:cs="宋体"/>
          <w:color w:val="auto"/>
          <w:sz w:val="24"/>
          <w:highlight w:val="none"/>
        </w:rPr>
        <w:t>③</w:t>
      </w:r>
      <w:r>
        <w:rPr>
          <w:color w:val="auto"/>
          <w:sz w:val="24"/>
          <w:highlight w:val="none"/>
        </w:rPr>
        <w:t>施工过程中应加强管理，合理安排施工时段，减小对动物的影响。</w:t>
      </w:r>
    </w:p>
    <w:p>
      <w:pPr>
        <w:spacing w:line="360" w:lineRule="auto"/>
        <w:outlineLvl w:val="1"/>
        <w:rPr>
          <w:b/>
          <w:color w:val="auto"/>
          <w:sz w:val="30"/>
          <w:szCs w:val="30"/>
          <w:highlight w:val="none"/>
        </w:rPr>
      </w:pPr>
      <w:bookmarkStart w:id="573" w:name="_Toc19414"/>
      <w:r>
        <w:rPr>
          <w:b/>
          <w:color w:val="auto"/>
          <w:sz w:val="30"/>
          <w:szCs w:val="30"/>
          <w:highlight w:val="none"/>
        </w:rPr>
        <w:t>5.2运营期环境影响预测评价</w:t>
      </w:r>
      <w:bookmarkEnd w:id="573"/>
      <w:r>
        <w:rPr>
          <w:b/>
          <w:color w:val="auto"/>
          <w:sz w:val="30"/>
          <w:szCs w:val="30"/>
          <w:highlight w:val="none"/>
        </w:rPr>
        <w:t xml:space="preserve"> </w:t>
      </w:r>
    </w:p>
    <w:p>
      <w:pPr>
        <w:keepNext/>
        <w:keepLines/>
        <w:spacing w:line="360" w:lineRule="auto"/>
        <w:outlineLvl w:val="2"/>
        <w:rPr>
          <w:b/>
          <w:bCs/>
          <w:color w:val="auto"/>
          <w:sz w:val="24"/>
          <w:highlight w:val="none"/>
        </w:rPr>
      </w:pPr>
      <w:bookmarkStart w:id="574" w:name="_Toc75908712"/>
      <w:bookmarkStart w:id="575" w:name="_Toc24873"/>
      <w:r>
        <w:rPr>
          <w:b/>
          <w:bCs/>
          <w:color w:val="auto"/>
          <w:sz w:val="24"/>
          <w:highlight w:val="none"/>
        </w:rPr>
        <w:t>5.2.1运营期大气环境影响分析</w:t>
      </w:r>
      <w:bookmarkEnd w:id="574"/>
      <w:bookmarkEnd w:id="575"/>
    </w:p>
    <w:p>
      <w:pPr>
        <w:spacing w:line="360" w:lineRule="auto"/>
        <w:ind w:firstLine="480" w:firstLineChars="200"/>
        <w:rPr>
          <w:color w:val="auto"/>
          <w:sz w:val="24"/>
          <w:szCs w:val="20"/>
          <w:highlight w:val="none"/>
        </w:rPr>
      </w:pPr>
      <w:r>
        <w:rPr>
          <w:color w:val="auto"/>
          <w:sz w:val="24"/>
          <w:highlight w:val="none"/>
        </w:rPr>
        <w:t>项目生产废气主要来自塑料</w:t>
      </w:r>
      <w:r>
        <w:rPr>
          <w:rFonts w:hint="eastAsia"/>
          <w:color w:val="auto"/>
          <w:sz w:val="24"/>
          <w:highlight w:val="none"/>
          <w:lang w:val="en-US" w:eastAsia="zh-CN"/>
        </w:rPr>
        <w:t>热熔注塑</w:t>
      </w:r>
      <w:r>
        <w:rPr>
          <w:color w:val="auto"/>
          <w:sz w:val="24"/>
          <w:highlight w:val="none"/>
        </w:rPr>
        <w:t>工序产生的有机废气（以非甲烷总烃计）、臭气和</w:t>
      </w:r>
      <w:r>
        <w:rPr>
          <w:rFonts w:hint="eastAsia"/>
          <w:color w:val="auto"/>
          <w:sz w:val="24"/>
          <w:highlight w:val="none"/>
          <w:lang w:val="en-US" w:eastAsia="zh-CN"/>
        </w:rPr>
        <w:t>不合格产品、边角料回收破碎</w:t>
      </w:r>
      <w:r>
        <w:rPr>
          <w:color w:val="auto"/>
          <w:sz w:val="24"/>
          <w:szCs w:val="20"/>
          <w:highlight w:val="none"/>
        </w:rPr>
        <w:t>产生的粉尘。</w:t>
      </w:r>
    </w:p>
    <w:p>
      <w:pPr>
        <w:spacing w:line="360" w:lineRule="auto"/>
        <w:ind w:firstLine="480" w:firstLineChars="200"/>
        <w:rPr>
          <w:color w:val="auto"/>
          <w:sz w:val="24"/>
          <w:highlight w:val="none"/>
        </w:rPr>
      </w:pPr>
      <w:r>
        <w:rPr>
          <w:color w:val="auto"/>
          <w:sz w:val="24"/>
          <w:highlight w:val="none"/>
        </w:rPr>
        <w:t>根据《大气环境影响评价技术导则》（HJ2.2-2018）判定本项目环境空气评价工作等级为二级，可不进行大气环境影响预测工作，采用AERSCREEN估算模式计算及类比法进行环境空气影响预测分析。</w:t>
      </w:r>
    </w:p>
    <w:p>
      <w:pPr>
        <w:spacing w:line="360" w:lineRule="auto"/>
        <w:ind w:firstLine="482" w:firstLineChars="200"/>
        <w:rPr>
          <w:b/>
          <w:bCs/>
          <w:color w:val="auto"/>
          <w:sz w:val="24"/>
          <w:highlight w:val="none"/>
        </w:rPr>
      </w:pPr>
      <w:r>
        <w:rPr>
          <w:b/>
          <w:bCs/>
          <w:color w:val="auto"/>
          <w:sz w:val="24"/>
          <w:highlight w:val="none"/>
        </w:rPr>
        <w:t>（1）环境空气影响预测与评价</w:t>
      </w:r>
    </w:p>
    <w:p>
      <w:pPr>
        <w:spacing w:line="360" w:lineRule="auto"/>
        <w:ind w:firstLine="480" w:firstLineChars="200"/>
        <w:rPr>
          <w:color w:val="auto"/>
          <w:sz w:val="24"/>
          <w:highlight w:val="none"/>
        </w:rPr>
      </w:pPr>
      <w:r>
        <w:rPr>
          <w:color w:val="auto"/>
          <w:sz w:val="24"/>
          <w:highlight w:val="none"/>
        </w:rPr>
        <w:t>①预测模式及相关参数</w:t>
      </w:r>
    </w:p>
    <w:p>
      <w:pPr>
        <w:spacing w:line="360" w:lineRule="auto"/>
        <w:ind w:firstLine="480" w:firstLineChars="200"/>
        <w:rPr>
          <w:color w:val="auto"/>
          <w:sz w:val="24"/>
          <w:highlight w:val="none"/>
        </w:rPr>
      </w:pPr>
      <w:r>
        <w:rPr>
          <w:color w:val="auto"/>
          <w:sz w:val="24"/>
          <w:highlight w:val="none"/>
        </w:rPr>
        <w:t>本次环境空气预测采用《环境影响评价技术导则大气环境》（HJ2.2-2018）附录A推荐的估算模型AERSCREEN进行预测。估算模型参数见表5.2-1。</w:t>
      </w:r>
    </w:p>
    <w:p>
      <w:pPr>
        <w:spacing w:line="360" w:lineRule="auto"/>
        <w:jc w:val="center"/>
        <w:rPr>
          <w:b/>
          <w:snapToGrid w:val="0"/>
          <w:color w:val="auto"/>
          <w:sz w:val="24"/>
          <w:highlight w:val="none"/>
        </w:rPr>
      </w:pPr>
    </w:p>
    <w:p>
      <w:pPr>
        <w:spacing w:line="360" w:lineRule="auto"/>
        <w:jc w:val="center"/>
        <w:rPr>
          <w:b/>
          <w:snapToGrid w:val="0"/>
          <w:color w:val="auto"/>
          <w:sz w:val="24"/>
          <w:highlight w:val="none"/>
        </w:rPr>
      </w:pPr>
    </w:p>
    <w:p>
      <w:pPr>
        <w:spacing w:line="360" w:lineRule="auto"/>
        <w:jc w:val="center"/>
        <w:rPr>
          <w:b/>
          <w:snapToGrid w:val="0"/>
          <w:color w:val="auto"/>
          <w:sz w:val="24"/>
          <w:highlight w:val="none"/>
        </w:rPr>
      </w:pPr>
    </w:p>
    <w:p>
      <w:pPr>
        <w:spacing w:line="360" w:lineRule="auto"/>
        <w:jc w:val="center"/>
        <w:rPr>
          <w:b/>
          <w:snapToGrid w:val="0"/>
          <w:color w:val="auto"/>
          <w:sz w:val="24"/>
          <w:highlight w:val="none"/>
        </w:rPr>
      </w:pPr>
    </w:p>
    <w:p>
      <w:pPr>
        <w:spacing w:line="360" w:lineRule="auto"/>
        <w:jc w:val="center"/>
        <w:rPr>
          <w:color w:val="auto"/>
          <w:sz w:val="24"/>
          <w:highlight w:val="none"/>
        </w:rPr>
      </w:pPr>
      <w:r>
        <w:rPr>
          <w:b/>
          <w:snapToGrid w:val="0"/>
          <w:color w:val="auto"/>
          <w:sz w:val="24"/>
          <w:highlight w:val="none"/>
        </w:rPr>
        <w:t>表5.2-1  估算模型参数表</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3055"/>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139" w:type="dxa"/>
            <w:gridSpan w:val="2"/>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参数</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084" w:type="dxa"/>
            <w:vMerge w:val="restart"/>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城市/农村选项</w:t>
            </w:r>
          </w:p>
        </w:tc>
        <w:tc>
          <w:tcPr>
            <w:tcW w:w="3055"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城市/农村</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084" w:type="dxa"/>
            <w:vMerge w:val="continue"/>
            <w:vAlign w:val="center"/>
          </w:tcPr>
          <w:p>
            <w:pPr>
              <w:widowControl/>
              <w:spacing w:line="360" w:lineRule="auto"/>
              <w:ind w:firstLine="420"/>
              <w:jc w:val="left"/>
              <w:rPr>
                <w:color w:val="auto"/>
                <w:kern w:val="0"/>
                <w:szCs w:val="21"/>
                <w:highlight w:val="none"/>
              </w:rPr>
            </w:pPr>
          </w:p>
        </w:tc>
        <w:tc>
          <w:tcPr>
            <w:tcW w:w="3055"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人口数（城市选项时）</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139" w:type="dxa"/>
            <w:gridSpan w:val="2"/>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最高环境温度/℃</w:t>
            </w:r>
          </w:p>
        </w:tc>
        <w:tc>
          <w:tcPr>
            <w:tcW w:w="3410" w:type="dxa"/>
            <w:vAlign w:val="center"/>
          </w:tcPr>
          <w:p>
            <w:pPr>
              <w:autoSpaceDE w:val="0"/>
              <w:autoSpaceDN w:val="0"/>
              <w:spacing w:line="360" w:lineRule="auto"/>
              <w:ind w:firstLine="4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39" w:type="dxa"/>
            <w:gridSpan w:val="2"/>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最低环境温度/℃</w:t>
            </w:r>
          </w:p>
        </w:tc>
        <w:tc>
          <w:tcPr>
            <w:tcW w:w="3410" w:type="dxa"/>
            <w:vAlign w:val="center"/>
          </w:tcPr>
          <w:p>
            <w:pPr>
              <w:autoSpaceDE w:val="0"/>
              <w:autoSpaceDN w:val="0"/>
              <w:spacing w:line="360" w:lineRule="auto"/>
              <w:ind w:firstLine="420"/>
              <w:jc w:val="center"/>
              <w:rPr>
                <w:rFonts w:hint="default"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139" w:type="dxa"/>
            <w:gridSpan w:val="2"/>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土地利用类型</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39" w:type="dxa"/>
            <w:gridSpan w:val="2"/>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区域湿度条件</w:t>
            </w:r>
          </w:p>
        </w:tc>
        <w:tc>
          <w:tcPr>
            <w:tcW w:w="3410" w:type="dxa"/>
            <w:vAlign w:val="center"/>
          </w:tcPr>
          <w:p>
            <w:pPr>
              <w:autoSpaceDE w:val="0"/>
              <w:autoSpaceDN w:val="0"/>
              <w:spacing w:line="360" w:lineRule="auto"/>
              <w:ind w:firstLine="42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restart"/>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是否考虑地形</w:t>
            </w:r>
          </w:p>
        </w:tc>
        <w:tc>
          <w:tcPr>
            <w:tcW w:w="3055"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考虑地形</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084" w:type="dxa"/>
            <w:vMerge w:val="continue"/>
            <w:vAlign w:val="center"/>
          </w:tcPr>
          <w:p>
            <w:pPr>
              <w:widowControl/>
              <w:spacing w:line="360" w:lineRule="auto"/>
              <w:ind w:firstLine="420"/>
              <w:jc w:val="left"/>
              <w:rPr>
                <w:color w:val="auto"/>
                <w:kern w:val="0"/>
                <w:szCs w:val="21"/>
                <w:highlight w:val="none"/>
              </w:rPr>
            </w:pPr>
          </w:p>
        </w:tc>
        <w:tc>
          <w:tcPr>
            <w:tcW w:w="3055"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地形数据分辨率/m</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084" w:type="dxa"/>
            <w:vMerge w:val="restart"/>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是否考虑岸线熏烟</w:t>
            </w:r>
          </w:p>
        </w:tc>
        <w:tc>
          <w:tcPr>
            <w:tcW w:w="3055"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考虑岸线熏烟</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084" w:type="dxa"/>
            <w:vMerge w:val="continue"/>
            <w:vAlign w:val="center"/>
          </w:tcPr>
          <w:p>
            <w:pPr>
              <w:widowControl/>
              <w:spacing w:line="360" w:lineRule="auto"/>
              <w:ind w:firstLine="420"/>
              <w:jc w:val="left"/>
              <w:rPr>
                <w:color w:val="auto"/>
                <w:kern w:val="0"/>
                <w:szCs w:val="21"/>
                <w:highlight w:val="none"/>
              </w:rPr>
            </w:pPr>
          </w:p>
        </w:tc>
        <w:tc>
          <w:tcPr>
            <w:tcW w:w="3055"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岸线距离/km</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84" w:type="dxa"/>
            <w:vMerge w:val="continue"/>
            <w:vAlign w:val="center"/>
          </w:tcPr>
          <w:p>
            <w:pPr>
              <w:widowControl/>
              <w:spacing w:line="360" w:lineRule="auto"/>
              <w:ind w:firstLine="420"/>
              <w:jc w:val="left"/>
              <w:rPr>
                <w:color w:val="auto"/>
                <w:kern w:val="0"/>
                <w:szCs w:val="21"/>
                <w:highlight w:val="none"/>
              </w:rPr>
            </w:pPr>
          </w:p>
        </w:tc>
        <w:tc>
          <w:tcPr>
            <w:tcW w:w="3055"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岸线方向/°</w:t>
            </w:r>
          </w:p>
        </w:tc>
        <w:tc>
          <w:tcPr>
            <w:tcW w:w="3410" w:type="dxa"/>
            <w:vAlign w:val="center"/>
          </w:tcPr>
          <w:p>
            <w:pPr>
              <w:autoSpaceDE w:val="0"/>
              <w:autoSpaceDN w:val="0"/>
              <w:spacing w:line="360" w:lineRule="auto"/>
              <w:ind w:firstLine="420"/>
              <w:jc w:val="center"/>
              <w:rPr>
                <w:color w:val="auto"/>
                <w:kern w:val="0"/>
                <w:szCs w:val="21"/>
                <w:highlight w:val="none"/>
              </w:rPr>
            </w:pPr>
            <w:r>
              <w:rPr>
                <w:color w:val="auto"/>
                <w:kern w:val="0"/>
                <w:szCs w:val="21"/>
                <w:highlight w:val="none"/>
              </w:rPr>
              <w:t>/</w:t>
            </w:r>
          </w:p>
        </w:tc>
      </w:tr>
    </w:tbl>
    <w:p>
      <w:pPr>
        <w:spacing w:line="360" w:lineRule="auto"/>
        <w:ind w:firstLine="480" w:firstLineChars="200"/>
        <w:rPr>
          <w:color w:val="auto"/>
          <w:sz w:val="24"/>
          <w:highlight w:val="none"/>
        </w:rPr>
      </w:pPr>
      <w:r>
        <w:rPr>
          <w:color w:val="auto"/>
          <w:sz w:val="24"/>
          <w:highlight w:val="none"/>
        </w:rPr>
        <w:t>②预测因子</w:t>
      </w:r>
    </w:p>
    <w:p>
      <w:pPr>
        <w:spacing w:line="360" w:lineRule="auto"/>
        <w:ind w:firstLine="480" w:firstLineChars="200"/>
        <w:rPr>
          <w:color w:val="auto"/>
          <w:sz w:val="24"/>
          <w:highlight w:val="none"/>
        </w:rPr>
      </w:pPr>
      <w:r>
        <w:rPr>
          <w:color w:val="auto"/>
          <w:sz w:val="24"/>
          <w:highlight w:val="none"/>
        </w:rPr>
        <w:t>有机废气（非甲烷总烃）、TSP</w:t>
      </w:r>
      <w:r>
        <w:rPr>
          <w:color w:val="auto"/>
          <w:sz w:val="24"/>
          <w:szCs w:val="20"/>
          <w:highlight w:val="none"/>
        </w:rPr>
        <w:t>。</w:t>
      </w:r>
    </w:p>
    <w:p>
      <w:pPr>
        <w:spacing w:line="360" w:lineRule="auto"/>
        <w:ind w:firstLine="480" w:firstLineChars="200"/>
        <w:rPr>
          <w:color w:val="auto"/>
          <w:sz w:val="24"/>
          <w:highlight w:val="none"/>
        </w:rPr>
      </w:pPr>
      <w:r>
        <w:rPr>
          <w:color w:val="auto"/>
          <w:sz w:val="24"/>
          <w:highlight w:val="none"/>
        </w:rPr>
        <w:t>③污染物评价标准</w:t>
      </w:r>
    </w:p>
    <w:p>
      <w:pPr>
        <w:spacing w:line="360" w:lineRule="auto"/>
        <w:ind w:firstLine="422" w:firstLineChars="176"/>
        <w:rPr>
          <w:color w:val="auto"/>
          <w:sz w:val="24"/>
          <w:highlight w:val="none"/>
        </w:rPr>
      </w:pPr>
      <w:r>
        <w:rPr>
          <w:color w:val="auto"/>
          <w:sz w:val="24"/>
          <w:highlight w:val="none"/>
        </w:rPr>
        <w:t>污染物评价标准和来源见下表。</w:t>
      </w:r>
    </w:p>
    <w:p>
      <w:pPr>
        <w:spacing w:line="360" w:lineRule="auto"/>
        <w:jc w:val="center"/>
        <w:rPr>
          <w:b/>
          <w:color w:val="auto"/>
          <w:sz w:val="24"/>
          <w:highlight w:val="none"/>
        </w:rPr>
      </w:pPr>
      <w:r>
        <w:rPr>
          <w:b/>
          <w:color w:val="auto"/>
          <w:sz w:val="24"/>
          <w:highlight w:val="none"/>
        </w:rPr>
        <w:t>表5.2-2  污染物评价标准</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214"/>
        <w:gridCol w:w="1363"/>
        <w:gridCol w:w="4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pPr>
              <w:spacing w:line="240" w:lineRule="auto"/>
              <w:jc w:val="center"/>
              <w:rPr>
                <w:b/>
                <w:color w:val="auto"/>
                <w:szCs w:val="21"/>
                <w:highlight w:val="none"/>
              </w:rPr>
            </w:pPr>
            <w:r>
              <w:rPr>
                <w:b/>
                <w:color w:val="auto"/>
                <w:szCs w:val="21"/>
                <w:highlight w:val="none"/>
              </w:rPr>
              <w:t>污染物</w:t>
            </w:r>
          </w:p>
          <w:p>
            <w:pPr>
              <w:spacing w:line="240" w:lineRule="auto"/>
              <w:jc w:val="center"/>
              <w:rPr>
                <w:b/>
                <w:color w:val="auto"/>
                <w:szCs w:val="21"/>
                <w:highlight w:val="none"/>
              </w:rPr>
            </w:pPr>
            <w:r>
              <w:rPr>
                <w:b/>
                <w:color w:val="auto"/>
                <w:szCs w:val="21"/>
                <w:highlight w:val="none"/>
              </w:rPr>
              <w:t>名称</w:t>
            </w:r>
          </w:p>
        </w:tc>
        <w:tc>
          <w:tcPr>
            <w:tcW w:w="1214" w:type="dxa"/>
            <w:vAlign w:val="center"/>
          </w:tcPr>
          <w:p>
            <w:pPr>
              <w:spacing w:line="240" w:lineRule="auto"/>
              <w:jc w:val="center"/>
              <w:rPr>
                <w:b/>
                <w:color w:val="auto"/>
                <w:szCs w:val="21"/>
                <w:highlight w:val="none"/>
              </w:rPr>
            </w:pPr>
            <w:r>
              <w:rPr>
                <w:b/>
                <w:color w:val="auto"/>
                <w:szCs w:val="21"/>
                <w:highlight w:val="none"/>
              </w:rPr>
              <w:t>平均时段</w:t>
            </w:r>
          </w:p>
        </w:tc>
        <w:tc>
          <w:tcPr>
            <w:tcW w:w="1363" w:type="dxa"/>
            <w:vAlign w:val="center"/>
          </w:tcPr>
          <w:p>
            <w:pPr>
              <w:spacing w:line="240" w:lineRule="auto"/>
              <w:jc w:val="center"/>
              <w:rPr>
                <w:b/>
                <w:color w:val="auto"/>
                <w:szCs w:val="21"/>
                <w:highlight w:val="none"/>
              </w:rPr>
            </w:pPr>
            <w:r>
              <w:rPr>
                <w:b/>
                <w:color w:val="auto"/>
                <w:szCs w:val="21"/>
                <w:highlight w:val="none"/>
              </w:rPr>
              <w:t>标准值</w:t>
            </w:r>
            <w:bookmarkStart w:id="576" w:name="OLE_LINK14"/>
            <w:bookmarkStart w:id="577" w:name="OLE_LINK15"/>
          </w:p>
          <w:p>
            <w:pPr>
              <w:spacing w:line="240" w:lineRule="auto"/>
              <w:jc w:val="center"/>
              <w:rPr>
                <w:b/>
                <w:color w:val="auto"/>
                <w:szCs w:val="21"/>
                <w:highlight w:val="none"/>
              </w:rPr>
            </w:pPr>
            <w:r>
              <w:rPr>
                <w:b/>
                <w:color w:val="auto"/>
                <w:szCs w:val="21"/>
                <w:highlight w:val="none"/>
              </w:rPr>
              <w:t>(μg/m</w:t>
            </w:r>
            <w:r>
              <w:rPr>
                <w:b/>
                <w:color w:val="auto"/>
                <w:szCs w:val="21"/>
                <w:highlight w:val="none"/>
                <w:vertAlign w:val="superscript"/>
              </w:rPr>
              <w:t>3</w:t>
            </w:r>
            <w:r>
              <w:rPr>
                <w:b/>
                <w:color w:val="auto"/>
                <w:szCs w:val="21"/>
                <w:highlight w:val="none"/>
              </w:rPr>
              <w:t>)</w:t>
            </w:r>
            <w:bookmarkEnd w:id="576"/>
            <w:bookmarkEnd w:id="577"/>
          </w:p>
        </w:tc>
        <w:tc>
          <w:tcPr>
            <w:tcW w:w="4550" w:type="dxa"/>
            <w:vAlign w:val="center"/>
          </w:tcPr>
          <w:p>
            <w:pPr>
              <w:spacing w:line="240" w:lineRule="auto"/>
              <w:jc w:val="center"/>
              <w:rPr>
                <w:b/>
                <w:color w:val="auto"/>
                <w:szCs w:val="21"/>
                <w:highlight w:val="none"/>
              </w:rPr>
            </w:pPr>
            <w:r>
              <w:rPr>
                <w:b/>
                <w:color w:val="auto"/>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422" w:type="dxa"/>
            <w:vAlign w:val="center"/>
          </w:tcPr>
          <w:p>
            <w:pPr>
              <w:spacing w:line="240" w:lineRule="auto"/>
              <w:jc w:val="center"/>
              <w:rPr>
                <w:color w:val="auto"/>
                <w:szCs w:val="21"/>
                <w:highlight w:val="none"/>
              </w:rPr>
            </w:pPr>
            <w:r>
              <w:rPr>
                <w:color w:val="auto"/>
                <w:szCs w:val="21"/>
                <w:highlight w:val="none"/>
              </w:rPr>
              <w:t>非甲烷总烃</w:t>
            </w:r>
          </w:p>
        </w:tc>
        <w:tc>
          <w:tcPr>
            <w:tcW w:w="1214" w:type="dxa"/>
            <w:vAlign w:val="center"/>
          </w:tcPr>
          <w:p>
            <w:pPr>
              <w:spacing w:line="240" w:lineRule="auto"/>
              <w:jc w:val="center"/>
              <w:rPr>
                <w:color w:val="auto"/>
                <w:szCs w:val="21"/>
                <w:highlight w:val="none"/>
              </w:rPr>
            </w:pPr>
            <w:r>
              <w:rPr>
                <w:color w:val="auto"/>
                <w:szCs w:val="21"/>
                <w:highlight w:val="none"/>
              </w:rPr>
              <w:t>1小时</w:t>
            </w:r>
          </w:p>
        </w:tc>
        <w:tc>
          <w:tcPr>
            <w:tcW w:w="1363" w:type="dxa"/>
            <w:vAlign w:val="center"/>
          </w:tcPr>
          <w:p>
            <w:pPr>
              <w:spacing w:line="240" w:lineRule="auto"/>
              <w:jc w:val="center"/>
              <w:rPr>
                <w:color w:val="auto"/>
                <w:szCs w:val="21"/>
                <w:highlight w:val="none"/>
              </w:rPr>
            </w:pPr>
            <w:r>
              <w:rPr>
                <w:color w:val="auto"/>
                <w:szCs w:val="21"/>
                <w:highlight w:val="none"/>
              </w:rPr>
              <w:t>2000</w:t>
            </w:r>
          </w:p>
        </w:tc>
        <w:tc>
          <w:tcPr>
            <w:tcW w:w="4550" w:type="dxa"/>
            <w:vAlign w:val="center"/>
          </w:tcPr>
          <w:p>
            <w:pPr>
              <w:spacing w:line="240" w:lineRule="auto"/>
              <w:jc w:val="center"/>
              <w:rPr>
                <w:color w:val="auto"/>
                <w:szCs w:val="21"/>
                <w:highlight w:val="none"/>
              </w:rPr>
            </w:pPr>
            <w:r>
              <w:rPr>
                <w:color w:val="auto"/>
                <w:szCs w:val="21"/>
                <w:highlight w:val="none"/>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2" w:type="dxa"/>
            <w:vAlign w:val="center"/>
          </w:tcPr>
          <w:p>
            <w:pPr>
              <w:spacing w:line="240" w:lineRule="auto"/>
              <w:jc w:val="center"/>
              <w:rPr>
                <w:color w:val="auto"/>
                <w:szCs w:val="21"/>
                <w:highlight w:val="none"/>
              </w:rPr>
            </w:pPr>
            <w:r>
              <w:rPr>
                <w:color w:val="auto"/>
                <w:szCs w:val="21"/>
                <w:highlight w:val="none"/>
              </w:rPr>
              <w:t>TSP</w:t>
            </w:r>
          </w:p>
        </w:tc>
        <w:tc>
          <w:tcPr>
            <w:tcW w:w="1214" w:type="dxa"/>
            <w:vAlign w:val="center"/>
          </w:tcPr>
          <w:p>
            <w:pPr>
              <w:spacing w:line="240" w:lineRule="auto"/>
              <w:jc w:val="center"/>
              <w:rPr>
                <w:color w:val="auto"/>
                <w:szCs w:val="21"/>
                <w:highlight w:val="none"/>
              </w:rPr>
            </w:pPr>
            <w:r>
              <w:rPr>
                <w:color w:val="auto"/>
                <w:szCs w:val="21"/>
                <w:highlight w:val="none"/>
              </w:rPr>
              <w:t>1小时</w:t>
            </w:r>
          </w:p>
        </w:tc>
        <w:tc>
          <w:tcPr>
            <w:tcW w:w="1363" w:type="dxa"/>
            <w:vAlign w:val="center"/>
          </w:tcPr>
          <w:p>
            <w:pPr>
              <w:spacing w:line="240" w:lineRule="auto"/>
              <w:jc w:val="center"/>
              <w:rPr>
                <w:color w:val="auto"/>
                <w:szCs w:val="21"/>
                <w:highlight w:val="none"/>
              </w:rPr>
            </w:pPr>
            <w:r>
              <w:rPr>
                <w:color w:val="auto"/>
                <w:szCs w:val="21"/>
                <w:highlight w:val="none"/>
              </w:rPr>
              <w:t>900</w:t>
            </w:r>
            <w:r>
              <w:rPr>
                <w:color w:val="auto"/>
                <w:szCs w:val="21"/>
                <w:highlight w:val="none"/>
                <w:vertAlign w:val="superscript"/>
              </w:rPr>
              <w:t>①</w:t>
            </w:r>
          </w:p>
        </w:tc>
        <w:tc>
          <w:tcPr>
            <w:tcW w:w="4550" w:type="dxa"/>
            <w:vAlign w:val="center"/>
          </w:tcPr>
          <w:p>
            <w:pPr>
              <w:spacing w:line="240" w:lineRule="auto"/>
              <w:jc w:val="center"/>
              <w:rPr>
                <w:color w:val="auto"/>
                <w:szCs w:val="21"/>
                <w:highlight w:val="none"/>
              </w:rPr>
            </w:pPr>
            <w:r>
              <w:rPr>
                <w:color w:val="auto"/>
                <w:szCs w:val="21"/>
                <w:highlight w:val="none"/>
              </w:rPr>
              <w:t>《环境空气质量标准》（GB3095-2012）</w:t>
            </w:r>
          </w:p>
          <w:p>
            <w:pPr>
              <w:spacing w:line="240" w:lineRule="auto"/>
              <w:jc w:val="center"/>
              <w:rPr>
                <w:color w:val="auto"/>
                <w:szCs w:val="21"/>
                <w:highlight w:val="none"/>
              </w:rPr>
            </w:pPr>
            <w:r>
              <w:rPr>
                <w:color w:val="auto"/>
                <w:szCs w:val="21"/>
                <w:highlight w:val="none"/>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549" w:type="dxa"/>
            <w:gridSpan w:val="4"/>
            <w:vAlign w:val="center"/>
          </w:tcPr>
          <w:p>
            <w:pPr>
              <w:spacing w:line="240" w:lineRule="auto"/>
              <w:rPr>
                <w:color w:val="auto"/>
                <w:szCs w:val="21"/>
                <w:highlight w:val="none"/>
              </w:rPr>
            </w:pPr>
            <w:r>
              <w:rPr>
                <w:color w:val="auto"/>
                <w:szCs w:val="21"/>
                <w:highlight w:val="none"/>
              </w:rPr>
              <w:t>注：①TSP日均值为300μg/m</w:t>
            </w:r>
            <w:r>
              <w:rPr>
                <w:color w:val="auto"/>
                <w:szCs w:val="21"/>
                <w:highlight w:val="none"/>
                <w:vertAlign w:val="superscript"/>
              </w:rPr>
              <w:t>3</w:t>
            </w:r>
            <w:r>
              <w:rPr>
                <w:color w:val="auto"/>
                <w:szCs w:val="21"/>
                <w:highlight w:val="none"/>
              </w:rPr>
              <w:t>，按1:3折算1h限值为900μg/m</w:t>
            </w:r>
            <w:r>
              <w:rPr>
                <w:color w:val="auto"/>
                <w:szCs w:val="21"/>
                <w:highlight w:val="none"/>
                <w:vertAlign w:val="superscript"/>
              </w:rPr>
              <w:t>3</w:t>
            </w:r>
            <w:r>
              <w:rPr>
                <w:color w:val="auto"/>
                <w:szCs w:val="21"/>
                <w:highlight w:val="none"/>
              </w:rPr>
              <w:t>；</w:t>
            </w:r>
          </w:p>
        </w:tc>
      </w:tr>
    </w:tbl>
    <w:p>
      <w:pPr>
        <w:spacing w:line="360" w:lineRule="auto"/>
        <w:ind w:firstLine="480" w:firstLineChars="200"/>
        <w:rPr>
          <w:snapToGrid w:val="0"/>
          <w:color w:val="auto"/>
          <w:sz w:val="24"/>
          <w:highlight w:val="none"/>
        </w:rPr>
      </w:pPr>
      <w:r>
        <w:rPr>
          <w:color w:val="auto"/>
          <w:sz w:val="24"/>
          <w:highlight w:val="none"/>
        </w:rPr>
        <w:t>④</w:t>
      </w:r>
      <w:r>
        <w:rPr>
          <w:snapToGrid w:val="0"/>
          <w:color w:val="auto"/>
          <w:sz w:val="24"/>
          <w:highlight w:val="none"/>
        </w:rPr>
        <w:t>污染物排放参数</w:t>
      </w:r>
    </w:p>
    <w:p>
      <w:pPr>
        <w:spacing w:line="360" w:lineRule="auto"/>
        <w:ind w:firstLine="482"/>
        <w:rPr>
          <w:b/>
          <w:color w:val="auto"/>
          <w:sz w:val="24"/>
          <w:szCs w:val="20"/>
          <w:highlight w:val="none"/>
        </w:rPr>
      </w:pPr>
      <w:r>
        <w:rPr>
          <w:b/>
          <w:color w:val="auto"/>
          <w:sz w:val="24"/>
          <w:szCs w:val="20"/>
          <w:highlight w:val="none"/>
        </w:rPr>
        <w:t>Ⅰ、正常排放：</w:t>
      </w:r>
    </w:p>
    <w:p>
      <w:pPr>
        <w:spacing w:line="360" w:lineRule="auto"/>
        <w:ind w:firstLine="482"/>
        <w:rPr>
          <w:color w:val="auto"/>
          <w:sz w:val="24"/>
          <w:szCs w:val="20"/>
          <w:highlight w:val="none"/>
        </w:rPr>
      </w:pPr>
      <w:r>
        <w:rPr>
          <w:color w:val="auto"/>
          <w:sz w:val="24"/>
          <w:szCs w:val="20"/>
          <w:highlight w:val="none"/>
        </w:rPr>
        <w:t>根据“章节</w:t>
      </w:r>
      <w:r>
        <w:rPr>
          <w:rFonts w:hint="eastAsia"/>
          <w:color w:val="auto"/>
          <w:sz w:val="24"/>
          <w:szCs w:val="20"/>
          <w:highlight w:val="none"/>
          <w:lang w:val="en-US" w:eastAsia="zh-CN"/>
        </w:rPr>
        <w:t>3</w:t>
      </w:r>
      <w:r>
        <w:rPr>
          <w:color w:val="auto"/>
          <w:sz w:val="24"/>
          <w:szCs w:val="20"/>
          <w:highlight w:val="none"/>
        </w:rPr>
        <w:t>.5.1”分析，项目生产废气包括非甲烷总烃、</w:t>
      </w:r>
      <w:r>
        <w:rPr>
          <w:rFonts w:hint="eastAsia"/>
          <w:color w:val="auto"/>
          <w:sz w:val="24"/>
          <w:szCs w:val="20"/>
          <w:highlight w:val="none"/>
          <w:lang w:val="en-US" w:eastAsia="zh-CN"/>
        </w:rPr>
        <w:t>粉尘</w:t>
      </w:r>
      <w:r>
        <w:rPr>
          <w:color w:val="auto"/>
          <w:sz w:val="24"/>
          <w:szCs w:val="20"/>
          <w:highlight w:val="none"/>
        </w:rPr>
        <w:t>（颗粒物），其排放方式分为有组织及无组织排放两种。</w:t>
      </w:r>
    </w:p>
    <w:p>
      <w:pPr>
        <w:spacing w:line="360" w:lineRule="auto"/>
        <w:ind w:firstLine="482"/>
        <w:rPr>
          <w:color w:val="auto"/>
          <w:sz w:val="24"/>
          <w:szCs w:val="20"/>
          <w:highlight w:val="none"/>
        </w:rPr>
      </w:pPr>
      <w:r>
        <w:rPr>
          <w:color w:val="auto"/>
          <w:sz w:val="24"/>
          <w:szCs w:val="20"/>
          <w:highlight w:val="none"/>
        </w:rPr>
        <w:t>根据《环境影响评价技术导则 大气环境》（HJ2.2-2018）及生态环境部环境工程评估中心发布的大气估算模型AERSCREEN手册，当污染源为矩形面源时不能使用复杂地形选项，将矩形面源按面积相等的圆形面积计算。</w:t>
      </w:r>
      <w:r>
        <w:rPr>
          <w:rFonts w:hint="eastAsia"/>
          <w:color w:val="auto"/>
          <w:sz w:val="24"/>
          <w:szCs w:val="20"/>
          <w:highlight w:val="none"/>
        </w:rPr>
        <w:t>本项目</w:t>
      </w:r>
      <w:r>
        <w:rPr>
          <w:rFonts w:hint="eastAsia"/>
          <w:color w:val="auto"/>
          <w:sz w:val="24"/>
          <w:szCs w:val="20"/>
          <w:highlight w:val="none"/>
          <w:lang w:val="en-US" w:eastAsia="zh-CN"/>
        </w:rPr>
        <w:t>生产车间占地500</w:t>
      </w:r>
      <w:r>
        <w:rPr>
          <w:color w:val="auto"/>
          <w:sz w:val="24"/>
          <w:szCs w:val="20"/>
          <w:highlight w:val="none"/>
        </w:rPr>
        <w:t>m</w:t>
      </w:r>
      <w:r>
        <w:rPr>
          <w:color w:val="auto"/>
          <w:sz w:val="24"/>
          <w:szCs w:val="20"/>
          <w:highlight w:val="none"/>
          <w:vertAlign w:val="superscript"/>
        </w:rPr>
        <w:t>2</w:t>
      </w:r>
      <w:r>
        <w:rPr>
          <w:color w:val="auto"/>
          <w:sz w:val="24"/>
          <w:szCs w:val="20"/>
          <w:highlight w:val="none"/>
        </w:rPr>
        <w:t>，转换为同等面积的圆形时，其半径约为</w:t>
      </w:r>
      <w:r>
        <w:rPr>
          <w:rFonts w:hint="eastAsia"/>
          <w:color w:val="auto"/>
          <w:sz w:val="24"/>
          <w:szCs w:val="20"/>
          <w:highlight w:val="none"/>
          <w:lang w:val="en-US" w:eastAsia="zh-CN"/>
        </w:rPr>
        <w:t>12.62</w:t>
      </w:r>
      <w:r>
        <w:rPr>
          <w:color w:val="auto"/>
          <w:sz w:val="24"/>
          <w:szCs w:val="20"/>
          <w:highlight w:val="none"/>
        </w:rPr>
        <w:t>m。</w:t>
      </w:r>
    </w:p>
    <w:p>
      <w:pPr>
        <w:spacing w:line="360" w:lineRule="auto"/>
        <w:ind w:firstLine="482"/>
        <w:rPr>
          <w:b/>
          <w:color w:val="auto"/>
          <w:sz w:val="24"/>
          <w:highlight w:val="none"/>
        </w:rPr>
      </w:pPr>
      <w:r>
        <w:rPr>
          <w:color w:val="auto"/>
          <w:sz w:val="24"/>
          <w:szCs w:val="20"/>
          <w:highlight w:val="none"/>
        </w:rPr>
        <w:t>本项目各</w:t>
      </w:r>
      <w:r>
        <w:rPr>
          <w:color w:val="auto"/>
          <w:sz w:val="24"/>
          <w:highlight w:val="none"/>
        </w:rPr>
        <w:t>污染源参数见表5.2-3和表5.2-4。</w:t>
      </w:r>
    </w:p>
    <w:p>
      <w:pPr>
        <w:spacing w:line="360" w:lineRule="auto"/>
        <w:ind w:firstLine="354" w:firstLineChars="147"/>
        <w:jc w:val="center"/>
        <w:rPr>
          <w:b/>
          <w:color w:val="auto"/>
          <w:sz w:val="24"/>
          <w:highlight w:val="none"/>
        </w:rPr>
      </w:pPr>
      <w:r>
        <w:rPr>
          <w:b/>
          <w:color w:val="auto"/>
          <w:sz w:val="24"/>
          <w:highlight w:val="none"/>
        </w:rPr>
        <w:t>表5.2-3  主要废气污染源参数一览表（点源）</w:t>
      </w:r>
    </w:p>
    <w:tbl>
      <w:tblPr>
        <w:tblStyle w:val="56"/>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827"/>
        <w:gridCol w:w="737"/>
        <w:gridCol w:w="853"/>
        <w:gridCol w:w="626"/>
        <w:gridCol w:w="775"/>
        <w:gridCol w:w="814"/>
        <w:gridCol w:w="586"/>
        <w:gridCol w:w="704"/>
        <w:gridCol w:w="628"/>
        <w:gridCol w:w="826"/>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Merge w:val="restart"/>
            <w:vAlign w:val="center"/>
          </w:tcPr>
          <w:p>
            <w:pPr>
              <w:jc w:val="center"/>
              <w:rPr>
                <w:b/>
                <w:color w:val="auto"/>
                <w:szCs w:val="21"/>
                <w:highlight w:val="none"/>
              </w:rPr>
            </w:pPr>
            <w:r>
              <w:rPr>
                <w:b/>
                <w:color w:val="auto"/>
                <w:szCs w:val="21"/>
                <w:highlight w:val="none"/>
              </w:rPr>
              <w:t>名称</w:t>
            </w:r>
          </w:p>
        </w:tc>
        <w:tc>
          <w:tcPr>
            <w:tcW w:w="1564" w:type="dxa"/>
            <w:gridSpan w:val="2"/>
            <w:vAlign w:val="center"/>
          </w:tcPr>
          <w:p>
            <w:pPr>
              <w:jc w:val="center"/>
              <w:rPr>
                <w:b/>
                <w:color w:val="auto"/>
                <w:szCs w:val="21"/>
                <w:highlight w:val="none"/>
              </w:rPr>
            </w:pPr>
            <w:r>
              <w:rPr>
                <w:b/>
                <w:color w:val="auto"/>
                <w:szCs w:val="21"/>
                <w:highlight w:val="none"/>
              </w:rPr>
              <w:t>排气筒底部中心坐标</w:t>
            </w:r>
          </w:p>
          <w:p>
            <w:pPr>
              <w:pStyle w:val="21"/>
              <w:jc w:val="center"/>
              <w:rPr>
                <w:b/>
                <w:color w:val="auto"/>
                <w:sz w:val="21"/>
                <w:szCs w:val="21"/>
                <w:highlight w:val="none"/>
              </w:rPr>
            </w:pPr>
            <w:r>
              <w:rPr>
                <w:b/>
                <w:color w:val="auto"/>
                <w:sz w:val="21"/>
                <w:szCs w:val="21"/>
                <w:highlight w:val="none"/>
              </w:rPr>
              <w:t>/°</w:t>
            </w:r>
          </w:p>
        </w:tc>
        <w:tc>
          <w:tcPr>
            <w:tcW w:w="853" w:type="dxa"/>
            <w:vMerge w:val="restart"/>
            <w:vAlign w:val="center"/>
          </w:tcPr>
          <w:p>
            <w:pPr>
              <w:jc w:val="center"/>
              <w:rPr>
                <w:b/>
                <w:color w:val="auto"/>
                <w:szCs w:val="21"/>
                <w:highlight w:val="none"/>
              </w:rPr>
            </w:pPr>
            <w:r>
              <w:rPr>
                <w:b/>
                <w:color w:val="auto"/>
                <w:szCs w:val="21"/>
                <w:highlight w:val="none"/>
              </w:rPr>
              <w:t>排气筒底部海拔高度/m</w:t>
            </w:r>
          </w:p>
        </w:tc>
        <w:tc>
          <w:tcPr>
            <w:tcW w:w="626" w:type="dxa"/>
            <w:vMerge w:val="restart"/>
            <w:vAlign w:val="center"/>
          </w:tcPr>
          <w:p>
            <w:pPr>
              <w:jc w:val="center"/>
              <w:rPr>
                <w:b/>
                <w:color w:val="auto"/>
                <w:szCs w:val="21"/>
                <w:highlight w:val="none"/>
              </w:rPr>
            </w:pPr>
            <w:r>
              <w:rPr>
                <w:b/>
                <w:color w:val="auto"/>
                <w:szCs w:val="21"/>
                <w:highlight w:val="none"/>
              </w:rPr>
              <w:t>排气筒高度/m</w:t>
            </w:r>
          </w:p>
        </w:tc>
        <w:tc>
          <w:tcPr>
            <w:tcW w:w="775" w:type="dxa"/>
            <w:vMerge w:val="restart"/>
            <w:vAlign w:val="center"/>
          </w:tcPr>
          <w:p>
            <w:pPr>
              <w:jc w:val="center"/>
              <w:rPr>
                <w:b/>
                <w:color w:val="auto"/>
                <w:szCs w:val="21"/>
                <w:highlight w:val="none"/>
              </w:rPr>
            </w:pPr>
            <w:r>
              <w:rPr>
                <w:b/>
                <w:color w:val="auto"/>
                <w:szCs w:val="21"/>
                <w:highlight w:val="none"/>
              </w:rPr>
              <w:t>排气筒出口内径/m</w:t>
            </w:r>
          </w:p>
        </w:tc>
        <w:tc>
          <w:tcPr>
            <w:tcW w:w="814" w:type="dxa"/>
            <w:vMerge w:val="restart"/>
            <w:vAlign w:val="center"/>
          </w:tcPr>
          <w:p>
            <w:pPr>
              <w:jc w:val="center"/>
              <w:rPr>
                <w:b/>
                <w:color w:val="auto"/>
                <w:szCs w:val="21"/>
                <w:highlight w:val="none"/>
              </w:rPr>
            </w:pPr>
            <w:r>
              <w:rPr>
                <w:b/>
                <w:color w:val="auto"/>
                <w:szCs w:val="21"/>
                <w:highlight w:val="none"/>
              </w:rPr>
              <w:t>烟气流速/（m/s）</w:t>
            </w:r>
          </w:p>
        </w:tc>
        <w:tc>
          <w:tcPr>
            <w:tcW w:w="586" w:type="dxa"/>
            <w:vMerge w:val="restart"/>
            <w:vAlign w:val="center"/>
          </w:tcPr>
          <w:p>
            <w:pPr>
              <w:jc w:val="center"/>
              <w:rPr>
                <w:b/>
                <w:color w:val="auto"/>
                <w:szCs w:val="21"/>
                <w:highlight w:val="none"/>
              </w:rPr>
            </w:pPr>
            <w:r>
              <w:rPr>
                <w:b/>
                <w:color w:val="auto"/>
                <w:szCs w:val="21"/>
                <w:highlight w:val="none"/>
              </w:rPr>
              <w:t>烟气温度/℃</w:t>
            </w:r>
          </w:p>
        </w:tc>
        <w:tc>
          <w:tcPr>
            <w:tcW w:w="704" w:type="dxa"/>
            <w:vMerge w:val="restart"/>
            <w:vAlign w:val="center"/>
          </w:tcPr>
          <w:p>
            <w:pPr>
              <w:jc w:val="center"/>
              <w:rPr>
                <w:b/>
                <w:color w:val="auto"/>
                <w:szCs w:val="21"/>
                <w:highlight w:val="none"/>
              </w:rPr>
            </w:pPr>
            <w:r>
              <w:rPr>
                <w:b/>
                <w:color w:val="auto"/>
                <w:szCs w:val="21"/>
                <w:highlight w:val="none"/>
              </w:rPr>
              <w:t>年排放小时数/h</w:t>
            </w:r>
          </w:p>
        </w:tc>
        <w:tc>
          <w:tcPr>
            <w:tcW w:w="628" w:type="dxa"/>
            <w:vMerge w:val="restart"/>
            <w:vAlign w:val="center"/>
          </w:tcPr>
          <w:p>
            <w:pPr>
              <w:jc w:val="center"/>
              <w:rPr>
                <w:b/>
                <w:color w:val="auto"/>
                <w:szCs w:val="21"/>
                <w:highlight w:val="none"/>
              </w:rPr>
            </w:pPr>
            <w:r>
              <w:rPr>
                <w:b/>
                <w:color w:val="auto"/>
                <w:szCs w:val="21"/>
                <w:highlight w:val="none"/>
              </w:rPr>
              <w:t>排放</w:t>
            </w:r>
          </w:p>
          <w:p>
            <w:pPr>
              <w:jc w:val="center"/>
              <w:rPr>
                <w:b/>
                <w:color w:val="auto"/>
                <w:szCs w:val="21"/>
                <w:highlight w:val="none"/>
              </w:rPr>
            </w:pPr>
            <w:r>
              <w:rPr>
                <w:b/>
                <w:color w:val="auto"/>
                <w:szCs w:val="21"/>
                <w:highlight w:val="none"/>
              </w:rPr>
              <w:t>工况</w:t>
            </w:r>
          </w:p>
        </w:tc>
        <w:tc>
          <w:tcPr>
            <w:tcW w:w="1490" w:type="dxa"/>
            <w:gridSpan w:val="2"/>
            <w:vAlign w:val="center"/>
          </w:tcPr>
          <w:p>
            <w:pPr>
              <w:jc w:val="center"/>
              <w:rPr>
                <w:b/>
                <w:color w:val="auto"/>
                <w:szCs w:val="21"/>
                <w:highlight w:val="none"/>
              </w:rPr>
            </w:pPr>
            <w:r>
              <w:rPr>
                <w:b/>
                <w:color w:val="auto"/>
                <w:szCs w:val="21"/>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Merge w:val="continue"/>
            <w:vAlign w:val="center"/>
          </w:tcPr>
          <w:p>
            <w:pPr>
              <w:jc w:val="center"/>
              <w:rPr>
                <w:b/>
                <w:color w:val="auto"/>
                <w:szCs w:val="21"/>
                <w:highlight w:val="none"/>
              </w:rPr>
            </w:pPr>
          </w:p>
        </w:tc>
        <w:tc>
          <w:tcPr>
            <w:tcW w:w="827" w:type="dxa"/>
            <w:vAlign w:val="center"/>
          </w:tcPr>
          <w:p>
            <w:pPr>
              <w:jc w:val="center"/>
              <w:rPr>
                <w:b/>
                <w:color w:val="auto"/>
                <w:szCs w:val="21"/>
                <w:highlight w:val="none"/>
              </w:rPr>
            </w:pPr>
            <w:r>
              <w:rPr>
                <w:b/>
                <w:color w:val="auto"/>
                <w:szCs w:val="21"/>
                <w:highlight w:val="none"/>
              </w:rPr>
              <w:t>X</w:t>
            </w:r>
          </w:p>
        </w:tc>
        <w:tc>
          <w:tcPr>
            <w:tcW w:w="737" w:type="dxa"/>
            <w:vAlign w:val="center"/>
          </w:tcPr>
          <w:p>
            <w:pPr>
              <w:jc w:val="center"/>
              <w:rPr>
                <w:b/>
                <w:color w:val="auto"/>
                <w:szCs w:val="21"/>
                <w:highlight w:val="none"/>
              </w:rPr>
            </w:pPr>
            <w:r>
              <w:rPr>
                <w:b/>
                <w:color w:val="auto"/>
                <w:szCs w:val="21"/>
                <w:highlight w:val="none"/>
              </w:rPr>
              <w:t>Y</w:t>
            </w:r>
          </w:p>
        </w:tc>
        <w:tc>
          <w:tcPr>
            <w:tcW w:w="853" w:type="dxa"/>
            <w:vMerge w:val="continue"/>
            <w:vAlign w:val="center"/>
          </w:tcPr>
          <w:p>
            <w:pPr>
              <w:jc w:val="center"/>
              <w:rPr>
                <w:b/>
                <w:color w:val="auto"/>
                <w:szCs w:val="21"/>
                <w:highlight w:val="none"/>
              </w:rPr>
            </w:pPr>
          </w:p>
        </w:tc>
        <w:tc>
          <w:tcPr>
            <w:tcW w:w="626" w:type="dxa"/>
            <w:vMerge w:val="continue"/>
            <w:vAlign w:val="center"/>
          </w:tcPr>
          <w:p>
            <w:pPr>
              <w:jc w:val="center"/>
              <w:rPr>
                <w:b/>
                <w:color w:val="auto"/>
                <w:szCs w:val="21"/>
                <w:highlight w:val="none"/>
              </w:rPr>
            </w:pPr>
          </w:p>
        </w:tc>
        <w:tc>
          <w:tcPr>
            <w:tcW w:w="775" w:type="dxa"/>
            <w:vMerge w:val="continue"/>
            <w:vAlign w:val="center"/>
          </w:tcPr>
          <w:p>
            <w:pPr>
              <w:jc w:val="center"/>
              <w:rPr>
                <w:b/>
                <w:color w:val="auto"/>
                <w:szCs w:val="21"/>
                <w:highlight w:val="none"/>
              </w:rPr>
            </w:pPr>
          </w:p>
        </w:tc>
        <w:tc>
          <w:tcPr>
            <w:tcW w:w="814" w:type="dxa"/>
            <w:vMerge w:val="continue"/>
            <w:vAlign w:val="center"/>
          </w:tcPr>
          <w:p>
            <w:pPr>
              <w:jc w:val="center"/>
              <w:rPr>
                <w:b/>
                <w:color w:val="auto"/>
                <w:szCs w:val="21"/>
                <w:highlight w:val="none"/>
              </w:rPr>
            </w:pPr>
          </w:p>
        </w:tc>
        <w:tc>
          <w:tcPr>
            <w:tcW w:w="586" w:type="dxa"/>
            <w:vMerge w:val="continue"/>
            <w:vAlign w:val="center"/>
          </w:tcPr>
          <w:p>
            <w:pPr>
              <w:jc w:val="center"/>
              <w:rPr>
                <w:b/>
                <w:color w:val="auto"/>
                <w:szCs w:val="21"/>
                <w:highlight w:val="none"/>
              </w:rPr>
            </w:pPr>
          </w:p>
        </w:tc>
        <w:tc>
          <w:tcPr>
            <w:tcW w:w="704" w:type="dxa"/>
            <w:vMerge w:val="continue"/>
            <w:vAlign w:val="center"/>
          </w:tcPr>
          <w:p>
            <w:pPr>
              <w:jc w:val="center"/>
              <w:rPr>
                <w:b/>
                <w:color w:val="auto"/>
                <w:szCs w:val="21"/>
                <w:highlight w:val="none"/>
              </w:rPr>
            </w:pPr>
          </w:p>
        </w:tc>
        <w:tc>
          <w:tcPr>
            <w:tcW w:w="628" w:type="dxa"/>
            <w:vMerge w:val="continue"/>
            <w:vAlign w:val="center"/>
          </w:tcPr>
          <w:p>
            <w:pPr>
              <w:jc w:val="center"/>
              <w:rPr>
                <w:b/>
                <w:color w:val="auto"/>
                <w:szCs w:val="21"/>
                <w:highlight w:val="none"/>
              </w:rPr>
            </w:pPr>
          </w:p>
        </w:tc>
        <w:tc>
          <w:tcPr>
            <w:tcW w:w="826" w:type="dxa"/>
            <w:vAlign w:val="center"/>
          </w:tcPr>
          <w:p>
            <w:pPr>
              <w:jc w:val="center"/>
              <w:rPr>
                <w:b/>
                <w:color w:val="auto"/>
                <w:szCs w:val="21"/>
                <w:highlight w:val="none"/>
              </w:rPr>
            </w:pPr>
            <w:r>
              <w:rPr>
                <w:b/>
                <w:color w:val="auto"/>
                <w:szCs w:val="21"/>
                <w:highlight w:val="none"/>
              </w:rPr>
              <w:t>非甲烷总烃</w:t>
            </w:r>
          </w:p>
        </w:tc>
        <w:tc>
          <w:tcPr>
            <w:tcW w:w="664" w:type="dxa"/>
            <w:vAlign w:val="center"/>
          </w:tcPr>
          <w:p>
            <w:pPr>
              <w:jc w:val="center"/>
              <w:rPr>
                <w:rFonts w:hint="eastAsia" w:eastAsia="宋体"/>
                <w:b/>
                <w:color w:val="auto"/>
                <w:szCs w:val="21"/>
                <w:highlight w:val="none"/>
                <w:lang w:val="en-US" w:eastAsia="zh-CN"/>
              </w:rPr>
            </w:pPr>
            <w:r>
              <w:rPr>
                <w:rFonts w:hint="eastAsia"/>
                <w:b/>
                <w:color w:val="auto"/>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jc w:val="center"/>
              <w:rPr>
                <w:color w:val="auto"/>
                <w:szCs w:val="21"/>
                <w:highlight w:val="none"/>
              </w:rPr>
            </w:pPr>
            <w:r>
              <w:rPr>
                <w:color w:val="auto"/>
                <w:szCs w:val="21"/>
                <w:highlight w:val="none"/>
              </w:rPr>
              <w:t>1#排气筒</w:t>
            </w:r>
          </w:p>
        </w:tc>
        <w:tc>
          <w:tcPr>
            <w:tcW w:w="82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103.229642</w:t>
            </w:r>
          </w:p>
        </w:tc>
        <w:tc>
          <w:tcPr>
            <w:tcW w:w="73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25.544082</w:t>
            </w:r>
          </w:p>
        </w:tc>
        <w:tc>
          <w:tcPr>
            <w:tcW w:w="853"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2040.7</w:t>
            </w:r>
          </w:p>
        </w:tc>
        <w:tc>
          <w:tcPr>
            <w:tcW w:w="62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77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0.25</w:t>
            </w:r>
          </w:p>
        </w:tc>
        <w:tc>
          <w:tcPr>
            <w:tcW w:w="81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16.9</w:t>
            </w:r>
          </w:p>
        </w:tc>
        <w:tc>
          <w:tcPr>
            <w:tcW w:w="586" w:type="dxa"/>
            <w:vAlign w:val="center"/>
          </w:tcPr>
          <w:p>
            <w:pPr>
              <w:jc w:val="center"/>
              <w:rPr>
                <w:color w:val="auto"/>
                <w:szCs w:val="21"/>
                <w:highlight w:val="none"/>
              </w:rPr>
            </w:pPr>
            <w:r>
              <w:rPr>
                <w:color w:val="auto"/>
                <w:szCs w:val="21"/>
                <w:highlight w:val="none"/>
              </w:rPr>
              <w:t>25</w:t>
            </w:r>
          </w:p>
        </w:tc>
        <w:tc>
          <w:tcPr>
            <w:tcW w:w="704" w:type="dxa"/>
            <w:vAlign w:val="center"/>
          </w:tcPr>
          <w:p>
            <w:pPr>
              <w:jc w:val="center"/>
              <w:rPr>
                <w:color w:val="auto"/>
                <w:szCs w:val="21"/>
                <w:highlight w:val="none"/>
              </w:rPr>
            </w:pPr>
            <w:r>
              <w:rPr>
                <w:rFonts w:hint="eastAsia"/>
                <w:color w:val="auto"/>
                <w:szCs w:val="21"/>
                <w:highlight w:val="none"/>
              </w:rPr>
              <w:t>2400</w:t>
            </w:r>
          </w:p>
        </w:tc>
        <w:tc>
          <w:tcPr>
            <w:tcW w:w="628" w:type="dxa"/>
            <w:vAlign w:val="center"/>
          </w:tcPr>
          <w:p>
            <w:pPr>
              <w:jc w:val="center"/>
              <w:rPr>
                <w:color w:val="auto"/>
                <w:szCs w:val="21"/>
                <w:highlight w:val="none"/>
              </w:rPr>
            </w:pPr>
            <w:r>
              <w:rPr>
                <w:color w:val="auto"/>
                <w:szCs w:val="21"/>
                <w:highlight w:val="none"/>
              </w:rPr>
              <w:t>正常排放</w:t>
            </w:r>
          </w:p>
        </w:tc>
        <w:tc>
          <w:tcPr>
            <w:tcW w:w="82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0.2461</w:t>
            </w:r>
          </w:p>
        </w:tc>
        <w:tc>
          <w:tcPr>
            <w:tcW w:w="664"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0.0011</w:t>
            </w:r>
          </w:p>
        </w:tc>
      </w:tr>
    </w:tbl>
    <w:p>
      <w:pPr>
        <w:spacing w:line="360" w:lineRule="auto"/>
        <w:jc w:val="center"/>
        <w:rPr>
          <w:b/>
          <w:snapToGrid w:val="0"/>
          <w:color w:val="auto"/>
          <w:sz w:val="24"/>
          <w:highlight w:val="none"/>
        </w:rPr>
      </w:pPr>
      <w:r>
        <w:rPr>
          <w:b/>
          <w:snapToGrid w:val="0"/>
          <w:color w:val="auto"/>
          <w:sz w:val="24"/>
          <w:highlight w:val="none"/>
        </w:rPr>
        <w:t>表5.2-4  项目近圆形面源排污情况一览表</w:t>
      </w:r>
    </w:p>
    <w:tbl>
      <w:tblPr>
        <w:tblStyle w:val="56"/>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79"/>
        <w:gridCol w:w="857"/>
        <w:gridCol w:w="772"/>
        <w:gridCol w:w="731"/>
        <w:gridCol w:w="1121"/>
        <w:gridCol w:w="1247"/>
        <w:gridCol w:w="713"/>
        <w:gridCol w:w="974"/>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Merge w:val="restart"/>
            <w:shd w:val="clear" w:color="auto" w:fill="auto"/>
            <w:vAlign w:val="center"/>
          </w:tcPr>
          <w:p>
            <w:pPr>
              <w:jc w:val="center"/>
              <w:rPr>
                <w:b/>
                <w:color w:val="auto"/>
                <w:szCs w:val="21"/>
                <w:highlight w:val="none"/>
              </w:rPr>
            </w:pPr>
            <w:r>
              <w:rPr>
                <w:b/>
                <w:color w:val="auto"/>
                <w:szCs w:val="21"/>
                <w:highlight w:val="none"/>
              </w:rPr>
              <w:t>名称</w:t>
            </w:r>
          </w:p>
        </w:tc>
        <w:tc>
          <w:tcPr>
            <w:tcW w:w="1536" w:type="dxa"/>
            <w:gridSpan w:val="2"/>
            <w:shd w:val="clear" w:color="auto" w:fill="auto"/>
            <w:vAlign w:val="center"/>
          </w:tcPr>
          <w:p>
            <w:pPr>
              <w:jc w:val="center"/>
              <w:rPr>
                <w:b/>
                <w:color w:val="auto"/>
                <w:szCs w:val="21"/>
                <w:highlight w:val="none"/>
              </w:rPr>
            </w:pPr>
            <w:r>
              <w:rPr>
                <w:b/>
                <w:color w:val="auto"/>
                <w:szCs w:val="21"/>
                <w:highlight w:val="none"/>
              </w:rPr>
              <w:t>面源中心坐标</w:t>
            </w:r>
          </w:p>
          <w:p>
            <w:pPr>
              <w:jc w:val="center"/>
              <w:rPr>
                <w:b/>
                <w:color w:val="auto"/>
                <w:szCs w:val="21"/>
                <w:highlight w:val="none"/>
              </w:rPr>
            </w:pPr>
            <w:r>
              <w:rPr>
                <w:b/>
                <w:color w:val="auto"/>
                <w:szCs w:val="21"/>
                <w:highlight w:val="none"/>
              </w:rPr>
              <w:t>/°</w:t>
            </w:r>
          </w:p>
        </w:tc>
        <w:tc>
          <w:tcPr>
            <w:tcW w:w="772" w:type="dxa"/>
            <w:vMerge w:val="restart"/>
            <w:shd w:val="clear" w:color="auto" w:fill="auto"/>
            <w:vAlign w:val="center"/>
          </w:tcPr>
          <w:p>
            <w:pPr>
              <w:jc w:val="center"/>
              <w:rPr>
                <w:b/>
                <w:color w:val="auto"/>
                <w:szCs w:val="21"/>
                <w:highlight w:val="none"/>
              </w:rPr>
            </w:pPr>
            <w:r>
              <w:rPr>
                <w:b/>
                <w:color w:val="auto"/>
                <w:szCs w:val="21"/>
                <w:highlight w:val="none"/>
              </w:rPr>
              <w:t>面源海拔高度/m</w:t>
            </w:r>
          </w:p>
        </w:tc>
        <w:tc>
          <w:tcPr>
            <w:tcW w:w="731" w:type="dxa"/>
            <w:vMerge w:val="restart"/>
            <w:shd w:val="clear" w:color="auto" w:fill="auto"/>
            <w:vAlign w:val="center"/>
          </w:tcPr>
          <w:p>
            <w:pPr>
              <w:jc w:val="center"/>
              <w:rPr>
                <w:b/>
                <w:color w:val="auto"/>
                <w:szCs w:val="21"/>
                <w:highlight w:val="none"/>
              </w:rPr>
            </w:pPr>
            <w:r>
              <w:rPr>
                <w:b/>
                <w:color w:val="auto"/>
                <w:szCs w:val="21"/>
                <w:highlight w:val="none"/>
              </w:rPr>
              <w:t>面源半径/m</w:t>
            </w:r>
          </w:p>
        </w:tc>
        <w:tc>
          <w:tcPr>
            <w:tcW w:w="1121" w:type="dxa"/>
            <w:vMerge w:val="restart"/>
            <w:shd w:val="clear" w:color="auto" w:fill="auto"/>
            <w:vAlign w:val="center"/>
          </w:tcPr>
          <w:p>
            <w:pPr>
              <w:jc w:val="center"/>
              <w:rPr>
                <w:b/>
                <w:color w:val="auto"/>
                <w:szCs w:val="21"/>
                <w:highlight w:val="none"/>
              </w:rPr>
            </w:pPr>
            <w:r>
              <w:rPr>
                <w:b/>
                <w:color w:val="auto"/>
                <w:szCs w:val="21"/>
                <w:highlight w:val="none"/>
              </w:rPr>
              <w:t>面源有效排放高度/m</w:t>
            </w:r>
          </w:p>
        </w:tc>
        <w:tc>
          <w:tcPr>
            <w:tcW w:w="1247" w:type="dxa"/>
            <w:vMerge w:val="restart"/>
            <w:shd w:val="clear" w:color="auto" w:fill="auto"/>
            <w:vAlign w:val="center"/>
          </w:tcPr>
          <w:p>
            <w:pPr>
              <w:jc w:val="center"/>
              <w:rPr>
                <w:b/>
                <w:color w:val="auto"/>
                <w:szCs w:val="21"/>
                <w:highlight w:val="none"/>
              </w:rPr>
            </w:pPr>
            <w:r>
              <w:rPr>
                <w:b/>
                <w:color w:val="auto"/>
                <w:szCs w:val="21"/>
                <w:highlight w:val="none"/>
              </w:rPr>
              <w:t>年排放小时数/h</w:t>
            </w:r>
          </w:p>
        </w:tc>
        <w:tc>
          <w:tcPr>
            <w:tcW w:w="713" w:type="dxa"/>
            <w:vMerge w:val="restart"/>
            <w:shd w:val="clear" w:color="auto" w:fill="auto"/>
            <w:vAlign w:val="center"/>
          </w:tcPr>
          <w:p>
            <w:pPr>
              <w:jc w:val="center"/>
              <w:rPr>
                <w:b/>
                <w:color w:val="auto"/>
                <w:szCs w:val="21"/>
                <w:highlight w:val="none"/>
              </w:rPr>
            </w:pPr>
            <w:r>
              <w:rPr>
                <w:b/>
                <w:color w:val="auto"/>
                <w:szCs w:val="21"/>
                <w:highlight w:val="none"/>
              </w:rPr>
              <w:t>排放工况</w:t>
            </w:r>
          </w:p>
        </w:tc>
        <w:tc>
          <w:tcPr>
            <w:tcW w:w="1770" w:type="dxa"/>
            <w:gridSpan w:val="2"/>
            <w:vMerge w:val="restart"/>
            <w:shd w:val="clear" w:color="auto" w:fill="auto"/>
            <w:vAlign w:val="center"/>
          </w:tcPr>
          <w:p>
            <w:pPr>
              <w:jc w:val="center"/>
              <w:rPr>
                <w:b/>
                <w:color w:val="auto"/>
                <w:szCs w:val="21"/>
                <w:highlight w:val="none"/>
              </w:rPr>
            </w:pPr>
            <w:r>
              <w:rPr>
                <w:b/>
                <w:color w:val="auto"/>
                <w:szCs w:val="21"/>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Merge w:val="continue"/>
            <w:shd w:val="clear" w:color="auto" w:fill="auto"/>
            <w:vAlign w:val="center"/>
          </w:tcPr>
          <w:p>
            <w:pPr>
              <w:rPr>
                <w:color w:val="auto"/>
                <w:szCs w:val="21"/>
                <w:highlight w:val="none"/>
              </w:rPr>
            </w:pPr>
          </w:p>
        </w:tc>
        <w:tc>
          <w:tcPr>
            <w:tcW w:w="679" w:type="dxa"/>
            <w:shd w:val="clear" w:color="auto" w:fill="auto"/>
            <w:vAlign w:val="center"/>
          </w:tcPr>
          <w:p>
            <w:pPr>
              <w:jc w:val="center"/>
              <w:rPr>
                <w:color w:val="auto"/>
                <w:szCs w:val="21"/>
                <w:highlight w:val="none"/>
              </w:rPr>
            </w:pPr>
            <w:r>
              <w:rPr>
                <w:color w:val="auto"/>
                <w:szCs w:val="21"/>
                <w:highlight w:val="none"/>
              </w:rPr>
              <w:t>经度</w:t>
            </w:r>
          </w:p>
        </w:tc>
        <w:tc>
          <w:tcPr>
            <w:tcW w:w="857" w:type="dxa"/>
            <w:shd w:val="clear" w:color="auto" w:fill="auto"/>
            <w:vAlign w:val="center"/>
          </w:tcPr>
          <w:p>
            <w:pPr>
              <w:jc w:val="center"/>
              <w:rPr>
                <w:color w:val="auto"/>
                <w:szCs w:val="21"/>
                <w:highlight w:val="none"/>
              </w:rPr>
            </w:pPr>
            <w:r>
              <w:rPr>
                <w:color w:val="auto"/>
                <w:szCs w:val="21"/>
                <w:highlight w:val="none"/>
              </w:rPr>
              <w:t>纬度</w:t>
            </w:r>
          </w:p>
        </w:tc>
        <w:tc>
          <w:tcPr>
            <w:tcW w:w="772" w:type="dxa"/>
            <w:vMerge w:val="continue"/>
            <w:shd w:val="clear" w:color="auto" w:fill="auto"/>
            <w:vAlign w:val="center"/>
          </w:tcPr>
          <w:p>
            <w:pPr>
              <w:rPr>
                <w:color w:val="auto"/>
                <w:szCs w:val="21"/>
                <w:highlight w:val="none"/>
              </w:rPr>
            </w:pPr>
          </w:p>
        </w:tc>
        <w:tc>
          <w:tcPr>
            <w:tcW w:w="731" w:type="dxa"/>
            <w:vMerge w:val="continue"/>
            <w:shd w:val="clear" w:color="auto" w:fill="auto"/>
            <w:vAlign w:val="center"/>
          </w:tcPr>
          <w:p>
            <w:pPr>
              <w:rPr>
                <w:color w:val="auto"/>
                <w:szCs w:val="21"/>
                <w:highlight w:val="none"/>
              </w:rPr>
            </w:pPr>
          </w:p>
        </w:tc>
        <w:tc>
          <w:tcPr>
            <w:tcW w:w="1121" w:type="dxa"/>
            <w:vMerge w:val="continue"/>
            <w:shd w:val="clear" w:color="auto" w:fill="auto"/>
            <w:vAlign w:val="center"/>
          </w:tcPr>
          <w:p>
            <w:pPr>
              <w:rPr>
                <w:color w:val="auto"/>
                <w:szCs w:val="21"/>
                <w:highlight w:val="none"/>
              </w:rPr>
            </w:pPr>
          </w:p>
        </w:tc>
        <w:tc>
          <w:tcPr>
            <w:tcW w:w="1247" w:type="dxa"/>
            <w:vMerge w:val="continue"/>
            <w:shd w:val="clear" w:color="auto" w:fill="auto"/>
            <w:vAlign w:val="center"/>
          </w:tcPr>
          <w:p>
            <w:pPr>
              <w:rPr>
                <w:color w:val="auto"/>
                <w:szCs w:val="21"/>
                <w:highlight w:val="none"/>
              </w:rPr>
            </w:pPr>
          </w:p>
        </w:tc>
        <w:tc>
          <w:tcPr>
            <w:tcW w:w="713" w:type="dxa"/>
            <w:vMerge w:val="continue"/>
            <w:shd w:val="clear" w:color="auto" w:fill="auto"/>
            <w:vAlign w:val="center"/>
          </w:tcPr>
          <w:p>
            <w:pPr>
              <w:rPr>
                <w:color w:val="auto"/>
                <w:szCs w:val="21"/>
                <w:highlight w:val="none"/>
              </w:rPr>
            </w:pPr>
          </w:p>
        </w:tc>
        <w:tc>
          <w:tcPr>
            <w:tcW w:w="1770" w:type="dxa"/>
            <w:gridSpan w:val="2"/>
            <w:vMerge w:val="continue"/>
            <w:shd w:val="clear" w:color="auto" w:fill="auto"/>
            <w:vAlign w:val="center"/>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Merge w:val="restart"/>
            <w:shd w:val="clear" w:color="auto" w:fill="auto"/>
            <w:vAlign w:val="center"/>
          </w:tcPr>
          <w:p>
            <w:pPr>
              <w:jc w:val="center"/>
              <w:rPr>
                <w:color w:val="auto"/>
                <w:szCs w:val="21"/>
                <w:highlight w:val="none"/>
              </w:rPr>
            </w:pPr>
            <w:r>
              <w:rPr>
                <w:color w:val="auto"/>
                <w:szCs w:val="21"/>
                <w:highlight w:val="none"/>
              </w:rPr>
              <w:t>生产</w:t>
            </w:r>
            <w:r>
              <w:rPr>
                <w:rFonts w:hint="eastAsia"/>
                <w:color w:val="auto"/>
                <w:szCs w:val="21"/>
                <w:highlight w:val="none"/>
              </w:rPr>
              <w:t>厂房</w:t>
            </w:r>
          </w:p>
        </w:tc>
        <w:tc>
          <w:tcPr>
            <w:tcW w:w="679" w:type="dxa"/>
            <w:vMerge w:val="restart"/>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103.229561</w:t>
            </w:r>
          </w:p>
        </w:tc>
        <w:tc>
          <w:tcPr>
            <w:tcW w:w="857" w:type="dxa"/>
            <w:vMerge w:val="restart"/>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25.544098</w:t>
            </w:r>
          </w:p>
        </w:tc>
        <w:tc>
          <w:tcPr>
            <w:tcW w:w="772" w:type="dxa"/>
            <w:vMerge w:val="restart"/>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2040.7</w:t>
            </w:r>
          </w:p>
        </w:tc>
        <w:tc>
          <w:tcPr>
            <w:tcW w:w="731" w:type="dxa"/>
            <w:vMerge w:val="restart"/>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12.62</w:t>
            </w:r>
          </w:p>
        </w:tc>
        <w:tc>
          <w:tcPr>
            <w:tcW w:w="1121" w:type="dxa"/>
            <w:vMerge w:val="restart"/>
            <w:shd w:val="clear" w:color="auto" w:fill="auto"/>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8</w:t>
            </w:r>
          </w:p>
        </w:tc>
        <w:tc>
          <w:tcPr>
            <w:tcW w:w="1247" w:type="dxa"/>
            <w:vMerge w:val="restart"/>
            <w:shd w:val="clear" w:color="auto" w:fill="auto"/>
            <w:vAlign w:val="center"/>
          </w:tcPr>
          <w:p>
            <w:pPr>
              <w:jc w:val="center"/>
              <w:rPr>
                <w:color w:val="auto"/>
                <w:szCs w:val="21"/>
                <w:highlight w:val="none"/>
              </w:rPr>
            </w:pPr>
            <w:r>
              <w:rPr>
                <w:rFonts w:hint="eastAsia"/>
                <w:color w:val="auto"/>
                <w:szCs w:val="21"/>
                <w:highlight w:val="none"/>
              </w:rPr>
              <w:t>2400</w:t>
            </w:r>
          </w:p>
        </w:tc>
        <w:tc>
          <w:tcPr>
            <w:tcW w:w="713" w:type="dxa"/>
            <w:vMerge w:val="restart"/>
            <w:shd w:val="clear" w:color="auto" w:fill="auto"/>
            <w:vAlign w:val="center"/>
          </w:tcPr>
          <w:p>
            <w:pPr>
              <w:jc w:val="center"/>
              <w:rPr>
                <w:color w:val="auto"/>
                <w:szCs w:val="21"/>
                <w:highlight w:val="none"/>
              </w:rPr>
            </w:pPr>
            <w:r>
              <w:rPr>
                <w:color w:val="auto"/>
                <w:szCs w:val="21"/>
                <w:highlight w:val="none"/>
              </w:rPr>
              <w:t>正常排放</w:t>
            </w:r>
          </w:p>
        </w:tc>
        <w:tc>
          <w:tcPr>
            <w:tcW w:w="974" w:type="dxa"/>
            <w:shd w:val="clear" w:color="auto" w:fill="auto"/>
            <w:vAlign w:val="center"/>
          </w:tcPr>
          <w:p>
            <w:pPr>
              <w:jc w:val="center"/>
              <w:rPr>
                <w:color w:val="auto"/>
                <w:szCs w:val="21"/>
                <w:highlight w:val="none"/>
              </w:rPr>
            </w:pPr>
            <w:r>
              <w:rPr>
                <w:color w:val="auto"/>
                <w:szCs w:val="21"/>
                <w:highlight w:val="none"/>
              </w:rPr>
              <w:t>非甲烷总烃</w:t>
            </w:r>
          </w:p>
        </w:tc>
        <w:tc>
          <w:tcPr>
            <w:tcW w:w="796" w:type="dxa"/>
          </w:tcPr>
          <w:p>
            <w:pPr>
              <w:jc w:val="center"/>
              <w:rPr>
                <w:color w:val="auto"/>
                <w:szCs w:val="21"/>
                <w:highlight w:val="none"/>
              </w:rPr>
            </w:pPr>
            <w:r>
              <w:rPr>
                <w:rFonts w:hint="eastAsia"/>
                <w:color w:val="auto"/>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54" w:type="dxa"/>
            <w:vMerge w:val="continue"/>
            <w:shd w:val="clear" w:color="auto" w:fill="auto"/>
            <w:vAlign w:val="center"/>
          </w:tcPr>
          <w:p>
            <w:pPr>
              <w:jc w:val="center"/>
              <w:rPr>
                <w:color w:val="auto"/>
                <w:szCs w:val="21"/>
                <w:highlight w:val="none"/>
              </w:rPr>
            </w:pPr>
          </w:p>
        </w:tc>
        <w:tc>
          <w:tcPr>
            <w:tcW w:w="679" w:type="dxa"/>
            <w:vMerge w:val="continue"/>
            <w:shd w:val="clear" w:color="auto" w:fill="auto"/>
            <w:vAlign w:val="center"/>
          </w:tcPr>
          <w:p>
            <w:pPr>
              <w:jc w:val="center"/>
              <w:rPr>
                <w:color w:val="auto"/>
                <w:szCs w:val="21"/>
                <w:highlight w:val="none"/>
              </w:rPr>
            </w:pPr>
          </w:p>
        </w:tc>
        <w:tc>
          <w:tcPr>
            <w:tcW w:w="857" w:type="dxa"/>
            <w:vMerge w:val="continue"/>
            <w:shd w:val="clear" w:color="auto" w:fill="auto"/>
            <w:vAlign w:val="center"/>
          </w:tcPr>
          <w:p>
            <w:pPr>
              <w:jc w:val="center"/>
              <w:rPr>
                <w:color w:val="auto"/>
                <w:szCs w:val="21"/>
                <w:highlight w:val="none"/>
              </w:rPr>
            </w:pPr>
          </w:p>
        </w:tc>
        <w:tc>
          <w:tcPr>
            <w:tcW w:w="772" w:type="dxa"/>
            <w:vMerge w:val="continue"/>
            <w:shd w:val="clear" w:color="auto" w:fill="auto"/>
            <w:vAlign w:val="center"/>
          </w:tcPr>
          <w:p>
            <w:pPr>
              <w:jc w:val="center"/>
              <w:rPr>
                <w:color w:val="auto"/>
                <w:szCs w:val="21"/>
                <w:highlight w:val="none"/>
              </w:rPr>
            </w:pPr>
          </w:p>
        </w:tc>
        <w:tc>
          <w:tcPr>
            <w:tcW w:w="731" w:type="dxa"/>
            <w:vMerge w:val="continue"/>
            <w:shd w:val="clear" w:color="auto" w:fill="auto"/>
            <w:vAlign w:val="center"/>
          </w:tcPr>
          <w:p>
            <w:pPr>
              <w:jc w:val="center"/>
              <w:rPr>
                <w:color w:val="auto"/>
                <w:szCs w:val="21"/>
                <w:highlight w:val="none"/>
              </w:rPr>
            </w:pPr>
          </w:p>
        </w:tc>
        <w:tc>
          <w:tcPr>
            <w:tcW w:w="1121" w:type="dxa"/>
            <w:vMerge w:val="continue"/>
            <w:shd w:val="clear" w:color="auto" w:fill="auto"/>
            <w:vAlign w:val="center"/>
          </w:tcPr>
          <w:p>
            <w:pPr>
              <w:jc w:val="center"/>
              <w:rPr>
                <w:color w:val="auto"/>
                <w:szCs w:val="21"/>
                <w:highlight w:val="none"/>
              </w:rPr>
            </w:pPr>
          </w:p>
        </w:tc>
        <w:tc>
          <w:tcPr>
            <w:tcW w:w="1247" w:type="dxa"/>
            <w:vMerge w:val="continue"/>
            <w:shd w:val="clear" w:color="auto" w:fill="auto"/>
            <w:vAlign w:val="center"/>
          </w:tcPr>
          <w:p>
            <w:pPr>
              <w:jc w:val="center"/>
              <w:rPr>
                <w:color w:val="auto"/>
                <w:szCs w:val="21"/>
                <w:highlight w:val="none"/>
              </w:rPr>
            </w:pPr>
          </w:p>
        </w:tc>
        <w:tc>
          <w:tcPr>
            <w:tcW w:w="713" w:type="dxa"/>
            <w:vMerge w:val="continue"/>
            <w:shd w:val="clear" w:color="auto" w:fill="auto"/>
            <w:vAlign w:val="center"/>
          </w:tcPr>
          <w:p>
            <w:pPr>
              <w:jc w:val="center"/>
              <w:rPr>
                <w:color w:val="auto"/>
                <w:szCs w:val="21"/>
                <w:highlight w:val="none"/>
              </w:rPr>
            </w:pPr>
          </w:p>
        </w:tc>
        <w:tc>
          <w:tcPr>
            <w:tcW w:w="974" w:type="dxa"/>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0.422</w:t>
            </w:r>
          </w:p>
        </w:tc>
        <w:tc>
          <w:tcPr>
            <w:tcW w:w="79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0.0263</w:t>
            </w:r>
          </w:p>
        </w:tc>
      </w:tr>
    </w:tbl>
    <w:p>
      <w:pPr>
        <w:spacing w:line="360" w:lineRule="auto"/>
        <w:ind w:firstLine="482" w:firstLineChars="200"/>
        <w:rPr>
          <w:b/>
          <w:color w:val="auto"/>
          <w:sz w:val="24"/>
          <w:highlight w:val="none"/>
        </w:rPr>
      </w:pPr>
      <w:r>
        <w:rPr>
          <w:b/>
          <w:color w:val="auto"/>
          <w:sz w:val="24"/>
          <w:highlight w:val="none"/>
        </w:rPr>
        <w:t>Ⅱ、非正常排放：</w:t>
      </w:r>
    </w:p>
    <w:p>
      <w:pPr>
        <w:spacing w:line="360" w:lineRule="auto"/>
        <w:ind w:firstLine="480" w:firstLineChars="200"/>
        <w:rPr>
          <w:b/>
          <w:color w:val="auto"/>
          <w:sz w:val="24"/>
          <w:highlight w:val="none"/>
        </w:rPr>
      </w:pPr>
      <w:r>
        <w:rPr>
          <w:color w:val="auto"/>
          <w:sz w:val="24"/>
          <w:highlight w:val="none"/>
        </w:rPr>
        <w:t>项目非正常工况考虑设置为集气装置正常，废气处理装置</w:t>
      </w:r>
      <w:r>
        <w:rPr>
          <w:rFonts w:hint="eastAsia"/>
          <w:color w:val="auto"/>
          <w:sz w:val="24"/>
          <w:highlight w:val="none"/>
        </w:rPr>
        <w:t>中有机废气综合废气</w:t>
      </w:r>
      <w:r>
        <w:rPr>
          <w:color w:val="auto"/>
          <w:sz w:val="24"/>
          <w:highlight w:val="none"/>
        </w:rPr>
        <w:t>处理效率下降为20%</w:t>
      </w:r>
      <w:r>
        <w:rPr>
          <w:rFonts w:hint="eastAsia"/>
          <w:color w:val="auto"/>
          <w:sz w:val="24"/>
          <w:highlight w:val="none"/>
          <w:lang w:eastAsia="zh-CN"/>
        </w:rPr>
        <w:t>，</w:t>
      </w:r>
      <w:r>
        <w:rPr>
          <w:rFonts w:hint="eastAsia"/>
          <w:color w:val="auto"/>
          <w:sz w:val="24"/>
          <w:highlight w:val="none"/>
          <w:lang w:val="en-US" w:eastAsia="zh-CN"/>
        </w:rPr>
        <w:t>布袋除尘器处理效率下降为0%</w:t>
      </w:r>
      <w:r>
        <w:rPr>
          <w:color w:val="auto"/>
          <w:sz w:val="24"/>
          <w:highlight w:val="none"/>
        </w:rPr>
        <w:t>时废气排放情况。则项目非正常工况下，项目排污情况详见表5.2-5。</w:t>
      </w:r>
    </w:p>
    <w:p>
      <w:pPr>
        <w:spacing w:line="360" w:lineRule="auto"/>
        <w:jc w:val="center"/>
        <w:rPr>
          <w:b/>
          <w:color w:val="auto"/>
          <w:sz w:val="24"/>
          <w:highlight w:val="none"/>
        </w:rPr>
      </w:pPr>
      <w:r>
        <w:rPr>
          <w:b/>
          <w:color w:val="auto"/>
          <w:sz w:val="24"/>
          <w:highlight w:val="none"/>
        </w:rPr>
        <w:t>表5.2-5  项目废气非正常排放情况一览表</w:t>
      </w:r>
    </w:p>
    <w:tbl>
      <w:tblPr>
        <w:tblStyle w:val="56"/>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050"/>
        <w:gridCol w:w="1023"/>
        <w:gridCol w:w="807"/>
        <w:gridCol w:w="532"/>
        <w:gridCol w:w="650"/>
        <w:gridCol w:w="833"/>
        <w:gridCol w:w="530"/>
        <w:gridCol w:w="636"/>
        <w:gridCol w:w="714"/>
        <w:gridCol w:w="545"/>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jc w:val="center"/>
              <w:rPr>
                <w:color w:val="auto"/>
                <w:szCs w:val="21"/>
                <w:highlight w:val="none"/>
              </w:rPr>
            </w:pPr>
            <w:r>
              <w:rPr>
                <w:color w:val="auto"/>
                <w:szCs w:val="21"/>
                <w:highlight w:val="none"/>
              </w:rPr>
              <w:t>名称</w:t>
            </w:r>
          </w:p>
        </w:tc>
        <w:tc>
          <w:tcPr>
            <w:tcW w:w="2073" w:type="dxa"/>
            <w:gridSpan w:val="2"/>
            <w:vAlign w:val="center"/>
          </w:tcPr>
          <w:p>
            <w:pPr>
              <w:jc w:val="center"/>
              <w:rPr>
                <w:color w:val="auto"/>
                <w:szCs w:val="21"/>
                <w:highlight w:val="none"/>
              </w:rPr>
            </w:pPr>
            <w:r>
              <w:rPr>
                <w:color w:val="auto"/>
                <w:szCs w:val="21"/>
                <w:highlight w:val="none"/>
              </w:rPr>
              <w:t>排气筒底部中心坐标/m</w:t>
            </w:r>
          </w:p>
        </w:tc>
        <w:tc>
          <w:tcPr>
            <w:tcW w:w="807" w:type="dxa"/>
            <w:vMerge w:val="restart"/>
            <w:vAlign w:val="center"/>
          </w:tcPr>
          <w:p>
            <w:pPr>
              <w:jc w:val="center"/>
              <w:rPr>
                <w:color w:val="auto"/>
                <w:szCs w:val="21"/>
                <w:highlight w:val="none"/>
              </w:rPr>
            </w:pPr>
            <w:r>
              <w:rPr>
                <w:color w:val="auto"/>
                <w:szCs w:val="21"/>
                <w:highlight w:val="none"/>
              </w:rPr>
              <w:t>排气筒底部海拔高度/m</w:t>
            </w:r>
          </w:p>
        </w:tc>
        <w:tc>
          <w:tcPr>
            <w:tcW w:w="532" w:type="dxa"/>
            <w:vMerge w:val="restart"/>
            <w:vAlign w:val="center"/>
          </w:tcPr>
          <w:p>
            <w:pPr>
              <w:jc w:val="center"/>
              <w:rPr>
                <w:color w:val="auto"/>
                <w:szCs w:val="21"/>
                <w:highlight w:val="none"/>
              </w:rPr>
            </w:pPr>
            <w:r>
              <w:rPr>
                <w:color w:val="auto"/>
                <w:szCs w:val="21"/>
                <w:highlight w:val="none"/>
              </w:rPr>
              <w:t>排气筒高度/m</w:t>
            </w:r>
          </w:p>
        </w:tc>
        <w:tc>
          <w:tcPr>
            <w:tcW w:w="650" w:type="dxa"/>
            <w:vMerge w:val="restart"/>
            <w:vAlign w:val="center"/>
          </w:tcPr>
          <w:p>
            <w:pPr>
              <w:jc w:val="center"/>
              <w:rPr>
                <w:color w:val="auto"/>
                <w:szCs w:val="21"/>
                <w:highlight w:val="none"/>
              </w:rPr>
            </w:pPr>
            <w:r>
              <w:rPr>
                <w:color w:val="auto"/>
                <w:szCs w:val="21"/>
                <w:highlight w:val="none"/>
              </w:rPr>
              <w:t>排气筒出口内径/m</w:t>
            </w:r>
          </w:p>
        </w:tc>
        <w:tc>
          <w:tcPr>
            <w:tcW w:w="833" w:type="dxa"/>
            <w:vMerge w:val="restart"/>
            <w:vAlign w:val="center"/>
          </w:tcPr>
          <w:p>
            <w:pPr>
              <w:jc w:val="center"/>
              <w:rPr>
                <w:color w:val="auto"/>
                <w:szCs w:val="21"/>
                <w:highlight w:val="none"/>
              </w:rPr>
            </w:pPr>
            <w:r>
              <w:rPr>
                <w:color w:val="auto"/>
                <w:szCs w:val="21"/>
                <w:highlight w:val="none"/>
              </w:rPr>
              <w:t>烟气流速/（m/s）</w:t>
            </w:r>
          </w:p>
        </w:tc>
        <w:tc>
          <w:tcPr>
            <w:tcW w:w="530" w:type="dxa"/>
            <w:vMerge w:val="restart"/>
            <w:vAlign w:val="center"/>
          </w:tcPr>
          <w:p>
            <w:pPr>
              <w:jc w:val="center"/>
              <w:rPr>
                <w:color w:val="auto"/>
                <w:szCs w:val="21"/>
                <w:highlight w:val="none"/>
              </w:rPr>
            </w:pPr>
            <w:r>
              <w:rPr>
                <w:color w:val="auto"/>
                <w:szCs w:val="21"/>
                <w:highlight w:val="none"/>
              </w:rPr>
              <w:t>烟气温度/℃</w:t>
            </w:r>
          </w:p>
        </w:tc>
        <w:tc>
          <w:tcPr>
            <w:tcW w:w="636" w:type="dxa"/>
            <w:vMerge w:val="restart"/>
            <w:vAlign w:val="center"/>
          </w:tcPr>
          <w:p>
            <w:pPr>
              <w:jc w:val="center"/>
              <w:rPr>
                <w:color w:val="auto"/>
                <w:szCs w:val="21"/>
                <w:highlight w:val="none"/>
              </w:rPr>
            </w:pPr>
            <w:r>
              <w:rPr>
                <w:color w:val="auto"/>
                <w:szCs w:val="21"/>
                <w:highlight w:val="none"/>
              </w:rPr>
              <w:t>年排放小时数/h</w:t>
            </w:r>
          </w:p>
        </w:tc>
        <w:tc>
          <w:tcPr>
            <w:tcW w:w="714" w:type="dxa"/>
            <w:vMerge w:val="restart"/>
            <w:vAlign w:val="center"/>
          </w:tcPr>
          <w:p>
            <w:pPr>
              <w:jc w:val="center"/>
              <w:rPr>
                <w:color w:val="auto"/>
                <w:szCs w:val="21"/>
                <w:highlight w:val="none"/>
              </w:rPr>
            </w:pPr>
            <w:r>
              <w:rPr>
                <w:color w:val="auto"/>
                <w:szCs w:val="21"/>
                <w:highlight w:val="none"/>
              </w:rPr>
              <w:t>排放</w:t>
            </w:r>
          </w:p>
          <w:p>
            <w:pPr>
              <w:jc w:val="center"/>
              <w:rPr>
                <w:color w:val="auto"/>
                <w:szCs w:val="21"/>
                <w:highlight w:val="none"/>
              </w:rPr>
            </w:pPr>
            <w:r>
              <w:rPr>
                <w:color w:val="auto"/>
                <w:szCs w:val="21"/>
                <w:highlight w:val="none"/>
              </w:rPr>
              <w:t>工况</w:t>
            </w:r>
          </w:p>
        </w:tc>
        <w:tc>
          <w:tcPr>
            <w:tcW w:w="1091" w:type="dxa"/>
            <w:gridSpan w:val="2"/>
            <w:vAlign w:val="center"/>
          </w:tcPr>
          <w:p>
            <w:pPr>
              <w:jc w:val="center"/>
              <w:rPr>
                <w:color w:val="auto"/>
                <w:szCs w:val="21"/>
                <w:highlight w:val="none"/>
              </w:rPr>
            </w:pPr>
            <w:r>
              <w:rPr>
                <w:color w:val="auto"/>
                <w:szCs w:val="21"/>
                <w:highlight w:val="none"/>
              </w:rPr>
              <w:t>污染物</w:t>
            </w:r>
          </w:p>
          <w:p>
            <w:pPr>
              <w:jc w:val="center"/>
              <w:rPr>
                <w:color w:val="auto"/>
                <w:szCs w:val="21"/>
                <w:highlight w:val="none"/>
              </w:rPr>
            </w:pPr>
            <w:r>
              <w:rPr>
                <w:color w:val="auto"/>
                <w:szCs w:val="21"/>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jc w:val="center"/>
              <w:rPr>
                <w:color w:val="auto"/>
                <w:szCs w:val="21"/>
                <w:highlight w:val="none"/>
              </w:rPr>
            </w:pPr>
          </w:p>
        </w:tc>
        <w:tc>
          <w:tcPr>
            <w:tcW w:w="1050" w:type="dxa"/>
            <w:vAlign w:val="center"/>
          </w:tcPr>
          <w:p>
            <w:pPr>
              <w:jc w:val="center"/>
              <w:rPr>
                <w:color w:val="auto"/>
                <w:szCs w:val="21"/>
                <w:highlight w:val="none"/>
              </w:rPr>
            </w:pPr>
            <w:r>
              <w:rPr>
                <w:color w:val="auto"/>
                <w:szCs w:val="21"/>
                <w:highlight w:val="none"/>
              </w:rPr>
              <w:t>X</w:t>
            </w:r>
          </w:p>
        </w:tc>
        <w:tc>
          <w:tcPr>
            <w:tcW w:w="1023" w:type="dxa"/>
            <w:vAlign w:val="center"/>
          </w:tcPr>
          <w:p>
            <w:pPr>
              <w:jc w:val="center"/>
              <w:rPr>
                <w:color w:val="auto"/>
                <w:szCs w:val="21"/>
                <w:highlight w:val="none"/>
              </w:rPr>
            </w:pPr>
            <w:r>
              <w:rPr>
                <w:color w:val="auto"/>
                <w:szCs w:val="21"/>
                <w:highlight w:val="none"/>
              </w:rPr>
              <w:t>Y</w:t>
            </w:r>
          </w:p>
        </w:tc>
        <w:tc>
          <w:tcPr>
            <w:tcW w:w="807" w:type="dxa"/>
            <w:vMerge w:val="continue"/>
            <w:vAlign w:val="center"/>
          </w:tcPr>
          <w:p>
            <w:pPr>
              <w:jc w:val="center"/>
              <w:rPr>
                <w:color w:val="auto"/>
                <w:szCs w:val="21"/>
                <w:highlight w:val="none"/>
              </w:rPr>
            </w:pPr>
          </w:p>
        </w:tc>
        <w:tc>
          <w:tcPr>
            <w:tcW w:w="532" w:type="dxa"/>
            <w:vMerge w:val="continue"/>
            <w:vAlign w:val="center"/>
          </w:tcPr>
          <w:p>
            <w:pPr>
              <w:jc w:val="center"/>
              <w:rPr>
                <w:color w:val="auto"/>
                <w:szCs w:val="21"/>
                <w:highlight w:val="none"/>
              </w:rPr>
            </w:pPr>
          </w:p>
        </w:tc>
        <w:tc>
          <w:tcPr>
            <w:tcW w:w="650" w:type="dxa"/>
            <w:vMerge w:val="continue"/>
            <w:vAlign w:val="center"/>
          </w:tcPr>
          <w:p>
            <w:pPr>
              <w:jc w:val="center"/>
              <w:rPr>
                <w:color w:val="auto"/>
                <w:szCs w:val="21"/>
                <w:highlight w:val="none"/>
              </w:rPr>
            </w:pPr>
          </w:p>
        </w:tc>
        <w:tc>
          <w:tcPr>
            <w:tcW w:w="833" w:type="dxa"/>
            <w:vMerge w:val="continue"/>
            <w:vAlign w:val="center"/>
          </w:tcPr>
          <w:p>
            <w:pPr>
              <w:jc w:val="center"/>
              <w:rPr>
                <w:color w:val="auto"/>
                <w:szCs w:val="21"/>
                <w:highlight w:val="none"/>
              </w:rPr>
            </w:pPr>
          </w:p>
        </w:tc>
        <w:tc>
          <w:tcPr>
            <w:tcW w:w="530" w:type="dxa"/>
            <w:vMerge w:val="continue"/>
            <w:vAlign w:val="center"/>
          </w:tcPr>
          <w:p>
            <w:pPr>
              <w:jc w:val="center"/>
              <w:rPr>
                <w:color w:val="auto"/>
                <w:szCs w:val="21"/>
                <w:highlight w:val="none"/>
              </w:rPr>
            </w:pPr>
          </w:p>
        </w:tc>
        <w:tc>
          <w:tcPr>
            <w:tcW w:w="636" w:type="dxa"/>
            <w:vMerge w:val="continue"/>
            <w:vAlign w:val="center"/>
          </w:tcPr>
          <w:p>
            <w:pPr>
              <w:jc w:val="center"/>
              <w:rPr>
                <w:color w:val="auto"/>
                <w:szCs w:val="21"/>
                <w:highlight w:val="none"/>
              </w:rPr>
            </w:pPr>
          </w:p>
        </w:tc>
        <w:tc>
          <w:tcPr>
            <w:tcW w:w="714" w:type="dxa"/>
            <w:vMerge w:val="continue"/>
            <w:vAlign w:val="center"/>
          </w:tcPr>
          <w:p>
            <w:pPr>
              <w:jc w:val="center"/>
              <w:rPr>
                <w:color w:val="auto"/>
                <w:szCs w:val="21"/>
                <w:highlight w:val="none"/>
              </w:rPr>
            </w:pPr>
          </w:p>
        </w:tc>
        <w:tc>
          <w:tcPr>
            <w:tcW w:w="545" w:type="dxa"/>
            <w:vAlign w:val="center"/>
          </w:tcPr>
          <w:p>
            <w:pPr>
              <w:jc w:val="center"/>
              <w:rPr>
                <w:rFonts w:hint="eastAsia" w:eastAsia="宋体"/>
                <w:color w:val="auto"/>
                <w:szCs w:val="21"/>
                <w:highlight w:val="none"/>
                <w:lang w:eastAsia="zh-CN"/>
              </w:rPr>
            </w:pPr>
            <w:r>
              <w:rPr>
                <w:color w:val="auto"/>
                <w:szCs w:val="21"/>
                <w:highlight w:val="none"/>
              </w:rPr>
              <w:t>非甲烷</w:t>
            </w:r>
            <w:r>
              <w:rPr>
                <w:rFonts w:hint="eastAsia"/>
                <w:color w:val="auto"/>
                <w:szCs w:val="21"/>
                <w:highlight w:val="none"/>
                <w:lang w:val="en-US" w:eastAsia="zh-CN"/>
              </w:rPr>
              <w:t>总烃</w:t>
            </w:r>
          </w:p>
        </w:tc>
        <w:tc>
          <w:tcPr>
            <w:tcW w:w="546"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color w:val="auto"/>
                <w:szCs w:val="21"/>
                <w:highlight w:val="none"/>
              </w:rPr>
            </w:pPr>
            <w:r>
              <w:rPr>
                <w:color w:val="auto"/>
                <w:szCs w:val="21"/>
                <w:highlight w:val="none"/>
              </w:rPr>
              <w:t>1#排气筒</w:t>
            </w:r>
          </w:p>
        </w:tc>
        <w:tc>
          <w:tcPr>
            <w:tcW w:w="1050" w:type="dxa"/>
            <w:vAlign w:val="center"/>
          </w:tcPr>
          <w:p>
            <w:pPr>
              <w:jc w:val="center"/>
              <w:rPr>
                <w:color w:val="auto"/>
                <w:szCs w:val="21"/>
                <w:highlight w:val="none"/>
              </w:rPr>
            </w:pPr>
            <w:r>
              <w:rPr>
                <w:rFonts w:hint="eastAsia"/>
                <w:color w:val="auto"/>
                <w:szCs w:val="21"/>
                <w:highlight w:val="none"/>
                <w:lang w:val="en-US" w:eastAsia="zh-CN"/>
              </w:rPr>
              <w:t>103.229642</w:t>
            </w:r>
          </w:p>
        </w:tc>
        <w:tc>
          <w:tcPr>
            <w:tcW w:w="1023" w:type="dxa"/>
            <w:vAlign w:val="center"/>
          </w:tcPr>
          <w:p>
            <w:pPr>
              <w:jc w:val="center"/>
              <w:rPr>
                <w:color w:val="auto"/>
                <w:szCs w:val="21"/>
                <w:highlight w:val="none"/>
              </w:rPr>
            </w:pPr>
            <w:r>
              <w:rPr>
                <w:rFonts w:hint="eastAsia"/>
                <w:color w:val="auto"/>
                <w:szCs w:val="21"/>
                <w:highlight w:val="none"/>
                <w:lang w:val="en-US" w:eastAsia="zh-CN"/>
              </w:rPr>
              <w:t>25.544082</w:t>
            </w:r>
          </w:p>
        </w:tc>
        <w:tc>
          <w:tcPr>
            <w:tcW w:w="80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2040.7</w:t>
            </w:r>
          </w:p>
        </w:tc>
        <w:tc>
          <w:tcPr>
            <w:tcW w:w="53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650"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w:t>
            </w:r>
          </w:p>
        </w:tc>
        <w:tc>
          <w:tcPr>
            <w:tcW w:w="833"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15.9</w:t>
            </w:r>
          </w:p>
        </w:tc>
        <w:tc>
          <w:tcPr>
            <w:tcW w:w="530" w:type="dxa"/>
            <w:vAlign w:val="center"/>
          </w:tcPr>
          <w:p>
            <w:pPr>
              <w:jc w:val="center"/>
              <w:rPr>
                <w:color w:val="auto"/>
                <w:szCs w:val="21"/>
                <w:highlight w:val="none"/>
              </w:rPr>
            </w:pPr>
            <w:r>
              <w:rPr>
                <w:color w:val="auto"/>
                <w:szCs w:val="21"/>
                <w:highlight w:val="none"/>
              </w:rPr>
              <w:t>25</w:t>
            </w:r>
          </w:p>
        </w:tc>
        <w:tc>
          <w:tcPr>
            <w:tcW w:w="636" w:type="dxa"/>
            <w:vAlign w:val="center"/>
          </w:tcPr>
          <w:p>
            <w:pPr>
              <w:jc w:val="center"/>
              <w:rPr>
                <w:color w:val="auto"/>
                <w:szCs w:val="21"/>
                <w:highlight w:val="none"/>
              </w:rPr>
            </w:pPr>
            <w:r>
              <w:rPr>
                <w:rFonts w:hint="eastAsia"/>
                <w:color w:val="auto"/>
                <w:szCs w:val="21"/>
                <w:highlight w:val="none"/>
              </w:rPr>
              <w:t>24</w:t>
            </w:r>
            <w:r>
              <w:rPr>
                <w:color w:val="auto"/>
                <w:szCs w:val="21"/>
                <w:highlight w:val="none"/>
              </w:rPr>
              <w:t>00</w:t>
            </w:r>
          </w:p>
        </w:tc>
        <w:tc>
          <w:tcPr>
            <w:tcW w:w="714" w:type="dxa"/>
            <w:vAlign w:val="center"/>
          </w:tcPr>
          <w:p>
            <w:pPr>
              <w:jc w:val="center"/>
              <w:rPr>
                <w:color w:val="auto"/>
                <w:szCs w:val="21"/>
                <w:highlight w:val="none"/>
              </w:rPr>
            </w:pPr>
            <w:r>
              <w:rPr>
                <w:color w:val="auto"/>
                <w:szCs w:val="21"/>
                <w:highlight w:val="none"/>
              </w:rPr>
              <w:t>非正常排放</w:t>
            </w:r>
          </w:p>
        </w:tc>
        <w:tc>
          <w:tcPr>
            <w:tcW w:w="54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0.7875</w:t>
            </w:r>
          </w:p>
        </w:tc>
        <w:tc>
          <w:tcPr>
            <w:tcW w:w="546"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0.0065</w:t>
            </w:r>
          </w:p>
        </w:tc>
      </w:tr>
    </w:tbl>
    <w:p>
      <w:pPr>
        <w:spacing w:line="360" w:lineRule="auto"/>
        <w:ind w:firstLine="480" w:firstLineChars="200"/>
        <w:rPr>
          <w:color w:val="auto"/>
          <w:sz w:val="24"/>
          <w:highlight w:val="none"/>
        </w:rPr>
      </w:pPr>
      <w:r>
        <w:rPr>
          <w:color w:val="auto"/>
          <w:sz w:val="24"/>
          <w:highlight w:val="none"/>
        </w:rPr>
        <w:t>⑤预测结果与分析</w:t>
      </w:r>
    </w:p>
    <w:p>
      <w:pPr>
        <w:spacing w:line="360" w:lineRule="auto"/>
        <w:ind w:firstLine="480" w:firstLineChars="200"/>
        <w:rPr>
          <w:color w:val="auto"/>
          <w:sz w:val="24"/>
          <w:highlight w:val="none"/>
        </w:rPr>
      </w:pPr>
      <w:r>
        <w:rPr>
          <w:color w:val="auto"/>
          <w:sz w:val="24"/>
          <w:highlight w:val="none"/>
        </w:rPr>
        <w:t>1）废气预测结果与分析</w:t>
      </w:r>
    </w:p>
    <w:p>
      <w:pPr>
        <w:spacing w:line="360" w:lineRule="auto"/>
        <w:ind w:firstLine="482"/>
        <w:rPr>
          <w:b/>
          <w:color w:val="auto"/>
          <w:sz w:val="24"/>
          <w:szCs w:val="20"/>
          <w:highlight w:val="none"/>
        </w:rPr>
      </w:pPr>
      <w:r>
        <w:rPr>
          <w:b/>
          <w:color w:val="auto"/>
          <w:sz w:val="24"/>
          <w:szCs w:val="20"/>
          <w:highlight w:val="none"/>
        </w:rPr>
        <w:t>Ⅰ、正常排放：</w:t>
      </w:r>
    </w:p>
    <w:p>
      <w:pPr>
        <w:spacing w:line="360" w:lineRule="auto"/>
        <w:jc w:val="center"/>
        <w:rPr>
          <w:b/>
          <w:snapToGrid w:val="0"/>
          <w:color w:val="auto"/>
          <w:sz w:val="24"/>
          <w:highlight w:val="none"/>
        </w:rPr>
      </w:pPr>
    </w:p>
    <w:p>
      <w:pPr>
        <w:spacing w:line="360" w:lineRule="auto"/>
        <w:jc w:val="center"/>
        <w:rPr>
          <w:b/>
          <w:snapToGrid w:val="0"/>
          <w:color w:val="auto"/>
          <w:sz w:val="24"/>
          <w:highlight w:val="none"/>
        </w:rPr>
      </w:pPr>
    </w:p>
    <w:p>
      <w:pPr>
        <w:spacing w:line="360" w:lineRule="auto"/>
        <w:jc w:val="center"/>
        <w:rPr>
          <w:b/>
          <w:snapToGrid w:val="0"/>
          <w:color w:val="auto"/>
          <w:sz w:val="24"/>
          <w:highlight w:val="none"/>
        </w:rPr>
      </w:pPr>
    </w:p>
    <w:p>
      <w:pPr>
        <w:spacing w:line="360" w:lineRule="auto"/>
        <w:jc w:val="center"/>
        <w:rPr>
          <w:b/>
          <w:snapToGrid w:val="0"/>
          <w:color w:val="auto"/>
          <w:sz w:val="24"/>
          <w:highlight w:val="none"/>
        </w:rPr>
      </w:pPr>
      <w:r>
        <w:rPr>
          <w:b/>
          <w:snapToGrid w:val="0"/>
          <w:color w:val="auto"/>
          <w:sz w:val="24"/>
          <w:highlight w:val="none"/>
        </w:rPr>
        <w:t>表5.2-6  正常排放1#排气筒点源污染物大气估算模式计算结果</w:t>
      </w:r>
    </w:p>
    <w:tbl>
      <w:tblPr>
        <w:tblStyle w:val="55"/>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1707"/>
        <w:gridCol w:w="1458"/>
        <w:gridCol w:w="1800"/>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距源中心</w:t>
            </w:r>
          </w:p>
        </w:tc>
        <w:tc>
          <w:tcPr>
            <w:tcW w:w="3165" w:type="dxa"/>
            <w:gridSpan w:val="2"/>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非甲烷总烃</w:t>
            </w:r>
          </w:p>
        </w:tc>
        <w:tc>
          <w:tcPr>
            <w:tcW w:w="3213" w:type="dxa"/>
            <w:gridSpan w:val="2"/>
            <w:vAlign w:val="center"/>
          </w:tcPr>
          <w:p>
            <w:pPr>
              <w:spacing w:line="360" w:lineRule="auto"/>
              <w:jc w:val="center"/>
              <w:rPr>
                <w:rFonts w:hint="eastAsia" w:eastAsia="宋体"/>
                <w:b/>
                <w:bCs/>
                <w:color w:val="auto"/>
                <w:spacing w:val="-4"/>
                <w:szCs w:val="21"/>
                <w:highlight w:val="none"/>
                <w:lang w:val="en-US" w:eastAsia="zh-CN" w:bidi="ar"/>
              </w:rPr>
            </w:pPr>
            <w:r>
              <w:rPr>
                <w:rFonts w:hint="eastAsia"/>
                <w:b/>
                <w:bCs/>
                <w:color w:val="auto"/>
                <w:spacing w:val="-4"/>
                <w:szCs w:val="21"/>
                <w:highlight w:val="none"/>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169"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下风向距离D（m）</w:t>
            </w:r>
          </w:p>
        </w:tc>
        <w:tc>
          <w:tcPr>
            <w:tcW w:w="1707"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最大小时筛选浓度（</w:t>
            </w:r>
            <w:r>
              <w:rPr>
                <w:b/>
                <w:bCs/>
                <w:color w:val="auto"/>
                <w:szCs w:val="21"/>
                <w:highlight w:val="none"/>
                <w:lang w:bidi="ar"/>
              </w:rPr>
              <w:t>ug/m</w:t>
            </w:r>
            <w:r>
              <w:rPr>
                <w:b/>
                <w:bCs/>
                <w:color w:val="auto"/>
                <w:szCs w:val="21"/>
                <w:highlight w:val="none"/>
                <w:vertAlign w:val="superscript"/>
                <w:lang w:bidi="ar"/>
              </w:rPr>
              <w:t>3</w:t>
            </w:r>
            <w:r>
              <w:rPr>
                <w:b/>
                <w:bCs/>
                <w:color w:val="auto"/>
                <w:spacing w:val="-4"/>
                <w:szCs w:val="21"/>
                <w:highlight w:val="none"/>
                <w:lang w:bidi="ar"/>
              </w:rPr>
              <w:t>）</w:t>
            </w:r>
          </w:p>
        </w:tc>
        <w:tc>
          <w:tcPr>
            <w:tcW w:w="1458"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浓度占标率</w:t>
            </w:r>
            <w:r>
              <w:rPr>
                <w:b/>
                <w:bCs/>
                <w:color w:val="auto"/>
                <w:szCs w:val="21"/>
                <w:highlight w:val="none"/>
                <w:lang w:bidi="ar"/>
              </w:rPr>
              <w:t>Pi（%）</w:t>
            </w:r>
          </w:p>
        </w:tc>
        <w:tc>
          <w:tcPr>
            <w:tcW w:w="1800"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最大小时筛选浓度（</w:t>
            </w:r>
            <w:r>
              <w:rPr>
                <w:b/>
                <w:bCs/>
                <w:color w:val="auto"/>
                <w:szCs w:val="21"/>
                <w:highlight w:val="none"/>
                <w:lang w:bidi="ar"/>
              </w:rPr>
              <w:t>ug/m</w:t>
            </w:r>
            <w:r>
              <w:rPr>
                <w:b/>
                <w:bCs/>
                <w:color w:val="auto"/>
                <w:szCs w:val="21"/>
                <w:highlight w:val="none"/>
                <w:vertAlign w:val="superscript"/>
                <w:lang w:bidi="ar"/>
              </w:rPr>
              <w:t>3</w:t>
            </w:r>
            <w:r>
              <w:rPr>
                <w:b/>
                <w:bCs/>
                <w:color w:val="auto"/>
                <w:spacing w:val="-4"/>
                <w:szCs w:val="21"/>
                <w:highlight w:val="none"/>
                <w:lang w:bidi="ar"/>
              </w:rPr>
              <w:t>）</w:t>
            </w:r>
          </w:p>
        </w:tc>
        <w:tc>
          <w:tcPr>
            <w:tcW w:w="1413"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浓度占标率</w:t>
            </w:r>
            <w:r>
              <w:rPr>
                <w:b/>
                <w:bCs/>
                <w:color w:val="auto"/>
                <w:szCs w:val="21"/>
                <w:highlight w:val="none"/>
                <w:lang w:bidi="ar"/>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b/>
                <w:bCs/>
                <w:color w:val="auto"/>
                <w:spacing w:val="-4"/>
                <w:szCs w:val="21"/>
                <w:highlight w:val="none"/>
                <w:lang w:bidi="ar"/>
              </w:rPr>
            </w:pPr>
            <w:r>
              <w:rPr>
                <w:rFonts w:hint="eastAsia"/>
                <w:color w:val="auto"/>
                <w:highlight w:val="none"/>
              </w:rPr>
              <w:t>10</w:t>
            </w:r>
          </w:p>
        </w:tc>
        <w:tc>
          <w:tcPr>
            <w:tcW w:w="1707" w:type="dxa"/>
            <w:vAlign w:val="center"/>
          </w:tcPr>
          <w:p>
            <w:pPr>
              <w:spacing w:line="360" w:lineRule="auto"/>
              <w:jc w:val="center"/>
              <w:rPr>
                <w:b/>
                <w:bCs/>
                <w:color w:val="auto"/>
                <w:spacing w:val="-4"/>
                <w:szCs w:val="21"/>
                <w:highlight w:val="none"/>
                <w:lang w:bidi="ar"/>
              </w:rPr>
            </w:pPr>
            <w:r>
              <w:rPr>
                <w:rFonts w:hint="eastAsia"/>
                <w:color w:val="auto"/>
                <w:highlight w:val="none"/>
              </w:rPr>
              <w:t>0.0182</w:t>
            </w:r>
          </w:p>
        </w:tc>
        <w:tc>
          <w:tcPr>
            <w:tcW w:w="1458" w:type="dxa"/>
            <w:vAlign w:val="center"/>
          </w:tcPr>
          <w:p>
            <w:pPr>
              <w:spacing w:line="360" w:lineRule="auto"/>
              <w:jc w:val="center"/>
              <w:rPr>
                <w:rFonts w:hint="eastAsia"/>
                <w:color w:val="auto"/>
                <w:highlight w:val="none"/>
              </w:rPr>
            </w:pPr>
            <w:r>
              <w:rPr>
                <w:rFonts w:hint="eastAsia"/>
                <w:color w:val="auto"/>
                <w:highlight w:val="none"/>
              </w:rPr>
              <w:t>0.00</w:t>
            </w:r>
          </w:p>
        </w:tc>
        <w:tc>
          <w:tcPr>
            <w:tcW w:w="1800" w:type="dxa"/>
            <w:vAlign w:val="center"/>
          </w:tcPr>
          <w:p>
            <w:pPr>
              <w:spacing w:line="360" w:lineRule="auto"/>
              <w:jc w:val="center"/>
              <w:rPr>
                <w:rFonts w:hint="default" w:eastAsia="宋体"/>
                <w:b/>
                <w:bCs/>
                <w:color w:val="auto"/>
                <w:spacing w:val="-4"/>
                <w:szCs w:val="21"/>
                <w:highlight w:val="none"/>
                <w:lang w:val="en-US" w:eastAsia="zh-CN" w:bidi="ar"/>
              </w:rPr>
            </w:pPr>
            <w:r>
              <w:rPr>
                <w:rFonts w:hint="eastAsia"/>
                <w:color w:val="auto"/>
                <w:highlight w:val="none"/>
              </w:rPr>
              <w:t>0.0001</w:t>
            </w:r>
          </w:p>
        </w:tc>
        <w:tc>
          <w:tcPr>
            <w:tcW w:w="1413" w:type="dxa"/>
            <w:vAlign w:val="center"/>
          </w:tcPr>
          <w:p>
            <w:pPr>
              <w:spacing w:line="360" w:lineRule="auto"/>
              <w:jc w:val="center"/>
              <w:rPr>
                <w:rFonts w:hint="eastAsia"/>
                <w:color w:val="auto"/>
                <w:highlight w:val="none"/>
                <w:lang w:val="en-US" w:eastAsia="zh-CN"/>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0.5603</w:t>
            </w:r>
          </w:p>
        </w:tc>
        <w:tc>
          <w:tcPr>
            <w:tcW w:w="1458" w:type="dxa"/>
            <w:vAlign w:val="center"/>
          </w:tcPr>
          <w:p>
            <w:pPr>
              <w:spacing w:line="360" w:lineRule="auto"/>
              <w:jc w:val="center"/>
              <w:rPr>
                <w:rFonts w:hint="eastAsia"/>
                <w:color w:val="auto"/>
                <w:highlight w:val="none"/>
              </w:rPr>
            </w:pPr>
            <w:r>
              <w:rPr>
                <w:rFonts w:hint="eastAsia"/>
                <w:color w:val="auto"/>
                <w:highlight w:val="none"/>
              </w:rPr>
              <w:t>0.03</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0.0025</w:t>
            </w:r>
          </w:p>
        </w:tc>
        <w:tc>
          <w:tcPr>
            <w:tcW w:w="1413"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169" w:type="dxa"/>
            <w:vAlign w:val="center"/>
          </w:tcPr>
          <w:p>
            <w:pPr>
              <w:spacing w:line="360" w:lineRule="auto"/>
              <w:jc w:val="center"/>
              <w:rPr>
                <w:b/>
                <w:bCs/>
                <w:color w:val="auto"/>
                <w:spacing w:val="-4"/>
                <w:szCs w:val="21"/>
                <w:highlight w:val="none"/>
                <w:lang w:bidi="ar"/>
              </w:rPr>
            </w:pPr>
            <w:r>
              <w:rPr>
                <w:rFonts w:hint="eastAsia"/>
                <w:color w:val="auto"/>
                <w:highlight w:val="none"/>
              </w:rPr>
              <w:t>50</w:t>
            </w:r>
          </w:p>
        </w:tc>
        <w:tc>
          <w:tcPr>
            <w:tcW w:w="1707" w:type="dxa"/>
            <w:vAlign w:val="center"/>
          </w:tcPr>
          <w:p>
            <w:pPr>
              <w:spacing w:line="360" w:lineRule="auto"/>
              <w:jc w:val="center"/>
              <w:rPr>
                <w:b/>
                <w:bCs/>
                <w:color w:val="auto"/>
                <w:spacing w:val="-4"/>
                <w:szCs w:val="21"/>
                <w:highlight w:val="none"/>
                <w:lang w:bidi="ar"/>
              </w:rPr>
            </w:pPr>
            <w:r>
              <w:rPr>
                <w:rFonts w:hint="eastAsia"/>
                <w:color w:val="auto"/>
                <w:highlight w:val="none"/>
              </w:rPr>
              <w:t>1.3601</w:t>
            </w:r>
          </w:p>
        </w:tc>
        <w:tc>
          <w:tcPr>
            <w:tcW w:w="1458" w:type="dxa"/>
            <w:vAlign w:val="center"/>
          </w:tcPr>
          <w:p>
            <w:pPr>
              <w:spacing w:line="360" w:lineRule="auto"/>
              <w:jc w:val="center"/>
              <w:rPr>
                <w:rFonts w:hint="eastAsia"/>
                <w:color w:val="auto"/>
                <w:highlight w:val="none"/>
              </w:rPr>
            </w:pPr>
            <w:r>
              <w:rPr>
                <w:rFonts w:hint="eastAsia"/>
                <w:color w:val="auto"/>
                <w:highlight w:val="none"/>
              </w:rPr>
              <w:t>0.07</w:t>
            </w:r>
          </w:p>
        </w:tc>
        <w:tc>
          <w:tcPr>
            <w:tcW w:w="1800" w:type="dxa"/>
            <w:vAlign w:val="center"/>
          </w:tcPr>
          <w:p>
            <w:pPr>
              <w:spacing w:line="360" w:lineRule="auto"/>
              <w:jc w:val="center"/>
              <w:rPr>
                <w:b/>
                <w:bCs/>
                <w:color w:val="auto"/>
                <w:spacing w:val="-4"/>
                <w:szCs w:val="21"/>
                <w:highlight w:val="none"/>
                <w:lang w:bidi="ar"/>
              </w:rPr>
            </w:pPr>
            <w:r>
              <w:rPr>
                <w:rFonts w:hint="eastAsia"/>
                <w:color w:val="auto"/>
                <w:highlight w:val="none"/>
              </w:rPr>
              <w:t>0.0061</w:t>
            </w:r>
          </w:p>
        </w:tc>
        <w:tc>
          <w:tcPr>
            <w:tcW w:w="1413"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2.2950</w:t>
            </w:r>
          </w:p>
        </w:tc>
        <w:tc>
          <w:tcPr>
            <w:tcW w:w="1458" w:type="dxa"/>
            <w:vAlign w:val="center"/>
          </w:tcPr>
          <w:p>
            <w:pPr>
              <w:spacing w:line="360" w:lineRule="auto"/>
              <w:jc w:val="center"/>
              <w:rPr>
                <w:rFonts w:hint="eastAsia"/>
                <w:color w:val="auto"/>
                <w:highlight w:val="none"/>
              </w:rPr>
            </w:pPr>
            <w:r>
              <w:rPr>
                <w:rFonts w:hint="eastAsia"/>
                <w:color w:val="auto"/>
                <w:highlight w:val="none"/>
              </w:rPr>
              <w:t>0.11</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0.0103</w:t>
            </w:r>
          </w:p>
        </w:tc>
        <w:tc>
          <w:tcPr>
            <w:tcW w:w="1413"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100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3.1067</w:t>
            </w:r>
          </w:p>
        </w:tc>
        <w:tc>
          <w:tcPr>
            <w:tcW w:w="1458" w:type="dxa"/>
            <w:vAlign w:val="center"/>
          </w:tcPr>
          <w:p>
            <w:pPr>
              <w:spacing w:line="360" w:lineRule="auto"/>
              <w:jc w:val="center"/>
              <w:rPr>
                <w:rFonts w:hint="eastAsia"/>
                <w:color w:val="auto"/>
                <w:highlight w:val="none"/>
              </w:rPr>
            </w:pPr>
            <w:r>
              <w:rPr>
                <w:rFonts w:hint="eastAsia"/>
                <w:color w:val="auto"/>
                <w:highlight w:val="none"/>
              </w:rPr>
              <w:t>0.16</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0.0139</w:t>
            </w:r>
          </w:p>
        </w:tc>
        <w:tc>
          <w:tcPr>
            <w:tcW w:w="1413"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b/>
                <w:bCs/>
                <w:color w:val="auto"/>
                <w:spacing w:val="-4"/>
                <w:szCs w:val="21"/>
                <w:highlight w:val="none"/>
                <w:lang w:bidi="ar"/>
              </w:rPr>
            </w:pPr>
            <w:r>
              <w:rPr>
                <w:rFonts w:hint="eastAsia"/>
                <w:color w:val="auto"/>
                <w:highlight w:val="none"/>
              </w:rPr>
              <w:t>125</w:t>
            </w:r>
          </w:p>
        </w:tc>
        <w:tc>
          <w:tcPr>
            <w:tcW w:w="1707" w:type="dxa"/>
            <w:vAlign w:val="center"/>
          </w:tcPr>
          <w:p>
            <w:pPr>
              <w:spacing w:line="360" w:lineRule="auto"/>
              <w:jc w:val="center"/>
              <w:rPr>
                <w:b/>
                <w:bCs/>
                <w:color w:val="auto"/>
                <w:spacing w:val="-4"/>
                <w:szCs w:val="21"/>
                <w:highlight w:val="none"/>
                <w:lang w:bidi="ar"/>
              </w:rPr>
            </w:pPr>
            <w:r>
              <w:rPr>
                <w:rFonts w:hint="eastAsia"/>
                <w:color w:val="auto"/>
                <w:highlight w:val="none"/>
              </w:rPr>
              <w:t>5.8225</w:t>
            </w:r>
          </w:p>
        </w:tc>
        <w:tc>
          <w:tcPr>
            <w:tcW w:w="1458" w:type="dxa"/>
            <w:vAlign w:val="center"/>
          </w:tcPr>
          <w:p>
            <w:pPr>
              <w:spacing w:line="360" w:lineRule="auto"/>
              <w:jc w:val="center"/>
              <w:rPr>
                <w:rFonts w:hint="eastAsia"/>
                <w:b/>
                <w:bCs/>
                <w:color w:val="auto"/>
                <w:highlight w:val="none"/>
              </w:rPr>
            </w:pPr>
            <w:r>
              <w:rPr>
                <w:rFonts w:hint="eastAsia"/>
                <w:color w:val="auto"/>
                <w:highlight w:val="none"/>
              </w:rPr>
              <w:t>0.29</w:t>
            </w:r>
          </w:p>
        </w:tc>
        <w:tc>
          <w:tcPr>
            <w:tcW w:w="1800" w:type="dxa"/>
            <w:vAlign w:val="center"/>
          </w:tcPr>
          <w:p>
            <w:pPr>
              <w:spacing w:line="360" w:lineRule="auto"/>
              <w:jc w:val="center"/>
              <w:rPr>
                <w:b/>
                <w:bCs/>
                <w:color w:val="auto"/>
                <w:spacing w:val="-4"/>
                <w:szCs w:val="21"/>
                <w:highlight w:val="none"/>
                <w:lang w:bidi="ar"/>
              </w:rPr>
            </w:pPr>
            <w:r>
              <w:rPr>
                <w:rFonts w:hint="eastAsia"/>
                <w:color w:val="auto"/>
                <w:highlight w:val="none"/>
              </w:rPr>
              <w:t>0.0260</w:t>
            </w:r>
          </w:p>
        </w:tc>
        <w:tc>
          <w:tcPr>
            <w:tcW w:w="1413" w:type="dxa"/>
            <w:vAlign w:val="center"/>
          </w:tcPr>
          <w:p>
            <w:pPr>
              <w:spacing w:line="360" w:lineRule="auto"/>
              <w:jc w:val="center"/>
              <w:rPr>
                <w:rFonts w:hint="eastAsia"/>
                <w:b/>
                <w:bCs/>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150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8.7654</w:t>
            </w:r>
          </w:p>
        </w:tc>
        <w:tc>
          <w:tcPr>
            <w:tcW w:w="1458" w:type="dxa"/>
            <w:vAlign w:val="center"/>
          </w:tcPr>
          <w:p>
            <w:pPr>
              <w:spacing w:line="360" w:lineRule="auto"/>
              <w:jc w:val="center"/>
              <w:rPr>
                <w:rFonts w:hint="eastAsia"/>
                <w:color w:val="auto"/>
                <w:highlight w:val="none"/>
              </w:rPr>
            </w:pPr>
            <w:r>
              <w:rPr>
                <w:rFonts w:hint="eastAsia"/>
                <w:color w:val="auto"/>
                <w:highlight w:val="none"/>
              </w:rPr>
              <w:t>0.44</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0.0392</w:t>
            </w:r>
          </w:p>
        </w:tc>
        <w:tc>
          <w:tcPr>
            <w:tcW w:w="1413"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175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30.3464</w:t>
            </w:r>
          </w:p>
        </w:tc>
        <w:tc>
          <w:tcPr>
            <w:tcW w:w="1458" w:type="dxa"/>
            <w:vAlign w:val="center"/>
          </w:tcPr>
          <w:p>
            <w:pPr>
              <w:spacing w:line="360" w:lineRule="auto"/>
              <w:jc w:val="center"/>
              <w:rPr>
                <w:rFonts w:hint="eastAsia"/>
                <w:color w:val="auto"/>
                <w:highlight w:val="none"/>
              </w:rPr>
            </w:pPr>
            <w:r>
              <w:rPr>
                <w:rFonts w:hint="eastAsia"/>
                <w:color w:val="auto"/>
                <w:highlight w:val="none"/>
              </w:rPr>
              <w:t>1.52</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0.1356</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200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54.2628</w:t>
            </w:r>
          </w:p>
        </w:tc>
        <w:tc>
          <w:tcPr>
            <w:tcW w:w="1458" w:type="dxa"/>
            <w:vAlign w:val="center"/>
          </w:tcPr>
          <w:p>
            <w:pPr>
              <w:spacing w:line="360" w:lineRule="auto"/>
              <w:jc w:val="center"/>
              <w:rPr>
                <w:rFonts w:hint="eastAsia"/>
                <w:color w:val="auto"/>
                <w:highlight w:val="none"/>
              </w:rPr>
            </w:pPr>
            <w:r>
              <w:rPr>
                <w:rFonts w:hint="eastAsia"/>
                <w:color w:val="auto"/>
                <w:highlight w:val="none"/>
              </w:rPr>
              <w:t>2.71</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0.2425</w:t>
            </w:r>
          </w:p>
        </w:tc>
        <w:tc>
          <w:tcPr>
            <w:tcW w:w="1413" w:type="dxa"/>
            <w:vAlign w:val="center"/>
          </w:tcPr>
          <w:p>
            <w:pPr>
              <w:spacing w:line="360" w:lineRule="auto"/>
              <w:jc w:val="center"/>
              <w:rPr>
                <w:rFonts w:hint="eastAsia"/>
                <w:color w:val="auto"/>
                <w:highlight w:val="none"/>
              </w:rPr>
            </w:pPr>
            <w:r>
              <w:rPr>
                <w:rFonts w:hint="eastAsia"/>
                <w:color w:val="auto"/>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b/>
                <w:bCs/>
                <w:color w:val="auto"/>
                <w:spacing w:val="-4"/>
                <w:szCs w:val="21"/>
                <w:highlight w:val="none"/>
                <w:lang w:bidi="ar"/>
              </w:rPr>
            </w:pPr>
            <w:r>
              <w:rPr>
                <w:rFonts w:hint="eastAsia"/>
                <w:b/>
                <w:bCs/>
                <w:color w:val="auto"/>
                <w:highlight w:val="none"/>
              </w:rPr>
              <w:t>207</w:t>
            </w:r>
          </w:p>
        </w:tc>
        <w:tc>
          <w:tcPr>
            <w:tcW w:w="1707" w:type="dxa"/>
            <w:vAlign w:val="center"/>
          </w:tcPr>
          <w:p>
            <w:pPr>
              <w:spacing w:line="360" w:lineRule="auto"/>
              <w:jc w:val="center"/>
              <w:rPr>
                <w:b/>
                <w:bCs/>
                <w:color w:val="auto"/>
                <w:spacing w:val="-4"/>
                <w:szCs w:val="21"/>
                <w:highlight w:val="none"/>
                <w:lang w:bidi="ar"/>
              </w:rPr>
            </w:pPr>
            <w:r>
              <w:rPr>
                <w:rFonts w:hint="eastAsia"/>
                <w:b/>
                <w:bCs/>
                <w:color w:val="auto"/>
                <w:highlight w:val="none"/>
              </w:rPr>
              <w:t>58.2653</w:t>
            </w:r>
          </w:p>
        </w:tc>
        <w:tc>
          <w:tcPr>
            <w:tcW w:w="1458" w:type="dxa"/>
            <w:vAlign w:val="center"/>
          </w:tcPr>
          <w:p>
            <w:pPr>
              <w:spacing w:line="360" w:lineRule="auto"/>
              <w:jc w:val="center"/>
              <w:rPr>
                <w:rFonts w:hint="eastAsia"/>
                <w:b/>
                <w:bCs/>
                <w:color w:val="auto"/>
                <w:highlight w:val="none"/>
              </w:rPr>
            </w:pPr>
            <w:r>
              <w:rPr>
                <w:rFonts w:hint="eastAsia"/>
                <w:b/>
                <w:bCs/>
                <w:color w:val="auto"/>
                <w:highlight w:val="none"/>
              </w:rPr>
              <w:t>2.91</w:t>
            </w:r>
          </w:p>
        </w:tc>
        <w:tc>
          <w:tcPr>
            <w:tcW w:w="1800" w:type="dxa"/>
            <w:vAlign w:val="center"/>
          </w:tcPr>
          <w:p>
            <w:pPr>
              <w:spacing w:line="360" w:lineRule="auto"/>
              <w:jc w:val="center"/>
              <w:rPr>
                <w:b/>
                <w:bCs/>
                <w:color w:val="auto"/>
                <w:spacing w:val="-4"/>
                <w:szCs w:val="21"/>
                <w:highlight w:val="none"/>
                <w:lang w:bidi="ar"/>
              </w:rPr>
            </w:pPr>
            <w:r>
              <w:rPr>
                <w:rFonts w:hint="eastAsia"/>
                <w:b/>
                <w:bCs/>
                <w:color w:val="auto"/>
                <w:highlight w:val="none"/>
              </w:rPr>
              <w:t>0.2604</w:t>
            </w:r>
          </w:p>
        </w:tc>
        <w:tc>
          <w:tcPr>
            <w:tcW w:w="1413" w:type="dxa"/>
            <w:vAlign w:val="center"/>
          </w:tcPr>
          <w:p>
            <w:pPr>
              <w:spacing w:line="360" w:lineRule="auto"/>
              <w:jc w:val="center"/>
              <w:rPr>
                <w:rFonts w:hint="eastAsia"/>
                <w:b/>
                <w:bCs/>
                <w:color w:val="auto"/>
                <w:highlight w:val="none"/>
              </w:rPr>
            </w:pPr>
            <w:r>
              <w:rPr>
                <w:rFonts w:hint="eastAsia"/>
                <w:b/>
                <w:bCs/>
                <w:color w:val="auto"/>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225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50.8644</w:t>
            </w:r>
          </w:p>
        </w:tc>
        <w:tc>
          <w:tcPr>
            <w:tcW w:w="1458" w:type="dxa"/>
            <w:vAlign w:val="center"/>
          </w:tcPr>
          <w:p>
            <w:pPr>
              <w:spacing w:line="360" w:lineRule="auto"/>
              <w:jc w:val="center"/>
              <w:rPr>
                <w:rFonts w:hint="eastAsia"/>
                <w:color w:val="auto"/>
                <w:highlight w:val="none"/>
              </w:rPr>
            </w:pPr>
            <w:r>
              <w:rPr>
                <w:rFonts w:hint="eastAsia"/>
                <w:color w:val="auto"/>
                <w:highlight w:val="none"/>
              </w:rPr>
              <w:t>2.54</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0.2274</w:t>
            </w:r>
          </w:p>
        </w:tc>
        <w:tc>
          <w:tcPr>
            <w:tcW w:w="1413" w:type="dxa"/>
            <w:vAlign w:val="center"/>
          </w:tcPr>
          <w:p>
            <w:pPr>
              <w:spacing w:line="360" w:lineRule="auto"/>
              <w:jc w:val="center"/>
              <w:rPr>
                <w:rFonts w:hint="eastAsia"/>
                <w:color w:val="auto"/>
                <w:highlight w:val="none"/>
              </w:rPr>
            </w:pPr>
            <w:r>
              <w:rPr>
                <w:rFonts w:hint="eastAsia"/>
                <w:color w:val="auto"/>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250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48.6294</w:t>
            </w:r>
          </w:p>
        </w:tc>
        <w:tc>
          <w:tcPr>
            <w:tcW w:w="1458" w:type="dxa"/>
            <w:vAlign w:val="center"/>
          </w:tcPr>
          <w:p>
            <w:pPr>
              <w:spacing w:line="360" w:lineRule="auto"/>
              <w:jc w:val="center"/>
              <w:rPr>
                <w:rFonts w:hint="eastAsia"/>
                <w:color w:val="auto"/>
                <w:highlight w:val="none"/>
              </w:rPr>
            </w:pPr>
            <w:r>
              <w:rPr>
                <w:rFonts w:hint="eastAsia"/>
                <w:color w:val="auto"/>
                <w:highlight w:val="none"/>
              </w:rPr>
              <w:t>2.43</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0.2174</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275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46.7612</w:t>
            </w:r>
          </w:p>
        </w:tc>
        <w:tc>
          <w:tcPr>
            <w:tcW w:w="1458" w:type="dxa"/>
            <w:vAlign w:val="center"/>
          </w:tcPr>
          <w:p>
            <w:pPr>
              <w:spacing w:line="360" w:lineRule="auto"/>
              <w:jc w:val="center"/>
              <w:rPr>
                <w:rFonts w:hint="eastAsia"/>
                <w:color w:val="auto"/>
                <w:highlight w:val="none"/>
              </w:rPr>
            </w:pPr>
            <w:r>
              <w:rPr>
                <w:rFonts w:hint="eastAsia"/>
                <w:color w:val="auto"/>
                <w:highlight w:val="none"/>
              </w:rPr>
              <w:t>2.34</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0.2090</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300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43.0093</w:t>
            </w:r>
          </w:p>
        </w:tc>
        <w:tc>
          <w:tcPr>
            <w:tcW w:w="1458" w:type="dxa"/>
            <w:vAlign w:val="center"/>
          </w:tcPr>
          <w:p>
            <w:pPr>
              <w:spacing w:line="360" w:lineRule="auto"/>
              <w:jc w:val="center"/>
              <w:rPr>
                <w:rFonts w:hint="eastAsia"/>
                <w:color w:val="auto"/>
                <w:highlight w:val="none"/>
              </w:rPr>
            </w:pPr>
            <w:r>
              <w:rPr>
                <w:rFonts w:hint="eastAsia"/>
                <w:color w:val="auto"/>
                <w:highlight w:val="none"/>
              </w:rPr>
              <w:t>2.15</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0.1922</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325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39.3738</w:t>
            </w:r>
          </w:p>
        </w:tc>
        <w:tc>
          <w:tcPr>
            <w:tcW w:w="1458" w:type="dxa"/>
            <w:vAlign w:val="center"/>
          </w:tcPr>
          <w:p>
            <w:pPr>
              <w:spacing w:line="360" w:lineRule="auto"/>
              <w:jc w:val="center"/>
              <w:rPr>
                <w:rFonts w:hint="eastAsia"/>
                <w:color w:val="auto"/>
                <w:highlight w:val="none"/>
              </w:rPr>
            </w:pPr>
            <w:r>
              <w:rPr>
                <w:rFonts w:hint="eastAsia"/>
                <w:color w:val="auto"/>
                <w:highlight w:val="none"/>
              </w:rPr>
              <w:t>1.97</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0.1760</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350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38.5639</w:t>
            </w:r>
          </w:p>
        </w:tc>
        <w:tc>
          <w:tcPr>
            <w:tcW w:w="1458" w:type="dxa"/>
            <w:vAlign w:val="center"/>
          </w:tcPr>
          <w:p>
            <w:pPr>
              <w:spacing w:line="360" w:lineRule="auto"/>
              <w:jc w:val="center"/>
              <w:rPr>
                <w:rFonts w:hint="eastAsia"/>
                <w:color w:val="auto"/>
                <w:highlight w:val="none"/>
              </w:rPr>
            </w:pPr>
            <w:r>
              <w:rPr>
                <w:rFonts w:hint="eastAsia"/>
                <w:color w:val="auto"/>
                <w:highlight w:val="none"/>
              </w:rPr>
              <w:t>1.93</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0.1724</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375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35.5257</w:t>
            </w:r>
          </w:p>
        </w:tc>
        <w:tc>
          <w:tcPr>
            <w:tcW w:w="1458" w:type="dxa"/>
            <w:vAlign w:val="center"/>
          </w:tcPr>
          <w:p>
            <w:pPr>
              <w:spacing w:line="360" w:lineRule="auto"/>
              <w:jc w:val="center"/>
              <w:rPr>
                <w:rFonts w:hint="eastAsia"/>
                <w:color w:val="auto"/>
                <w:highlight w:val="none"/>
              </w:rPr>
            </w:pPr>
            <w:r>
              <w:rPr>
                <w:rFonts w:hint="eastAsia"/>
                <w:color w:val="auto"/>
                <w:highlight w:val="none"/>
              </w:rPr>
              <w:t>1.78</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0.1588</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400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34.7337</w:t>
            </w:r>
          </w:p>
        </w:tc>
        <w:tc>
          <w:tcPr>
            <w:tcW w:w="1458" w:type="dxa"/>
            <w:vAlign w:val="center"/>
          </w:tcPr>
          <w:p>
            <w:pPr>
              <w:spacing w:line="360" w:lineRule="auto"/>
              <w:jc w:val="center"/>
              <w:rPr>
                <w:rFonts w:hint="eastAsia"/>
                <w:color w:val="auto"/>
                <w:highlight w:val="none"/>
              </w:rPr>
            </w:pPr>
            <w:r>
              <w:rPr>
                <w:rFonts w:hint="eastAsia"/>
                <w:color w:val="auto"/>
                <w:highlight w:val="none"/>
              </w:rPr>
              <w:t>1.74</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0.1553</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425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33.1631</w:t>
            </w:r>
          </w:p>
        </w:tc>
        <w:tc>
          <w:tcPr>
            <w:tcW w:w="1458" w:type="dxa"/>
            <w:vAlign w:val="center"/>
          </w:tcPr>
          <w:p>
            <w:pPr>
              <w:spacing w:line="360" w:lineRule="auto"/>
              <w:jc w:val="center"/>
              <w:rPr>
                <w:rFonts w:hint="eastAsia"/>
                <w:color w:val="auto"/>
                <w:highlight w:val="none"/>
              </w:rPr>
            </w:pPr>
            <w:r>
              <w:rPr>
                <w:rFonts w:hint="eastAsia"/>
                <w:color w:val="auto"/>
                <w:highlight w:val="none"/>
              </w:rPr>
              <w:t>1.66</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0.1482</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450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29.7043</w:t>
            </w:r>
          </w:p>
        </w:tc>
        <w:tc>
          <w:tcPr>
            <w:tcW w:w="1458" w:type="dxa"/>
            <w:vAlign w:val="center"/>
          </w:tcPr>
          <w:p>
            <w:pPr>
              <w:spacing w:line="360" w:lineRule="auto"/>
              <w:jc w:val="center"/>
              <w:rPr>
                <w:rFonts w:hint="eastAsia"/>
                <w:color w:val="auto"/>
                <w:highlight w:val="none"/>
              </w:rPr>
            </w:pPr>
            <w:r>
              <w:rPr>
                <w:rFonts w:hint="eastAsia"/>
                <w:color w:val="auto"/>
                <w:highlight w:val="none"/>
              </w:rPr>
              <w:t>1.49</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0.1328</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475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30.2077</w:t>
            </w:r>
          </w:p>
        </w:tc>
        <w:tc>
          <w:tcPr>
            <w:tcW w:w="1458" w:type="dxa"/>
            <w:vAlign w:val="center"/>
          </w:tcPr>
          <w:p>
            <w:pPr>
              <w:spacing w:line="360" w:lineRule="auto"/>
              <w:jc w:val="center"/>
              <w:rPr>
                <w:rFonts w:hint="eastAsia"/>
                <w:color w:val="auto"/>
                <w:highlight w:val="none"/>
              </w:rPr>
            </w:pPr>
            <w:r>
              <w:rPr>
                <w:rFonts w:hint="eastAsia"/>
                <w:color w:val="auto"/>
                <w:highlight w:val="none"/>
              </w:rPr>
              <w:t>1.51</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0.1350</w:t>
            </w:r>
          </w:p>
        </w:tc>
        <w:tc>
          <w:tcPr>
            <w:tcW w:w="1413" w:type="dxa"/>
            <w:vAlign w:val="center"/>
          </w:tcPr>
          <w:p>
            <w:pPr>
              <w:spacing w:line="360" w:lineRule="auto"/>
              <w:jc w:val="center"/>
              <w:rPr>
                <w:rFonts w:hint="eastAsia"/>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500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28.6908</w:t>
            </w:r>
          </w:p>
        </w:tc>
        <w:tc>
          <w:tcPr>
            <w:tcW w:w="1458" w:type="dxa"/>
            <w:vAlign w:val="center"/>
          </w:tcPr>
          <w:p>
            <w:pPr>
              <w:spacing w:line="360" w:lineRule="auto"/>
              <w:jc w:val="center"/>
              <w:rPr>
                <w:rFonts w:hint="eastAsia"/>
                <w:color w:val="auto"/>
                <w:highlight w:val="none"/>
              </w:rPr>
            </w:pPr>
            <w:r>
              <w:rPr>
                <w:rFonts w:hint="eastAsia"/>
                <w:color w:val="auto"/>
                <w:highlight w:val="none"/>
              </w:rPr>
              <w:t>1.43</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0.1282</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525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27.6505</w:t>
            </w:r>
          </w:p>
        </w:tc>
        <w:tc>
          <w:tcPr>
            <w:tcW w:w="1458" w:type="dxa"/>
            <w:vAlign w:val="center"/>
          </w:tcPr>
          <w:p>
            <w:pPr>
              <w:spacing w:line="360" w:lineRule="auto"/>
              <w:jc w:val="center"/>
              <w:rPr>
                <w:rFonts w:hint="eastAsia"/>
                <w:color w:val="auto"/>
                <w:highlight w:val="none"/>
              </w:rPr>
            </w:pPr>
            <w:r>
              <w:rPr>
                <w:rFonts w:hint="eastAsia"/>
                <w:color w:val="auto"/>
                <w:highlight w:val="none"/>
              </w:rPr>
              <w:t>1.38</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0.1236</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550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26.9099</w:t>
            </w:r>
          </w:p>
        </w:tc>
        <w:tc>
          <w:tcPr>
            <w:tcW w:w="1458" w:type="dxa"/>
            <w:vAlign w:val="center"/>
          </w:tcPr>
          <w:p>
            <w:pPr>
              <w:spacing w:line="360" w:lineRule="auto"/>
              <w:jc w:val="center"/>
              <w:rPr>
                <w:rFonts w:hint="eastAsia"/>
                <w:color w:val="auto"/>
                <w:highlight w:val="none"/>
              </w:rPr>
            </w:pPr>
            <w:r>
              <w:rPr>
                <w:rFonts w:hint="eastAsia"/>
                <w:color w:val="auto"/>
                <w:highlight w:val="none"/>
              </w:rPr>
              <w:t>1.35</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0.1203</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575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26.1000</w:t>
            </w:r>
          </w:p>
        </w:tc>
        <w:tc>
          <w:tcPr>
            <w:tcW w:w="1458" w:type="dxa"/>
            <w:vAlign w:val="center"/>
          </w:tcPr>
          <w:p>
            <w:pPr>
              <w:spacing w:line="360" w:lineRule="auto"/>
              <w:jc w:val="center"/>
              <w:rPr>
                <w:rFonts w:hint="eastAsia"/>
                <w:color w:val="auto"/>
                <w:highlight w:val="none"/>
              </w:rPr>
            </w:pPr>
            <w:r>
              <w:rPr>
                <w:rFonts w:hint="eastAsia"/>
                <w:color w:val="auto"/>
                <w:highlight w:val="none"/>
              </w:rPr>
              <w:t>1.31</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0.1167</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600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25.2029</w:t>
            </w:r>
          </w:p>
        </w:tc>
        <w:tc>
          <w:tcPr>
            <w:tcW w:w="1458" w:type="dxa"/>
            <w:vAlign w:val="center"/>
          </w:tcPr>
          <w:p>
            <w:pPr>
              <w:spacing w:line="360" w:lineRule="auto"/>
              <w:jc w:val="center"/>
              <w:rPr>
                <w:rFonts w:hint="eastAsia"/>
                <w:color w:val="auto"/>
                <w:highlight w:val="none"/>
              </w:rPr>
            </w:pPr>
            <w:r>
              <w:rPr>
                <w:rFonts w:hint="eastAsia"/>
                <w:color w:val="auto"/>
                <w:highlight w:val="none"/>
              </w:rPr>
              <w:t>1.26</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0.1127</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625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24.4243</w:t>
            </w:r>
          </w:p>
        </w:tc>
        <w:tc>
          <w:tcPr>
            <w:tcW w:w="1458" w:type="dxa"/>
            <w:vAlign w:val="center"/>
          </w:tcPr>
          <w:p>
            <w:pPr>
              <w:spacing w:line="360" w:lineRule="auto"/>
              <w:jc w:val="center"/>
              <w:rPr>
                <w:rFonts w:hint="eastAsia"/>
                <w:color w:val="auto"/>
                <w:highlight w:val="none"/>
              </w:rPr>
            </w:pPr>
            <w:r>
              <w:rPr>
                <w:rFonts w:hint="eastAsia"/>
                <w:color w:val="auto"/>
                <w:highlight w:val="none"/>
              </w:rPr>
              <w:t>1.22</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0.1092</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650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23.3817</w:t>
            </w:r>
          </w:p>
        </w:tc>
        <w:tc>
          <w:tcPr>
            <w:tcW w:w="1458" w:type="dxa"/>
            <w:vAlign w:val="center"/>
          </w:tcPr>
          <w:p>
            <w:pPr>
              <w:spacing w:line="360" w:lineRule="auto"/>
              <w:jc w:val="center"/>
              <w:rPr>
                <w:rFonts w:hint="eastAsia"/>
                <w:color w:val="auto"/>
                <w:highlight w:val="none"/>
              </w:rPr>
            </w:pPr>
            <w:r>
              <w:rPr>
                <w:rFonts w:hint="eastAsia"/>
                <w:color w:val="auto"/>
                <w:highlight w:val="none"/>
              </w:rPr>
              <w:t>1.17</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0.1045</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675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22.8112</w:t>
            </w:r>
          </w:p>
        </w:tc>
        <w:tc>
          <w:tcPr>
            <w:tcW w:w="1458" w:type="dxa"/>
            <w:vAlign w:val="center"/>
          </w:tcPr>
          <w:p>
            <w:pPr>
              <w:spacing w:line="360" w:lineRule="auto"/>
              <w:jc w:val="center"/>
              <w:rPr>
                <w:rFonts w:hint="eastAsia"/>
                <w:color w:val="auto"/>
                <w:highlight w:val="none"/>
              </w:rPr>
            </w:pPr>
            <w:r>
              <w:rPr>
                <w:rFonts w:hint="eastAsia"/>
                <w:color w:val="auto"/>
                <w:highlight w:val="none"/>
              </w:rPr>
              <w:t>1.14</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0.1020</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700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22.3045</w:t>
            </w:r>
          </w:p>
        </w:tc>
        <w:tc>
          <w:tcPr>
            <w:tcW w:w="1458" w:type="dxa"/>
            <w:vAlign w:val="center"/>
          </w:tcPr>
          <w:p>
            <w:pPr>
              <w:spacing w:line="360" w:lineRule="auto"/>
              <w:jc w:val="center"/>
              <w:rPr>
                <w:rFonts w:hint="eastAsia"/>
                <w:color w:val="auto"/>
                <w:highlight w:val="none"/>
              </w:rPr>
            </w:pPr>
            <w:r>
              <w:rPr>
                <w:rFonts w:hint="eastAsia"/>
                <w:color w:val="auto"/>
                <w:highlight w:val="none"/>
              </w:rPr>
              <w:t>1.12</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0.0997</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725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21.6823</w:t>
            </w:r>
          </w:p>
        </w:tc>
        <w:tc>
          <w:tcPr>
            <w:tcW w:w="1458" w:type="dxa"/>
            <w:vAlign w:val="center"/>
          </w:tcPr>
          <w:p>
            <w:pPr>
              <w:spacing w:line="360" w:lineRule="auto"/>
              <w:jc w:val="center"/>
              <w:rPr>
                <w:rFonts w:hint="eastAsia"/>
                <w:color w:val="auto"/>
                <w:highlight w:val="none"/>
              </w:rPr>
            </w:pPr>
            <w:r>
              <w:rPr>
                <w:rFonts w:hint="eastAsia"/>
                <w:color w:val="auto"/>
                <w:highlight w:val="none"/>
              </w:rPr>
              <w:t>1.08</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0.0969</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750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21.0932</w:t>
            </w:r>
          </w:p>
        </w:tc>
        <w:tc>
          <w:tcPr>
            <w:tcW w:w="1458" w:type="dxa"/>
            <w:vAlign w:val="center"/>
          </w:tcPr>
          <w:p>
            <w:pPr>
              <w:spacing w:line="360" w:lineRule="auto"/>
              <w:jc w:val="center"/>
              <w:rPr>
                <w:rFonts w:hint="eastAsia"/>
                <w:color w:val="auto"/>
                <w:highlight w:val="none"/>
              </w:rPr>
            </w:pPr>
            <w:r>
              <w:rPr>
                <w:rFonts w:hint="eastAsia"/>
                <w:color w:val="auto"/>
                <w:highlight w:val="none"/>
              </w:rPr>
              <w:t>1.05</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0.0943</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775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19.8829</w:t>
            </w:r>
          </w:p>
        </w:tc>
        <w:tc>
          <w:tcPr>
            <w:tcW w:w="1458" w:type="dxa"/>
            <w:vAlign w:val="center"/>
          </w:tcPr>
          <w:p>
            <w:pPr>
              <w:spacing w:line="360" w:lineRule="auto"/>
              <w:jc w:val="center"/>
              <w:rPr>
                <w:rFonts w:hint="eastAsia"/>
                <w:color w:val="auto"/>
                <w:highlight w:val="none"/>
              </w:rPr>
            </w:pPr>
            <w:r>
              <w:rPr>
                <w:rFonts w:hint="eastAsia"/>
                <w:color w:val="auto"/>
                <w:highlight w:val="none"/>
              </w:rPr>
              <w:t>0.99</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0.0889</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800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20.0180</w:t>
            </w:r>
          </w:p>
        </w:tc>
        <w:tc>
          <w:tcPr>
            <w:tcW w:w="1458" w:type="dxa"/>
            <w:vAlign w:val="center"/>
          </w:tcPr>
          <w:p>
            <w:pPr>
              <w:spacing w:line="360" w:lineRule="auto"/>
              <w:jc w:val="center"/>
              <w:rPr>
                <w:rFonts w:hint="eastAsia"/>
                <w:color w:val="auto"/>
                <w:highlight w:val="none"/>
              </w:rPr>
            </w:pPr>
            <w:r>
              <w:rPr>
                <w:rFonts w:hint="eastAsia"/>
                <w:color w:val="auto"/>
                <w:highlight w:val="none"/>
              </w:rPr>
              <w:t>1.00</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0.0895</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825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17.2619</w:t>
            </w:r>
          </w:p>
        </w:tc>
        <w:tc>
          <w:tcPr>
            <w:tcW w:w="1458" w:type="dxa"/>
            <w:vAlign w:val="center"/>
          </w:tcPr>
          <w:p>
            <w:pPr>
              <w:spacing w:line="360" w:lineRule="auto"/>
              <w:jc w:val="center"/>
              <w:rPr>
                <w:rFonts w:hint="eastAsia"/>
                <w:color w:val="auto"/>
                <w:highlight w:val="none"/>
              </w:rPr>
            </w:pPr>
            <w:r>
              <w:rPr>
                <w:rFonts w:hint="eastAsia"/>
                <w:color w:val="auto"/>
                <w:highlight w:val="none"/>
              </w:rPr>
              <w:t>0.86</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0.0772</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850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16.3820</w:t>
            </w:r>
          </w:p>
        </w:tc>
        <w:tc>
          <w:tcPr>
            <w:tcW w:w="1458" w:type="dxa"/>
            <w:vAlign w:val="center"/>
          </w:tcPr>
          <w:p>
            <w:pPr>
              <w:spacing w:line="360" w:lineRule="auto"/>
              <w:jc w:val="center"/>
              <w:rPr>
                <w:rFonts w:hint="eastAsia"/>
                <w:color w:val="auto"/>
                <w:highlight w:val="none"/>
              </w:rPr>
            </w:pPr>
            <w:r>
              <w:rPr>
                <w:rFonts w:hint="eastAsia"/>
                <w:color w:val="auto"/>
                <w:highlight w:val="none"/>
              </w:rPr>
              <w:t>0.82</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0.0732</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875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17.7653</w:t>
            </w:r>
          </w:p>
        </w:tc>
        <w:tc>
          <w:tcPr>
            <w:tcW w:w="1458" w:type="dxa"/>
            <w:vAlign w:val="center"/>
          </w:tcPr>
          <w:p>
            <w:pPr>
              <w:spacing w:line="360" w:lineRule="auto"/>
              <w:jc w:val="center"/>
              <w:rPr>
                <w:rFonts w:hint="eastAsia"/>
                <w:color w:val="auto"/>
                <w:highlight w:val="none"/>
              </w:rPr>
            </w:pPr>
            <w:r>
              <w:rPr>
                <w:rFonts w:hint="eastAsia"/>
                <w:color w:val="auto"/>
                <w:highlight w:val="none"/>
              </w:rPr>
              <w:t>0.89</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0.0794</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900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18.2414</w:t>
            </w:r>
          </w:p>
        </w:tc>
        <w:tc>
          <w:tcPr>
            <w:tcW w:w="1458" w:type="dxa"/>
            <w:vAlign w:val="center"/>
          </w:tcPr>
          <w:p>
            <w:pPr>
              <w:spacing w:line="360" w:lineRule="auto"/>
              <w:jc w:val="center"/>
              <w:rPr>
                <w:rFonts w:hint="eastAsia"/>
                <w:color w:val="auto"/>
                <w:highlight w:val="none"/>
              </w:rPr>
            </w:pPr>
            <w:r>
              <w:rPr>
                <w:rFonts w:hint="eastAsia"/>
                <w:color w:val="auto"/>
                <w:highlight w:val="none"/>
              </w:rPr>
              <w:t>0.91</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0.0815</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925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17.8232</w:t>
            </w:r>
          </w:p>
        </w:tc>
        <w:tc>
          <w:tcPr>
            <w:tcW w:w="1458" w:type="dxa"/>
            <w:vAlign w:val="center"/>
          </w:tcPr>
          <w:p>
            <w:pPr>
              <w:spacing w:line="360" w:lineRule="auto"/>
              <w:jc w:val="center"/>
              <w:rPr>
                <w:rFonts w:hint="eastAsia"/>
                <w:color w:val="auto"/>
                <w:highlight w:val="none"/>
              </w:rPr>
            </w:pPr>
            <w:r>
              <w:rPr>
                <w:rFonts w:hint="eastAsia"/>
                <w:color w:val="auto"/>
                <w:highlight w:val="none"/>
              </w:rPr>
              <w:t>0.89</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0.0797</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950</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17.2330</w:t>
            </w:r>
          </w:p>
        </w:tc>
        <w:tc>
          <w:tcPr>
            <w:tcW w:w="1458" w:type="dxa"/>
            <w:vAlign w:val="center"/>
          </w:tcPr>
          <w:p>
            <w:pPr>
              <w:spacing w:line="360" w:lineRule="auto"/>
              <w:jc w:val="center"/>
              <w:rPr>
                <w:rFonts w:hint="eastAsia"/>
                <w:color w:val="auto"/>
                <w:highlight w:val="none"/>
              </w:rPr>
            </w:pPr>
            <w:r>
              <w:rPr>
                <w:rFonts w:hint="eastAsia"/>
                <w:color w:val="auto"/>
                <w:highlight w:val="none"/>
              </w:rPr>
              <w:t>0.86</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0.0770</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highlight w:val="none"/>
              </w:rPr>
              <w:t>975</w:t>
            </w:r>
          </w:p>
        </w:tc>
        <w:tc>
          <w:tcPr>
            <w:tcW w:w="1707" w:type="dxa"/>
            <w:vAlign w:val="center"/>
          </w:tcPr>
          <w:p>
            <w:pPr>
              <w:spacing w:line="360" w:lineRule="auto"/>
              <w:jc w:val="center"/>
              <w:rPr>
                <w:color w:val="auto"/>
                <w:spacing w:val="-4"/>
                <w:szCs w:val="21"/>
                <w:highlight w:val="none"/>
                <w:lang w:bidi="ar"/>
              </w:rPr>
            </w:pPr>
            <w:r>
              <w:rPr>
                <w:rFonts w:hint="eastAsia"/>
                <w:color w:val="auto"/>
                <w:highlight w:val="none"/>
              </w:rPr>
              <w:t>16.4372</w:t>
            </w:r>
          </w:p>
        </w:tc>
        <w:tc>
          <w:tcPr>
            <w:tcW w:w="1458" w:type="dxa"/>
            <w:vAlign w:val="center"/>
          </w:tcPr>
          <w:p>
            <w:pPr>
              <w:spacing w:line="360" w:lineRule="auto"/>
              <w:jc w:val="center"/>
              <w:rPr>
                <w:rFonts w:hint="eastAsia"/>
                <w:color w:val="auto"/>
                <w:highlight w:val="none"/>
              </w:rPr>
            </w:pPr>
            <w:r>
              <w:rPr>
                <w:rFonts w:hint="eastAsia"/>
                <w:color w:val="auto"/>
                <w:highlight w:val="none"/>
              </w:rPr>
              <w:t>0.82</w:t>
            </w:r>
          </w:p>
        </w:tc>
        <w:tc>
          <w:tcPr>
            <w:tcW w:w="1800" w:type="dxa"/>
            <w:vAlign w:val="center"/>
          </w:tcPr>
          <w:p>
            <w:pPr>
              <w:spacing w:line="360" w:lineRule="auto"/>
              <w:jc w:val="center"/>
              <w:rPr>
                <w:color w:val="auto"/>
                <w:spacing w:val="-4"/>
                <w:szCs w:val="21"/>
                <w:highlight w:val="none"/>
                <w:lang w:bidi="ar"/>
              </w:rPr>
            </w:pPr>
            <w:r>
              <w:rPr>
                <w:rFonts w:hint="eastAsia"/>
                <w:color w:val="auto"/>
                <w:highlight w:val="none"/>
              </w:rPr>
              <w:t>0.0735</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highlight w:val="none"/>
              </w:rPr>
            </w:pPr>
            <w:r>
              <w:rPr>
                <w:rFonts w:hint="eastAsia"/>
                <w:color w:val="auto"/>
                <w:highlight w:val="none"/>
              </w:rPr>
              <w:t>1000</w:t>
            </w:r>
          </w:p>
        </w:tc>
        <w:tc>
          <w:tcPr>
            <w:tcW w:w="1707" w:type="dxa"/>
            <w:vAlign w:val="center"/>
          </w:tcPr>
          <w:p>
            <w:pPr>
              <w:spacing w:line="360" w:lineRule="auto"/>
              <w:jc w:val="center"/>
              <w:rPr>
                <w:color w:val="auto"/>
                <w:highlight w:val="none"/>
              </w:rPr>
            </w:pPr>
            <w:r>
              <w:rPr>
                <w:rFonts w:hint="eastAsia"/>
                <w:color w:val="auto"/>
                <w:highlight w:val="none"/>
              </w:rPr>
              <w:t>16.7312</w:t>
            </w:r>
          </w:p>
        </w:tc>
        <w:tc>
          <w:tcPr>
            <w:tcW w:w="1458" w:type="dxa"/>
            <w:vAlign w:val="center"/>
          </w:tcPr>
          <w:p>
            <w:pPr>
              <w:spacing w:line="360" w:lineRule="auto"/>
              <w:jc w:val="center"/>
              <w:rPr>
                <w:rFonts w:hint="eastAsia"/>
                <w:color w:val="auto"/>
                <w:highlight w:val="none"/>
              </w:rPr>
            </w:pPr>
            <w:r>
              <w:rPr>
                <w:rFonts w:hint="eastAsia"/>
                <w:color w:val="auto"/>
                <w:highlight w:val="none"/>
              </w:rPr>
              <w:t>0.84</w:t>
            </w:r>
          </w:p>
        </w:tc>
        <w:tc>
          <w:tcPr>
            <w:tcW w:w="1800" w:type="dxa"/>
            <w:vAlign w:val="center"/>
          </w:tcPr>
          <w:p>
            <w:pPr>
              <w:spacing w:line="360" w:lineRule="auto"/>
              <w:jc w:val="center"/>
              <w:rPr>
                <w:color w:val="auto"/>
                <w:highlight w:val="none"/>
              </w:rPr>
            </w:pPr>
            <w:r>
              <w:rPr>
                <w:rFonts w:hint="eastAsia"/>
                <w:color w:val="auto"/>
                <w:highlight w:val="none"/>
              </w:rPr>
              <w:t>0.0748</w:t>
            </w:r>
          </w:p>
        </w:tc>
        <w:tc>
          <w:tcPr>
            <w:tcW w:w="1413"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1500</w:t>
            </w:r>
          </w:p>
        </w:tc>
        <w:tc>
          <w:tcPr>
            <w:tcW w:w="1707"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9.2263</w:t>
            </w:r>
          </w:p>
        </w:tc>
        <w:tc>
          <w:tcPr>
            <w:tcW w:w="1458"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0.46</w:t>
            </w:r>
          </w:p>
        </w:tc>
        <w:tc>
          <w:tcPr>
            <w:tcW w:w="1800"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0.0412</w:t>
            </w:r>
          </w:p>
        </w:tc>
        <w:tc>
          <w:tcPr>
            <w:tcW w:w="1413"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2000</w:t>
            </w:r>
          </w:p>
        </w:tc>
        <w:tc>
          <w:tcPr>
            <w:tcW w:w="1707"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7.3235</w:t>
            </w:r>
          </w:p>
        </w:tc>
        <w:tc>
          <w:tcPr>
            <w:tcW w:w="1458"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0.37</w:t>
            </w:r>
          </w:p>
        </w:tc>
        <w:tc>
          <w:tcPr>
            <w:tcW w:w="1800"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0.0327</w:t>
            </w:r>
          </w:p>
        </w:tc>
        <w:tc>
          <w:tcPr>
            <w:tcW w:w="1413"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9"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2500</w:t>
            </w:r>
          </w:p>
        </w:tc>
        <w:tc>
          <w:tcPr>
            <w:tcW w:w="1707"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6.9418</w:t>
            </w:r>
          </w:p>
        </w:tc>
        <w:tc>
          <w:tcPr>
            <w:tcW w:w="1458"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0.35</w:t>
            </w:r>
          </w:p>
        </w:tc>
        <w:tc>
          <w:tcPr>
            <w:tcW w:w="1800"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0.0310</w:t>
            </w:r>
          </w:p>
        </w:tc>
        <w:tc>
          <w:tcPr>
            <w:tcW w:w="1413"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169" w:type="dxa"/>
            <w:vAlign w:val="center"/>
          </w:tcPr>
          <w:p>
            <w:pPr>
              <w:spacing w:line="360" w:lineRule="auto"/>
              <w:jc w:val="center"/>
              <w:rPr>
                <w:color w:val="auto"/>
                <w:spacing w:val="-4"/>
                <w:szCs w:val="21"/>
                <w:highlight w:val="none"/>
                <w:lang w:bidi="ar"/>
              </w:rPr>
            </w:pPr>
            <w:r>
              <w:rPr>
                <w:color w:val="auto"/>
                <w:spacing w:val="-4"/>
                <w:szCs w:val="21"/>
                <w:highlight w:val="none"/>
                <w:lang w:bidi="ar"/>
              </w:rPr>
              <w:t>评价</w:t>
            </w:r>
          </w:p>
        </w:tc>
        <w:tc>
          <w:tcPr>
            <w:tcW w:w="3165" w:type="dxa"/>
            <w:gridSpan w:val="2"/>
            <w:vAlign w:val="center"/>
          </w:tcPr>
          <w:p>
            <w:pPr>
              <w:spacing w:line="360" w:lineRule="auto"/>
              <w:jc w:val="center"/>
              <w:rPr>
                <w:color w:val="auto"/>
                <w:spacing w:val="-4"/>
                <w:szCs w:val="21"/>
                <w:highlight w:val="none"/>
                <w:lang w:bidi="ar"/>
              </w:rPr>
            </w:pPr>
            <w:r>
              <w:rPr>
                <w:color w:val="auto"/>
                <w:spacing w:val="-4"/>
                <w:szCs w:val="21"/>
                <w:highlight w:val="none"/>
                <w:lang w:bidi="ar"/>
              </w:rPr>
              <w:t>C</w:t>
            </w:r>
            <w:r>
              <w:rPr>
                <w:color w:val="auto"/>
                <w:spacing w:val="-4"/>
                <w:szCs w:val="21"/>
                <w:highlight w:val="none"/>
                <w:vertAlign w:val="subscript"/>
                <w:lang w:bidi="ar"/>
              </w:rPr>
              <w:t>max</w:t>
            </w:r>
            <w:r>
              <w:rPr>
                <w:color w:val="auto"/>
                <w:spacing w:val="-4"/>
                <w:szCs w:val="21"/>
                <w:highlight w:val="none"/>
                <w:lang w:bidi="ar"/>
              </w:rPr>
              <w:t>=</w:t>
            </w:r>
            <w:r>
              <w:rPr>
                <w:rFonts w:hint="eastAsia"/>
                <w:color w:val="auto"/>
                <w:szCs w:val="21"/>
                <w:highlight w:val="none"/>
                <w:lang w:val="en-US" w:eastAsia="zh-CN" w:bidi="ar"/>
              </w:rPr>
              <w:t>7.7068</w:t>
            </w:r>
            <w:r>
              <w:rPr>
                <w:color w:val="auto"/>
                <w:szCs w:val="21"/>
                <w:highlight w:val="none"/>
                <w:lang w:bidi="ar"/>
              </w:rPr>
              <w:t>ug/m</w:t>
            </w:r>
            <w:r>
              <w:rPr>
                <w:color w:val="auto"/>
                <w:szCs w:val="21"/>
                <w:highlight w:val="none"/>
                <w:vertAlign w:val="superscript"/>
                <w:lang w:bidi="ar"/>
              </w:rPr>
              <w:t>3</w:t>
            </w:r>
            <w:r>
              <w:rPr>
                <w:color w:val="auto"/>
                <w:szCs w:val="21"/>
                <w:highlight w:val="none"/>
                <w:lang w:bidi="ar"/>
              </w:rPr>
              <w:t>，P</w:t>
            </w:r>
            <w:r>
              <w:rPr>
                <w:color w:val="auto"/>
                <w:szCs w:val="21"/>
                <w:highlight w:val="none"/>
                <w:vertAlign w:val="subscript"/>
                <w:lang w:bidi="ar"/>
              </w:rPr>
              <w:t>max</w:t>
            </w:r>
            <w:r>
              <w:rPr>
                <w:color w:val="auto"/>
                <w:szCs w:val="21"/>
                <w:highlight w:val="none"/>
                <w:lang w:bidi="ar"/>
              </w:rPr>
              <w:t>=</w:t>
            </w:r>
            <w:r>
              <w:rPr>
                <w:rFonts w:hint="eastAsia"/>
                <w:color w:val="auto"/>
                <w:szCs w:val="21"/>
                <w:highlight w:val="none"/>
                <w:lang w:val="en-US" w:eastAsia="zh-CN" w:bidi="ar"/>
              </w:rPr>
              <w:t>0.39</w:t>
            </w:r>
            <w:r>
              <w:rPr>
                <w:color w:val="auto"/>
                <w:szCs w:val="21"/>
                <w:highlight w:val="none"/>
                <w:lang w:bidi="ar"/>
              </w:rPr>
              <w:t>%</w:t>
            </w:r>
            <w:r>
              <w:rPr>
                <w:color w:val="auto"/>
                <w:spacing w:val="-4"/>
                <w:szCs w:val="21"/>
                <w:highlight w:val="none"/>
                <w:lang w:bidi="ar"/>
              </w:rPr>
              <w:t xml:space="preserve"> </w:t>
            </w:r>
          </w:p>
        </w:tc>
        <w:tc>
          <w:tcPr>
            <w:tcW w:w="3213" w:type="dxa"/>
            <w:gridSpan w:val="2"/>
            <w:vAlign w:val="center"/>
          </w:tcPr>
          <w:p>
            <w:pPr>
              <w:spacing w:line="360" w:lineRule="auto"/>
              <w:jc w:val="center"/>
              <w:rPr>
                <w:color w:val="auto"/>
                <w:spacing w:val="-4"/>
                <w:szCs w:val="21"/>
                <w:highlight w:val="none"/>
                <w:lang w:bidi="ar"/>
              </w:rPr>
            </w:pPr>
          </w:p>
        </w:tc>
      </w:tr>
    </w:tbl>
    <w:p>
      <w:pPr>
        <w:spacing w:line="360" w:lineRule="auto"/>
        <w:jc w:val="center"/>
        <w:rPr>
          <w:rStyle w:val="68"/>
          <w:color w:val="auto"/>
          <w:kern w:val="0"/>
          <w:highlight w:val="none"/>
        </w:rPr>
      </w:pPr>
      <w:r>
        <w:rPr>
          <w:b/>
          <w:snapToGrid w:val="0"/>
          <w:color w:val="auto"/>
          <w:sz w:val="24"/>
          <w:highlight w:val="none"/>
        </w:rPr>
        <w:t>表5.2-</w:t>
      </w:r>
      <w:r>
        <w:rPr>
          <w:rFonts w:hint="eastAsia"/>
          <w:b/>
          <w:snapToGrid w:val="0"/>
          <w:color w:val="auto"/>
          <w:sz w:val="24"/>
          <w:highlight w:val="none"/>
        </w:rPr>
        <w:t>7</w:t>
      </w:r>
      <w:r>
        <w:rPr>
          <w:b/>
          <w:snapToGrid w:val="0"/>
          <w:color w:val="auto"/>
          <w:sz w:val="24"/>
          <w:highlight w:val="none"/>
        </w:rPr>
        <w:t xml:space="preserve">  正常排放生产厂房面源污染物大气估算模式计算结果</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187"/>
        <w:gridCol w:w="1373"/>
        <w:gridCol w:w="1818"/>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距源中心</w:t>
            </w:r>
          </w:p>
        </w:tc>
        <w:tc>
          <w:tcPr>
            <w:tcW w:w="3560" w:type="dxa"/>
            <w:gridSpan w:val="2"/>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非甲烷总烃</w:t>
            </w:r>
          </w:p>
        </w:tc>
        <w:tc>
          <w:tcPr>
            <w:tcW w:w="3412" w:type="dxa"/>
            <w:gridSpan w:val="2"/>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下风向距离D（m）</w:t>
            </w:r>
          </w:p>
        </w:tc>
        <w:tc>
          <w:tcPr>
            <w:tcW w:w="2187"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最大小时筛选浓度（</w:t>
            </w:r>
            <w:r>
              <w:rPr>
                <w:b/>
                <w:bCs/>
                <w:color w:val="auto"/>
                <w:szCs w:val="21"/>
                <w:highlight w:val="none"/>
                <w:lang w:bidi="ar"/>
              </w:rPr>
              <w:t>ug/m</w:t>
            </w:r>
            <w:r>
              <w:rPr>
                <w:b/>
                <w:bCs/>
                <w:color w:val="auto"/>
                <w:szCs w:val="21"/>
                <w:highlight w:val="none"/>
                <w:vertAlign w:val="superscript"/>
                <w:lang w:bidi="ar"/>
              </w:rPr>
              <w:t>3</w:t>
            </w:r>
            <w:r>
              <w:rPr>
                <w:b/>
                <w:bCs/>
                <w:color w:val="auto"/>
                <w:spacing w:val="-4"/>
                <w:szCs w:val="21"/>
                <w:highlight w:val="none"/>
                <w:lang w:bidi="ar"/>
              </w:rPr>
              <w:t>）</w:t>
            </w:r>
          </w:p>
        </w:tc>
        <w:tc>
          <w:tcPr>
            <w:tcW w:w="1373"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浓度占标率</w:t>
            </w:r>
            <w:r>
              <w:rPr>
                <w:b/>
                <w:bCs/>
                <w:color w:val="auto"/>
                <w:szCs w:val="21"/>
                <w:highlight w:val="none"/>
                <w:lang w:bidi="ar"/>
              </w:rPr>
              <w:t>Pi（%）</w:t>
            </w:r>
          </w:p>
        </w:tc>
        <w:tc>
          <w:tcPr>
            <w:tcW w:w="1818"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最大小时筛选浓度（</w:t>
            </w:r>
            <w:r>
              <w:rPr>
                <w:b/>
                <w:bCs/>
                <w:color w:val="auto"/>
                <w:szCs w:val="21"/>
                <w:highlight w:val="none"/>
                <w:lang w:bidi="ar"/>
              </w:rPr>
              <w:t>ug/m</w:t>
            </w:r>
            <w:r>
              <w:rPr>
                <w:b/>
                <w:bCs/>
                <w:color w:val="auto"/>
                <w:szCs w:val="21"/>
                <w:highlight w:val="none"/>
                <w:vertAlign w:val="superscript"/>
                <w:lang w:bidi="ar"/>
              </w:rPr>
              <w:t>3</w:t>
            </w:r>
            <w:r>
              <w:rPr>
                <w:b/>
                <w:bCs/>
                <w:color w:val="auto"/>
                <w:spacing w:val="-4"/>
                <w:szCs w:val="21"/>
                <w:highlight w:val="none"/>
                <w:lang w:bidi="ar"/>
              </w:rPr>
              <w:t>）</w:t>
            </w:r>
          </w:p>
        </w:tc>
        <w:tc>
          <w:tcPr>
            <w:tcW w:w="1594"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浓度占标率</w:t>
            </w:r>
            <w:r>
              <w:rPr>
                <w:b/>
                <w:bCs/>
                <w:color w:val="auto"/>
                <w:szCs w:val="21"/>
                <w:highlight w:val="none"/>
                <w:lang w:bidi="ar"/>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rFonts w:hint="default" w:eastAsia="宋体"/>
                <w:b w:val="0"/>
                <w:bCs w:val="0"/>
                <w:color w:val="auto"/>
                <w:spacing w:val="-4"/>
                <w:szCs w:val="21"/>
                <w:highlight w:val="none"/>
                <w:lang w:val="en-US" w:eastAsia="zh-CN" w:bidi="ar"/>
              </w:rPr>
            </w:pPr>
            <w:r>
              <w:rPr>
                <w:rFonts w:hint="eastAsia"/>
                <w:color w:val="auto"/>
                <w:highlight w:val="none"/>
              </w:rPr>
              <w:t>10</w:t>
            </w:r>
          </w:p>
        </w:tc>
        <w:tc>
          <w:tcPr>
            <w:tcW w:w="2187" w:type="dxa"/>
            <w:vAlign w:val="center"/>
          </w:tcPr>
          <w:p>
            <w:pPr>
              <w:spacing w:line="360" w:lineRule="auto"/>
              <w:jc w:val="center"/>
              <w:rPr>
                <w:b/>
                <w:bCs/>
                <w:color w:val="auto"/>
                <w:spacing w:val="-4"/>
                <w:szCs w:val="21"/>
                <w:highlight w:val="none"/>
                <w:lang w:bidi="ar"/>
              </w:rPr>
            </w:pPr>
            <w:r>
              <w:rPr>
                <w:rFonts w:hint="eastAsia"/>
                <w:color w:val="auto"/>
                <w:highlight w:val="none"/>
              </w:rPr>
              <w:t>138.2259</w:t>
            </w:r>
          </w:p>
        </w:tc>
        <w:tc>
          <w:tcPr>
            <w:tcW w:w="1373" w:type="dxa"/>
            <w:vAlign w:val="center"/>
          </w:tcPr>
          <w:p>
            <w:pPr>
              <w:spacing w:line="360" w:lineRule="auto"/>
              <w:jc w:val="center"/>
              <w:rPr>
                <w:b/>
                <w:bCs/>
                <w:color w:val="auto"/>
                <w:spacing w:val="-4"/>
                <w:szCs w:val="21"/>
                <w:highlight w:val="none"/>
                <w:lang w:bidi="ar"/>
              </w:rPr>
            </w:pPr>
            <w:r>
              <w:rPr>
                <w:rFonts w:hint="eastAsia"/>
                <w:color w:val="auto"/>
                <w:highlight w:val="none"/>
              </w:rPr>
              <w:t>6.91</w:t>
            </w:r>
          </w:p>
        </w:tc>
        <w:tc>
          <w:tcPr>
            <w:tcW w:w="1818" w:type="dxa"/>
            <w:vAlign w:val="center"/>
          </w:tcPr>
          <w:p>
            <w:pPr>
              <w:spacing w:line="360" w:lineRule="auto"/>
              <w:jc w:val="center"/>
              <w:rPr>
                <w:b/>
                <w:bCs/>
                <w:color w:val="auto"/>
                <w:szCs w:val="21"/>
                <w:highlight w:val="none"/>
              </w:rPr>
            </w:pPr>
            <w:r>
              <w:rPr>
                <w:rFonts w:hint="eastAsia"/>
                <w:color w:val="auto"/>
                <w:highlight w:val="none"/>
              </w:rPr>
              <w:t>0.0086</w:t>
            </w:r>
          </w:p>
        </w:tc>
        <w:tc>
          <w:tcPr>
            <w:tcW w:w="1594" w:type="dxa"/>
            <w:vAlign w:val="center"/>
          </w:tcPr>
          <w:p>
            <w:pPr>
              <w:spacing w:line="360" w:lineRule="auto"/>
              <w:jc w:val="center"/>
              <w:rPr>
                <w:color w:val="auto"/>
                <w:highlight w:val="none"/>
              </w:rPr>
            </w:pPr>
            <w:r>
              <w:rPr>
                <w:rFonts w:hint="eastAsia"/>
                <w:color w:val="auto"/>
                <w:highlight w:val="none"/>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rFonts w:hint="default" w:eastAsia="宋体"/>
                <w:b/>
                <w:bCs/>
                <w:color w:val="auto"/>
                <w:spacing w:val="-4"/>
                <w:szCs w:val="21"/>
                <w:highlight w:val="none"/>
                <w:lang w:val="en-US" w:eastAsia="zh-CN" w:bidi="ar"/>
              </w:rPr>
            </w:pPr>
            <w:r>
              <w:rPr>
                <w:rFonts w:hint="eastAsia"/>
                <w:b/>
                <w:bCs/>
                <w:color w:val="auto"/>
                <w:highlight w:val="none"/>
              </w:rPr>
              <w:t>19</w:t>
            </w:r>
          </w:p>
        </w:tc>
        <w:tc>
          <w:tcPr>
            <w:tcW w:w="2187" w:type="dxa"/>
            <w:vAlign w:val="center"/>
          </w:tcPr>
          <w:p>
            <w:pPr>
              <w:spacing w:line="360" w:lineRule="auto"/>
              <w:jc w:val="center"/>
              <w:rPr>
                <w:b/>
                <w:bCs/>
                <w:color w:val="auto"/>
                <w:spacing w:val="-4"/>
                <w:szCs w:val="21"/>
                <w:highlight w:val="none"/>
                <w:lang w:bidi="ar"/>
              </w:rPr>
            </w:pPr>
            <w:r>
              <w:rPr>
                <w:rFonts w:hint="eastAsia"/>
                <w:b/>
                <w:bCs/>
                <w:color w:val="auto"/>
                <w:highlight w:val="none"/>
              </w:rPr>
              <w:t>174.6314</w:t>
            </w:r>
          </w:p>
        </w:tc>
        <w:tc>
          <w:tcPr>
            <w:tcW w:w="1373" w:type="dxa"/>
            <w:vAlign w:val="center"/>
          </w:tcPr>
          <w:p>
            <w:pPr>
              <w:spacing w:line="360" w:lineRule="auto"/>
              <w:jc w:val="center"/>
              <w:rPr>
                <w:b/>
                <w:bCs/>
                <w:color w:val="auto"/>
                <w:spacing w:val="-4"/>
                <w:szCs w:val="21"/>
                <w:highlight w:val="none"/>
                <w:lang w:bidi="ar"/>
              </w:rPr>
            </w:pPr>
            <w:r>
              <w:rPr>
                <w:rFonts w:hint="eastAsia"/>
                <w:b/>
                <w:bCs/>
                <w:color w:val="auto"/>
                <w:highlight w:val="none"/>
              </w:rPr>
              <w:t>8.73</w:t>
            </w:r>
          </w:p>
        </w:tc>
        <w:tc>
          <w:tcPr>
            <w:tcW w:w="1818" w:type="dxa"/>
            <w:vAlign w:val="center"/>
          </w:tcPr>
          <w:p>
            <w:pPr>
              <w:spacing w:line="360" w:lineRule="auto"/>
              <w:jc w:val="center"/>
              <w:rPr>
                <w:b/>
                <w:bCs/>
                <w:color w:val="auto"/>
                <w:szCs w:val="21"/>
                <w:highlight w:val="none"/>
              </w:rPr>
            </w:pPr>
            <w:r>
              <w:rPr>
                <w:rFonts w:hint="eastAsia"/>
                <w:b/>
                <w:bCs/>
                <w:color w:val="auto"/>
                <w:highlight w:val="none"/>
              </w:rPr>
              <w:t>0.0109</w:t>
            </w:r>
          </w:p>
        </w:tc>
        <w:tc>
          <w:tcPr>
            <w:tcW w:w="1594" w:type="dxa"/>
            <w:vAlign w:val="center"/>
          </w:tcPr>
          <w:p>
            <w:pPr>
              <w:spacing w:line="360" w:lineRule="auto"/>
              <w:jc w:val="center"/>
              <w:rPr>
                <w:b/>
                <w:bCs/>
                <w:color w:val="auto"/>
                <w:highlight w:val="none"/>
              </w:rPr>
            </w:pPr>
            <w:r>
              <w:rPr>
                <w:rFonts w:hint="eastAsia"/>
                <w:b/>
                <w:bCs/>
                <w:color w:val="auto"/>
                <w:highlight w:val="none"/>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577" w:type="dxa"/>
            <w:vAlign w:val="center"/>
          </w:tcPr>
          <w:p>
            <w:pPr>
              <w:spacing w:line="360" w:lineRule="auto"/>
              <w:jc w:val="center"/>
              <w:rPr>
                <w:rFonts w:hint="default" w:eastAsia="宋体"/>
                <w:b w:val="0"/>
                <w:bCs w:val="0"/>
                <w:color w:val="auto"/>
                <w:spacing w:val="-4"/>
                <w:szCs w:val="21"/>
                <w:highlight w:val="none"/>
                <w:lang w:val="en-US" w:eastAsia="zh-CN" w:bidi="ar"/>
              </w:rPr>
            </w:pPr>
            <w:r>
              <w:rPr>
                <w:rFonts w:hint="eastAsia"/>
                <w:color w:val="auto"/>
                <w:highlight w:val="none"/>
              </w:rPr>
              <w:t>25</w:t>
            </w:r>
          </w:p>
        </w:tc>
        <w:tc>
          <w:tcPr>
            <w:tcW w:w="2187" w:type="dxa"/>
            <w:vAlign w:val="center"/>
          </w:tcPr>
          <w:p>
            <w:pPr>
              <w:spacing w:line="360" w:lineRule="auto"/>
              <w:jc w:val="center"/>
              <w:rPr>
                <w:b/>
                <w:bCs/>
                <w:color w:val="auto"/>
                <w:spacing w:val="-4"/>
                <w:szCs w:val="21"/>
                <w:highlight w:val="none"/>
                <w:lang w:bidi="ar"/>
              </w:rPr>
            </w:pPr>
            <w:r>
              <w:rPr>
                <w:rFonts w:hint="eastAsia"/>
                <w:color w:val="auto"/>
                <w:highlight w:val="none"/>
              </w:rPr>
              <w:t>159.1073</w:t>
            </w:r>
          </w:p>
        </w:tc>
        <w:tc>
          <w:tcPr>
            <w:tcW w:w="1373" w:type="dxa"/>
            <w:vAlign w:val="center"/>
          </w:tcPr>
          <w:p>
            <w:pPr>
              <w:spacing w:line="360" w:lineRule="auto"/>
              <w:jc w:val="center"/>
              <w:rPr>
                <w:b/>
                <w:bCs/>
                <w:color w:val="auto"/>
                <w:spacing w:val="-4"/>
                <w:szCs w:val="21"/>
                <w:highlight w:val="none"/>
                <w:lang w:bidi="ar"/>
              </w:rPr>
            </w:pPr>
            <w:r>
              <w:rPr>
                <w:rFonts w:hint="eastAsia"/>
                <w:color w:val="auto"/>
                <w:highlight w:val="none"/>
              </w:rPr>
              <w:t>7.96</w:t>
            </w:r>
          </w:p>
        </w:tc>
        <w:tc>
          <w:tcPr>
            <w:tcW w:w="1818" w:type="dxa"/>
            <w:vAlign w:val="center"/>
          </w:tcPr>
          <w:p>
            <w:pPr>
              <w:spacing w:line="360" w:lineRule="auto"/>
              <w:jc w:val="center"/>
              <w:rPr>
                <w:b/>
                <w:bCs/>
                <w:color w:val="auto"/>
                <w:szCs w:val="21"/>
                <w:highlight w:val="none"/>
              </w:rPr>
            </w:pPr>
            <w:r>
              <w:rPr>
                <w:rFonts w:hint="eastAsia"/>
                <w:color w:val="auto"/>
                <w:highlight w:val="none"/>
              </w:rPr>
              <w:t>0.0099</w:t>
            </w:r>
          </w:p>
        </w:tc>
        <w:tc>
          <w:tcPr>
            <w:tcW w:w="1594" w:type="dxa"/>
            <w:vAlign w:val="center"/>
          </w:tcPr>
          <w:p>
            <w:pPr>
              <w:spacing w:line="360" w:lineRule="auto"/>
              <w:jc w:val="center"/>
              <w:rPr>
                <w:b/>
                <w:bCs/>
                <w:color w:val="auto"/>
                <w:highlight w:val="none"/>
              </w:rPr>
            </w:pPr>
            <w:r>
              <w:rPr>
                <w:rFonts w:hint="eastAsia"/>
                <w:color w:val="auto"/>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577" w:type="dxa"/>
            <w:vAlign w:val="center"/>
          </w:tcPr>
          <w:p>
            <w:pPr>
              <w:spacing w:line="360" w:lineRule="auto"/>
              <w:jc w:val="center"/>
              <w:rPr>
                <w:rFonts w:hint="default" w:eastAsia="宋体"/>
                <w:b w:val="0"/>
                <w:bCs w:val="0"/>
                <w:color w:val="auto"/>
                <w:spacing w:val="-4"/>
                <w:szCs w:val="21"/>
                <w:highlight w:val="none"/>
                <w:lang w:val="en-US" w:eastAsia="zh-CN" w:bidi="ar"/>
              </w:rPr>
            </w:pPr>
            <w:r>
              <w:rPr>
                <w:rFonts w:hint="eastAsia"/>
                <w:color w:val="auto"/>
                <w:highlight w:val="none"/>
              </w:rPr>
              <w:t>50</w:t>
            </w:r>
          </w:p>
        </w:tc>
        <w:tc>
          <w:tcPr>
            <w:tcW w:w="2187" w:type="dxa"/>
            <w:vAlign w:val="center"/>
          </w:tcPr>
          <w:p>
            <w:pPr>
              <w:spacing w:line="360" w:lineRule="auto"/>
              <w:jc w:val="center"/>
              <w:rPr>
                <w:b/>
                <w:bCs/>
                <w:color w:val="auto"/>
                <w:spacing w:val="-4"/>
                <w:szCs w:val="21"/>
                <w:highlight w:val="none"/>
                <w:lang w:bidi="ar"/>
              </w:rPr>
            </w:pPr>
            <w:r>
              <w:rPr>
                <w:rFonts w:hint="eastAsia"/>
                <w:color w:val="auto"/>
                <w:highlight w:val="none"/>
              </w:rPr>
              <w:t>109.8974</w:t>
            </w:r>
          </w:p>
        </w:tc>
        <w:tc>
          <w:tcPr>
            <w:tcW w:w="1373" w:type="dxa"/>
            <w:vAlign w:val="center"/>
          </w:tcPr>
          <w:p>
            <w:pPr>
              <w:spacing w:line="360" w:lineRule="auto"/>
              <w:jc w:val="center"/>
              <w:rPr>
                <w:rFonts w:hint="eastAsia" w:eastAsia="宋体"/>
                <w:b/>
                <w:bCs/>
                <w:color w:val="auto"/>
                <w:spacing w:val="-4"/>
                <w:szCs w:val="21"/>
                <w:highlight w:val="none"/>
                <w:lang w:val="en-US" w:eastAsia="zh-CN" w:bidi="ar"/>
              </w:rPr>
            </w:pPr>
            <w:r>
              <w:rPr>
                <w:rFonts w:hint="eastAsia"/>
                <w:color w:val="auto"/>
                <w:highlight w:val="none"/>
              </w:rPr>
              <w:t>5.49</w:t>
            </w:r>
          </w:p>
        </w:tc>
        <w:tc>
          <w:tcPr>
            <w:tcW w:w="1818" w:type="dxa"/>
            <w:vAlign w:val="center"/>
          </w:tcPr>
          <w:p>
            <w:pPr>
              <w:spacing w:line="360" w:lineRule="auto"/>
              <w:jc w:val="center"/>
              <w:rPr>
                <w:b/>
                <w:bCs/>
                <w:color w:val="auto"/>
                <w:szCs w:val="21"/>
                <w:highlight w:val="none"/>
              </w:rPr>
            </w:pPr>
            <w:r>
              <w:rPr>
                <w:rFonts w:hint="eastAsia"/>
                <w:color w:val="auto"/>
                <w:highlight w:val="none"/>
              </w:rPr>
              <w:t>0.0069</w:t>
            </w:r>
          </w:p>
        </w:tc>
        <w:tc>
          <w:tcPr>
            <w:tcW w:w="1594" w:type="dxa"/>
            <w:vAlign w:val="center"/>
          </w:tcPr>
          <w:p>
            <w:pPr>
              <w:spacing w:line="360" w:lineRule="auto"/>
              <w:jc w:val="center"/>
              <w:rPr>
                <w:b/>
                <w:bCs/>
                <w:color w:val="auto"/>
                <w:highlight w:val="none"/>
              </w:rPr>
            </w:pPr>
            <w:r>
              <w:rPr>
                <w:rFonts w:hint="eastAsia"/>
                <w:color w:val="auto"/>
                <w:highlight w:val="none"/>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highlight w:val="none"/>
              </w:rPr>
              <w:t>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123.9455</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6.20</w:t>
            </w:r>
          </w:p>
        </w:tc>
        <w:tc>
          <w:tcPr>
            <w:tcW w:w="1818" w:type="dxa"/>
            <w:vAlign w:val="center"/>
          </w:tcPr>
          <w:p>
            <w:pPr>
              <w:spacing w:line="360" w:lineRule="auto"/>
              <w:jc w:val="center"/>
              <w:rPr>
                <w:color w:val="auto"/>
                <w:szCs w:val="21"/>
                <w:highlight w:val="none"/>
              </w:rPr>
            </w:pPr>
            <w:r>
              <w:rPr>
                <w:rFonts w:hint="eastAsia"/>
                <w:color w:val="auto"/>
                <w:highlight w:val="none"/>
              </w:rPr>
              <w:t>0.0077</w:t>
            </w:r>
          </w:p>
        </w:tc>
        <w:tc>
          <w:tcPr>
            <w:tcW w:w="1594" w:type="dxa"/>
            <w:vAlign w:val="center"/>
          </w:tcPr>
          <w:p>
            <w:pPr>
              <w:spacing w:line="360" w:lineRule="auto"/>
              <w:jc w:val="center"/>
              <w:rPr>
                <w:color w:val="auto"/>
                <w:highlight w:val="none"/>
              </w:rPr>
            </w:pPr>
            <w:r>
              <w:rPr>
                <w:rFonts w:hint="eastAsia"/>
                <w:color w:val="auto"/>
                <w:highlight w:val="none"/>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100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134.0304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6.70</w:t>
            </w:r>
          </w:p>
        </w:tc>
        <w:tc>
          <w:tcPr>
            <w:tcW w:w="1818" w:type="dxa"/>
            <w:vAlign w:val="center"/>
          </w:tcPr>
          <w:p>
            <w:pPr>
              <w:spacing w:line="360" w:lineRule="auto"/>
              <w:jc w:val="center"/>
              <w:rPr>
                <w:color w:val="auto"/>
                <w:szCs w:val="21"/>
                <w:highlight w:val="none"/>
              </w:rPr>
            </w:pPr>
            <w:r>
              <w:rPr>
                <w:rFonts w:hint="eastAsia"/>
                <w:color w:val="auto"/>
                <w:highlight w:val="none"/>
              </w:rPr>
              <w:t>0.0084</w:t>
            </w:r>
          </w:p>
        </w:tc>
        <w:tc>
          <w:tcPr>
            <w:tcW w:w="1594" w:type="dxa"/>
            <w:vAlign w:val="center"/>
          </w:tcPr>
          <w:p>
            <w:pPr>
              <w:spacing w:line="360" w:lineRule="auto"/>
              <w:jc w:val="center"/>
              <w:rPr>
                <w:color w:val="auto"/>
                <w:highlight w:val="none"/>
              </w:rPr>
            </w:pPr>
            <w:r>
              <w:rPr>
                <w:rFonts w:hint="eastAsia"/>
                <w:color w:val="auto"/>
                <w:highlight w:val="none"/>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125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116.4391</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5.82</w:t>
            </w:r>
          </w:p>
        </w:tc>
        <w:tc>
          <w:tcPr>
            <w:tcW w:w="1818" w:type="dxa"/>
            <w:vAlign w:val="center"/>
          </w:tcPr>
          <w:p>
            <w:pPr>
              <w:spacing w:line="360" w:lineRule="auto"/>
              <w:jc w:val="center"/>
              <w:rPr>
                <w:color w:val="auto"/>
                <w:szCs w:val="21"/>
                <w:highlight w:val="none"/>
              </w:rPr>
            </w:pPr>
            <w:r>
              <w:rPr>
                <w:rFonts w:hint="eastAsia"/>
                <w:color w:val="auto"/>
                <w:highlight w:val="none"/>
              </w:rPr>
              <w:t>0.0073</w:t>
            </w:r>
          </w:p>
        </w:tc>
        <w:tc>
          <w:tcPr>
            <w:tcW w:w="1594" w:type="dxa"/>
            <w:vAlign w:val="center"/>
          </w:tcPr>
          <w:p>
            <w:pPr>
              <w:spacing w:line="360" w:lineRule="auto"/>
              <w:jc w:val="center"/>
              <w:rPr>
                <w:color w:val="auto"/>
                <w:highlight w:val="none"/>
              </w:rPr>
            </w:pPr>
            <w:r>
              <w:rPr>
                <w:rFonts w:hint="eastAsia"/>
                <w:color w:val="auto"/>
                <w:highlight w:val="none"/>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150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103.2564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5.16</w:t>
            </w:r>
          </w:p>
        </w:tc>
        <w:tc>
          <w:tcPr>
            <w:tcW w:w="1818" w:type="dxa"/>
            <w:vAlign w:val="center"/>
          </w:tcPr>
          <w:p>
            <w:pPr>
              <w:spacing w:line="360" w:lineRule="auto"/>
              <w:jc w:val="center"/>
              <w:rPr>
                <w:color w:val="auto"/>
                <w:szCs w:val="21"/>
                <w:highlight w:val="none"/>
              </w:rPr>
            </w:pPr>
            <w:r>
              <w:rPr>
                <w:rFonts w:hint="eastAsia"/>
                <w:color w:val="auto"/>
                <w:highlight w:val="none"/>
              </w:rPr>
              <w:t>0.0064</w:t>
            </w:r>
          </w:p>
        </w:tc>
        <w:tc>
          <w:tcPr>
            <w:tcW w:w="1594" w:type="dxa"/>
            <w:vAlign w:val="center"/>
          </w:tcPr>
          <w:p>
            <w:pPr>
              <w:spacing w:line="360" w:lineRule="auto"/>
              <w:jc w:val="center"/>
              <w:rPr>
                <w:color w:val="auto"/>
                <w:highlight w:val="none"/>
              </w:rPr>
            </w:pPr>
            <w:r>
              <w:rPr>
                <w:rFonts w:hint="eastAsia"/>
                <w:color w:val="auto"/>
                <w:highlight w:val="none"/>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175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93.1154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4.66</w:t>
            </w:r>
          </w:p>
        </w:tc>
        <w:tc>
          <w:tcPr>
            <w:tcW w:w="1818" w:type="dxa"/>
            <w:vAlign w:val="center"/>
          </w:tcPr>
          <w:p>
            <w:pPr>
              <w:spacing w:line="360" w:lineRule="auto"/>
              <w:jc w:val="center"/>
              <w:rPr>
                <w:color w:val="auto"/>
                <w:szCs w:val="21"/>
                <w:highlight w:val="none"/>
              </w:rPr>
            </w:pPr>
            <w:r>
              <w:rPr>
                <w:rFonts w:hint="eastAsia"/>
                <w:color w:val="auto"/>
                <w:highlight w:val="none"/>
              </w:rPr>
              <w:t>0.0058</w:t>
            </w:r>
          </w:p>
        </w:tc>
        <w:tc>
          <w:tcPr>
            <w:tcW w:w="1594" w:type="dxa"/>
            <w:vAlign w:val="center"/>
          </w:tcPr>
          <w:p>
            <w:pPr>
              <w:spacing w:line="360" w:lineRule="auto"/>
              <w:jc w:val="center"/>
              <w:rPr>
                <w:color w:val="auto"/>
                <w:highlight w:val="none"/>
              </w:rPr>
            </w:pPr>
            <w:r>
              <w:rPr>
                <w:rFonts w:hint="eastAsia"/>
                <w:color w:val="auto"/>
                <w:highlight w:val="none"/>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200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84.9695</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4.25</w:t>
            </w:r>
          </w:p>
        </w:tc>
        <w:tc>
          <w:tcPr>
            <w:tcW w:w="1818" w:type="dxa"/>
            <w:vAlign w:val="center"/>
          </w:tcPr>
          <w:p>
            <w:pPr>
              <w:spacing w:line="360" w:lineRule="auto"/>
              <w:jc w:val="center"/>
              <w:rPr>
                <w:color w:val="auto"/>
                <w:szCs w:val="21"/>
                <w:highlight w:val="none"/>
              </w:rPr>
            </w:pPr>
            <w:r>
              <w:rPr>
                <w:rFonts w:hint="eastAsia"/>
                <w:color w:val="auto"/>
                <w:highlight w:val="none"/>
              </w:rPr>
              <w:t>0.0053</w:t>
            </w:r>
          </w:p>
        </w:tc>
        <w:tc>
          <w:tcPr>
            <w:tcW w:w="1594" w:type="dxa"/>
            <w:vAlign w:val="center"/>
          </w:tcPr>
          <w:p>
            <w:pPr>
              <w:spacing w:line="360" w:lineRule="auto"/>
              <w:jc w:val="center"/>
              <w:rPr>
                <w:color w:val="auto"/>
                <w:highlight w:val="none"/>
              </w:rPr>
            </w:pPr>
            <w:r>
              <w:rPr>
                <w:rFonts w:hint="eastAsia"/>
                <w:color w:val="auto"/>
                <w:highlight w:val="none"/>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225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78.1923</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3.91</w:t>
            </w:r>
          </w:p>
        </w:tc>
        <w:tc>
          <w:tcPr>
            <w:tcW w:w="1818" w:type="dxa"/>
            <w:vAlign w:val="center"/>
          </w:tcPr>
          <w:p>
            <w:pPr>
              <w:spacing w:line="360" w:lineRule="auto"/>
              <w:jc w:val="center"/>
              <w:rPr>
                <w:color w:val="auto"/>
                <w:szCs w:val="21"/>
                <w:highlight w:val="none"/>
              </w:rPr>
            </w:pPr>
            <w:r>
              <w:rPr>
                <w:rFonts w:hint="eastAsia"/>
                <w:color w:val="auto"/>
                <w:highlight w:val="none"/>
              </w:rPr>
              <w:t>0.0049</w:t>
            </w:r>
          </w:p>
        </w:tc>
        <w:tc>
          <w:tcPr>
            <w:tcW w:w="1594" w:type="dxa"/>
            <w:vAlign w:val="center"/>
          </w:tcPr>
          <w:p>
            <w:pPr>
              <w:spacing w:line="360" w:lineRule="auto"/>
              <w:jc w:val="center"/>
              <w:rPr>
                <w:color w:val="auto"/>
                <w:highlight w:val="none"/>
              </w:rPr>
            </w:pPr>
            <w:r>
              <w:rPr>
                <w:rFonts w:hint="eastAsia"/>
                <w:color w:val="auto"/>
                <w:highlight w:val="none"/>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250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72.6058</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3.63</w:t>
            </w:r>
          </w:p>
        </w:tc>
        <w:tc>
          <w:tcPr>
            <w:tcW w:w="1818" w:type="dxa"/>
            <w:vAlign w:val="center"/>
          </w:tcPr>
          <w:p>
            <w:pPr>
              <w:spacing w:line="360" w:lineRule="auto"/>
              <w:jc w:val="center"/>
              <w:rPr>
                <w:color w:val="auto"/>
                <w:szCs w:val="21"/>
                <w:highlight w:val="none"/>
              </w:rPr>
            </w:pPr>
            <w:r>
              <w:rPr>
                <w:rFonts w:hint="eastAsia"/>
                <w:color w:val="auto"/>
                <w:highlight w:val="none"/>
              </w:rPr>
              <w:t>0.0045</w:t>
            </w:r>
          </w:p>
        </w:tc>
        <w:tc>
          <w:tcPr>
            <w:tcW w:w="1594" w:type="dxa"/>
            <w:vAlign w:val="center"/>
          </w:tcPr>
          <w:p>
            <w:pPr>
              <w:spacing w:line="360" w:lineRule="auto"/>
              <w:jc w:val="center"/>
              <w:rPr>
                <w:color w:val="auto"/>
                <w:highlight w:val="none"/>
              </w:rPr>
            </w:pPr>
            <w:r>
              <w:rPr>
                <w:rFonts w:hint="eastAsia"/>
                <w:color w:val="auto"/>
                <w:highlight w:val="none"/>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275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67.8093</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3.39</w:t>
            </w:r>
          </w:p>
        </w:tc>
        <w:tc>
          <w:tcPr>
            <w:tcW w:w="1818" w:type="dxa"/>
            <w:vAlign w:val="center"/>
          </w:tcPr>
          <w:p>
            <w:pPr>
              <w:spacing w:line="360" w:lineRule="auto"/>
              <w:jc w:val="center"/>
              <w:rPr>
                <w:color w:val="auto"/>
                <w:szCs w:val="21"/>
                <w:highlight w:val="none"/>
              </w:rPr>
            </w:pPr>
            <w:r>
              <w:rPr>
                <w:rFonts w:hint="eastAsia"/>
                <w:color w:val="auto"/>
                <w:highlight w:val="none"/>
              </w:rPr>
              <w:t>0.0042</w:t>
            </w:r>
          </w:p>
        </w:tc>
        <w:tc>
          <w:tcPr>
            <w:tcW w:w="1594" w:type="dxa"/>
            <w:vAlign w:val="center"/>
          </w:tcPr>
          <w:p>
            <w:pPr>
              <w:spacing w:line="360" w:lineRule="auto"/>
              <w:jc w:val="center"/>
              <w:rPr>
                <w:color w:val="auto"/>
                <w:highlight w:val="none"/>
              </w:rPr>
            </w:pPr>
            <w:r>
              <w:rPr>
                <w:rFonts w:hint="eastAsia"/>
                <w:color w:val="auto"/>
                <w:highlight w:val="none"/>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300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63.5641</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3.18</w:t>
            </w:r>
          </w:p>
        </w:tc>
        <w:tc>
          <w:tcPr>
            <w:tcW w:w="1818" w:type="dxa"/>
            <w:vAlign w:val="center"/>
          </w:tcPr>
          <w:p>
            <w:pPr>
              <w:spacing w:line="360" w:lineRule="auto"/>
              <w:jc w:val="center"/>
              <w:rPr>
                <w:color w:val="auto"/>
                <w:szCs w:val="21"/>
                <w:highlight w:val="none"/>
              </w:rPr>
            </w:pPr>
            <w:r>
              <w:rPr>
                <w:rFonts w:hint="eastAsia"/>
                <w:color w:val="auto"/>
                <w:highlight w:val="none"/>
              </w:rPr>
              <w:t>0.0040</w:t>
            </w:r>
          </w:p>
        </w:tc>
        <w:tc>
          <w:tcPr>
            <w:tcW w:w="1594" w:type="dxa"/>
            <w:vAlign w:val="center"/>
          </w:tcPr>
          <w:p>
            <w:pPr>
              <w:spacing w:line="360" w:lineRule="auto"/>
              <w:jc w:val="center"/>
              <w:rPr>
                <w:color w:val="auto"/>
                <w:highlight w:val="none"/>
              </w:rPr>
            </w:pPr>
            <w:r>
              <w:rPr>
                <w:rFonts w:hint="eastAsia"/>
                <w:color w:val="auto"/>
                <w:highlight w:val="none"/>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325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59.9343</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3.00</w:t>
            </w:r>
          </w:p>
        </w:tc>
        <w:tc>
          <w:tcPr>
            <w:tcW w:w="1818" w:type="dxa"/>
            <w:vAlign w:val="center"/>
          </w:tcPr>
          <w:p>
            <w:pPr>
              <w:spacing w:line="360" w:lineRule="auto"/>
              <w:jc w:val="center"/>
              <w:rPr>
                <w:color w:val="auto"/>
                <w:szCs w:val="21"/>
                <w:highlight w:val="none"/>
              </w:rPr>
            </w:pPr>
            <w:r>
              <w:rPr>
                <w:rFonts w:hint="eastAsia"/>
                <w:color w:val="auto"/>
                <w:highlight w:val="none"/>
              </w:rPr>
              <w:t>0.0037</w:t>
            </w:r>
          </w:p>
        </w:tc>
        <w:tc>
          <w:tcPr>
            <w:tcW w:w="1594" w:type="dxa"/>
            <w:vAlign w:val="center"/>
          </w:tcPr>
          <w:p>
            <w:pPr>
              <w:spacing w:line="360" w:lineRule="auto"/>
              <w:jc w:val="center"/>
              <w:rPr>
                <w:color w:val="auto"/>
                <w:highlight w:val="none"/>
              </w:rPr>
            </w:pPr>
            <w:r>
              <w:rPr>
                <w:rFonts w:hint="eastAsia"/>
                <w:color w:val="auto"/>
                <w:highlight w:val="none"/>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350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56.9134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2.85</w:t>
            </w:r>
          </w:p>
        </w:tc>
        <w:tc>
          <w:tcPr>
            <w:tcW w:w="1818" w:type="dxa"/>
            <w:vAlign w:val="center"/>
          </w:tcPr>
          <w:p>
            <w:pPr>
              <w:spacing w:line="360" w:lineRule="auto"/>
              <w:jc w:val="center"/>
              <w:rPr>
                <w:color w:val="auto"/>
                <w:szCs w:val="21"/>
                <w:highlight w:val="none"/>
              </w:rPr>
            </w:pPr>
            <w:r>
              <w:rPr>
                <w:rFonts w:hint="eastAsia"/>
                <w:color w:val="auto"/>
                <w:highlight w:val="none"/>
              </w:rPr>
              <w:t>0.0036</w:t>
            </w:r>
          </w:p>
        </w:tc>
        <w:tc>
          <w:tcPr>
            <w:tcW w:w="1594" w:type="dxa"/>
            <w:vAlign w:val="center"/>
          </w:tcPr>
          <w:p>
            <w:pPr>
              <w:spacing w:line="360" w:lineRule="auto"/>
              <w:jc w:val="center"/>
              <w:rPr>
                <w:color w:val="auto"/>
                <w:highlight w:val="none"/>
              </w:rPr>
            </w:pPr>
            <w:r>
              <w:rPr>
                <w:rFonts w:hint="eastAsia"/>
                <w:color w:val="auto"/>
                <w:highlight w:val="none"/>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375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53.9920</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2.70</w:t>
            </w:r>
          </w:p>
        </w:tc>
        <w:tc>
          <w:tcPr>
            <w:tcW w:w="1818" w:type="dxa"/>
            <w:vAlign w:val="center"/>
          </w:tcPr>
          <w:p>
            <w:pPr>
              <w:spacing w:line="360" w:lineRule="auto"/>
              <w:jc w:val="center"/>
              <w:rPr>
                <w:color w:val="auto"/>
                <w:szCs w:val="21"/>
                <w:highlight w:val="none"/>
              </w:rPr>
            </w:pPr>
            <w:r>
              <w:rPr>
                <w:rFonts w:hint="eastAsia"/>
                <w:color w:val="auto"/>
                <w:highlight w:val="none"/>
              </w:rPr>
              <w:t>0.0034</w:t>
            </w:r>
          </w:p>
        </w:tc>
        <w:tc>
          <w:tcPr>
            <w:tcW w:w="1594" w:type="dxa"/>
            <w:vAlign w:val="center"/>
          </w:tcPr>
          <w:p>
            <w:pPr>
              <w:spacing w:line="360" w:lineRule="auto"/>
              <w:jc w:val="center"/>
              <w:rPr>
                <w:color w:val="auto"/>
                <w:highlight w:val="none"/>
              </w:rPr>
            </w:pPr>
            <w:r>
              <w:rPr>
                <w:rFonts w:hint="eastAsia"/>
                <w:color w:val="auto"/>
                <w:highlight w:val="none"/>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400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51.5865</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2.58</w:t>
            </w:r>
          </w:p>
        </w:tc>
        <w:tc>
          <w:tcPr>
            <w:tcW w:w="1818" w:type="dxa"/>
            <w:vAlign w:val="center"/>
          </w:tcPr>
          <w:p>
            <w:pPr>
              <w:spacing w:line="360" w:lineRule="auto"/>
              <w:jc w:val="center"/>
              <w:rPr>
                <w:color w:val="auto"/>
                <w:szCs w:val="21"/>
                <w:highlight w:val="none"/>
              </w:rPr>
            </w:pPr>
            <w:r>
              <w:rPr>
                <w:rFonts w:hint="eastAsia"/>
                <w:color w:val="auto"/>
                <w:highlight w:val="none"/>
              </w:rPr>
              <w:t>0.0032</w:t>
            </w:r>
          </w:p>
        </w:tc>
        <w:tc>
          <w:tcPr>
            <w:tcW w:w="1594" w:type="dxa"/>
            <w:vAlign w:val="center"/>
          </w:tcPr>
          <w:p>
            <w:pPr>
              <w:spacing w:line="360" w:lineRule="auto"/>
              <w:jc w:val="center"/>
              <w:rPr>
                <w:color w:val="auto"/>
                <w:highlight w:val="none"/>
              </w:rPr>
            </w:pPr>
            <w:r>
              <w:rPr>
                <w:rFonts w:hint="eastAsia"/>
                <w:color w:val="auto"/>
                <w:highlight w:val="none"/>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425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47.4423</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2.37</w:t>
            </w:r>
          </w:p>
        </w:tc>
        <w:tc>
          <w:tcPr>
            <w:tcW w:w="1818" w:type="dxa"/>
            <w:vAlign w:val="center"/>
          </w:tcPr>
          <w:p>
            <w:pPr>
              <w:spacing w:line="360" w:lineRule="auto"/>
              <w:jc w:val="center"/>
              <w:rPr>
                <w:color w:val="auto"/>
                <w:szCs w:val="21"/>
                <w:highlight w:val="none"/>
              </w:rPr>
            </w:pPr>
            <w:r>
              <w:rPr>
                <w:rFonts w:hint="eastAsia"/>
                <w:color w:val="auto"/>
                <w:highlight w:val="none"/>
              </w:rPr>
              <w:t>0.0030</w:t>
            </w:r>
          </w:p>
        </w:tc>
        <w:tc>
          <w:tcPr>
            <w:tcW w:w="1594" w:type="dxa"/>
            <w:vAlign w:val="center"/>
          </w:tcPr>
          <w:p>
            <w:pPr>
              <w:spacing w:line="360" w:lineRule="auto"/>
              <w:jc w:val="center"/>
              <w:rPr>
                <w:color w:val="auto"/>
                <w:highlight w:val="none"/>
              </w:rPr>
            </w:pPr>
            <w:r>
              <w:rPr>
                <w:rFonts w:hint="eastAsia"/>
                <w:color w:val="auto"/>
                <w:highlight w:val="none"/>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450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46.4824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2.32</w:t>
            </w:r>
          </w:p>
        </w:tc>
        <w:tc>
          <w:tcPr>
            <w:tcW w:w="1818" w:type="dxa"/>
            <w:vAlign w:val="center"/>
          </w:tcPr>
          <w:p>
            <w:pPr>
              <w:spacing w:line="360" w:lineRule="auto"/>
              <w:jc w:val="center"/>
              <w:rPr>
                <w:color w:val="auto"/>
                <w:szCs w:val="21"/>
                <w:highlight w:val="none"/>
              </w:rPr>
            </w:pPr>
            <w:r>
              <w:rPr>
                <w:rFonts w:hint="eastAsia"/>
                <w:color w:val="auto"/>
                <w:highlight w:val="none"/>
              </w:rPr>
              <w:t>0.0029</w:t>
            </w:r>
          </w:p>
        </w:tc>
        <w:tc>
          <w:tcPr>
            <w:tcW w:w="1594" w:type="dxa"/>
            <w:vAlign w:val="center"/>
          </w:tcPr>
          <w:p>
            <w:pPr>
              <w:spacing w:line="360" w:lineRule="auto"/>
              <w:jc w:val="center"/>
              <w:rPr>
                <w:color w:val="auto"/>
                <w:highlight w:val="none"/>
              </w:rPr>
            </w:pPr>
            <w:r>
              <w:rPr>
                <w:rFonts w:hint="eastAsia"/>
                <w:color w:val="auto"/>
                <w:highlight w:val="none"/>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475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43.8205</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2.19</w:t>
            </w:r>
          </w:p>
        </w:tc>
        <w:tc>
          <w:tcPr>
            <w:tcW w:w="1818" w:type="dxa"/>
            <w:vAlign w:val="center"/>
          </w:tcPr>
          <w:p>
            <w:pPr>
              <w:spacing w:line="360" w:lineRule="auto"/>
              <w:jc w:val="center"/>
              <w:rPr>
                <w:color w:val="auto"/>
                <w:szCs w:val="21"/>
                <w:highlight w:val="none"/>
              </w:rPr>
            </w:pPr>
            <w:r>
              <w:rPr>
                <w:rFonts w:hint="eastAsia"/>
                <w:color w:val="auto"/>
                <w:highlight w:val="none"/>
              </w:rPr>
              <w:t>0.0027</w:t>
            </w:r>
          </w:p>
        </w:tc>
        <w:tc>
          <w:tcPr>
            <w:tcW w:w="1594" w:type="dxa"/>
            <w:vAlign w:val="center"/>
          </w:tcPr>
          <w:p>
            <w:pPr>
              <w:spacing w:line="360" w:lineRule="auto"/>
              <w:jc w:val="center"/>
              <w:rPr>
                <w:color w:val="auto"/>
                <w:highlight w:val="none"/>
              </w:rPr>
            </w:pPr>
            <w:r>
              <w:rPr>
                <w:rFonts w:hint="eastAsia"/>
                <w:color w:val="auto"/>
                <w:highlight w:val="none"/>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500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43.5272</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2.18</w:t>
            </w:r>
          </w:p>
        </w:tc>
        <w:tc>
          <w:tcPr>
            <w:tcW w:w="1818" w:type="dxa"/>
            <w:vAlign w:val="center"/>
          </w:tcPr>
          <w:p>
            <w:pPr>
              <w:spacing w:line="360" w:lineRule="auto"/>
              <w:jc w:val="center"/>
              <w:rPr>
                <w:color w:val="auto"/>
                <w:szCs w:val="21"/>
                <w:highlight w:val="none"/>
              </w:rPr>
            </w:pPr>
            <w:r>
              <w:rPr>
                <w:rFonts w:hint="eastAsia"/>
                <w:color w:val="auto"/>
                <w:highlight w:val="none"/>
              </w:rPr>
              <w:t>0.0027</w:t>
            </w:r>
          </w:p>
        </w:tc>
        <w:tc>
          <w:tcPr>
            <w:tcW w:w="1594" w:type="dxa"/>
            <w:vAlign w:val="center"/>
          </w:tcPr>
          <w:p>
            <w:pPr>
              <w:spacing w:line="360" w:lineRule="auto"/>
              <w:jc w:val="center"/>
              <w:rPr>
                <w:color w:val="auto"/>
                <w:highlight w:val="none"/>
              </w:rPr>
            </w:pPr>
            <w:r>
              <w:rPr>
                <w:rFonts w:hint="eastAsia"/>
                <w:color w:val="auto"/>
                <w:highlight w:val="none"/>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525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36.5016</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1.83</w:t>
            </w:r>
          </w:p>
        </w:tc>
        <w:tc>
          <w:tcPr>
            <w:tcW w:w="1818" w:type="dxa"/>
            <w:vAlign w:val="center"/>
          </w:tcPr>
          <w:p>
            <w:pPr>
              <w:spacing w:line="360" w:lineRule="auto"/>
              <w:jc w:val="center"/>
              <w:rPr>
                <w:color w:val="auto"/>
                <w:szCs w:val="21"/>
                <w:highlight w:val="none"/>
              </w:rPr>
            </w:pPr>
            <w:r>
              <w:rPr>
                <w:rFonts w:hint="eastAsia"/>
                <w:color w:val="auto"/>
                <w:highlight w:val="none"/>
              </w:rPr>
              <w:t>0.0023</w:t>
            </w:r>
          </w:p>
        </w:tc>
        <w:tc>
          <w:tcPr>
            <w:tcW w:w="1594" w:type="dxa"/>
            <w:vAlign w:val="center"/>
          </w:tcPr>
          <w:p>
            <w:pPr>
              <w:spacing w:line="360" w:lineRule="auto"/>
              <w:jc w:val="center"/>
              <w:rPr>
                <w:color w:val="auto"/>
                <w:highlight w:val="none"/>
              </w:rPr>
            </w:pPr>
            <w:r>
              <w:rPr>
                <w:rFonts w:hint="eastAsia"/>
                <w:color w:val="auto"/>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550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31.3413</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1.57</w:t>
            </w:r>
          </w:p>
        </w:tc>
        <w:tc>
          <w:tcPr>
            <w:tcW w:w="1818" w:type="dxa"/>
            <w:vAlign w:val="center"/>
          </w:tcPr>
          <w:p>
            <w:pPr>
              <w:spacing w:line="360" w:lineRule="auto"/>
              <w:jc w:val="center"/>
              <w:rPr>
                <w:color w:val="auto"/>
                <w:szCs w:val="21"/>
                <w:highlight w:val="none"/>
              </w:rPr>
            </w:pPr>
            <w:r>
              <w:rPr>
                <w:rFonts w:hint="eastAsia"/>
                <w:color w:val="auto"/>
                <w:highlight w:val="none"/>
              </w:rPr>
              <w:t>0.0020</w:t>
            </w:r>
          </w:p>
        </w:tc>
        <w:tc>
          <w:tcPr>
            <w:tcW w:w="1594" w:type="dxa"/>
            <w:vAlign w:val="center"/>
          </w:tcPr>
          <w:p>
            <w:pPr>
              <w:spacing w:line="360" w:lineRule="auto"/>
              <w:jc w:val="center"/>
              <w:rPr>
                <w:color w:val="auto"/>
                <w:highlight w:val="none"/>
              </w:rPr>
            </w:pPr>
            <w:r>
              <w:rPr>
                <w:rFonts w:hint="eastAsia"/>
                <w:color w:val="auto"/>
                <w:highlight w:val="none"/>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575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31.2981</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1.56</w:t>
            </w:r>
          </w:p>
        </w:tc>
        <w:tc>
          <w:tcPr>
            <w:tcW w:w="1818" w:type="dxa"/>
            <w:vAlign w:val="center"/>
          </w:tcPr>
          <w:p>
            <w:pPr>
              <w:spacing w:line="360" w:lineRule="auto"/>
              <w:jc w:val="center"/>
              <w:rPr>
                <w:color w:val="auto"/>
                <w:szCs w:val="21"/>
                <w:highlight w:val="none"/>
              </w:rPr>
            </w:pPr>
            <w:r>
              <w:rPr>
                <w:rFonts w:hint="eastAsia"/>
                <w:color w:val="auto"/>
                <w:highlight w:val="none"/>
              </w:rPr>
              <w:t>0.0020</w:t>
            </w:r>
          </w:p>
        </w:tc>
        <w:tc>
          <w:tcPr>
            <w:tcW w:w="1594" w:type="dxa"/>
            <w:vAlign w:val="center"/>
          </w:tcPr>
          <w:p>
            <w:pPr>
              <w:spacing w:line="360" w:lineRule="auto"/>
              <w:jc w:val="center"/>
              <w:rPr>
                <w:color w:val="auto"/>
                <w:highlight w:val="none"/>
              </w:rPr>
            </w:pPr>
            <w:r>
              <w:rPr>
                <w:rFonts w:hint="eastAsia"/>
                <w:color w:val="auto"/>
                <w:highlight w:val="none"/>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600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37.8333</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1.89</w:t>
            </w:r>
          </w:p>
        </w:tc>
        <w:tc>
          <w:tcPr>
            <w:tcW w:w="1818" w:type="dxa"/>
            <w:vAlign w:val="center"/>
          </w:tcPr>
          <w:p>
            <w:pPr>
              <w:spacing w:line="360" w:lineRule="auto"/>
              <w:jc w:val="center"/>
              <w:rPr>
                <w:color w:val="auto"/>
                <w:szCs w:val="21"/>
                <w:highlight w:val="none"/>
              </w:rPr>
            </w:pPr>
            <w:r>
              <w:rPr>
                <w:rFonts w:hint="eastAsia"/>
                <w:color w:val="auto"/>
                <w:highlight w:val="none"/>
              </w:rPr>
              <w:t>0.0024</w:t>
            </w:r>
          </w:p>
        </w:tc>
        <w:tc>
          <w:tcPr>
            <w:tcW w:w="1594" w:type="dxa"/>
            <w:vAlign w:val="center"/>
          </w:tcPr>
          <w:p>
            <w:pPr>
              <w:spacing w:line="360" w:lineRule="auto"/>
              <w:jc w:val="center"/>
              <w:rPr>
                <w:color w:val="auto"/>
                <w:highlight w:val="none"/>
              </w:rPr>
            </w:pPr>
            <w:r>
              <w:rPr>
                <w:rFonts w:hint="eastAsia"/>
                <w:color w:val="auto"/>
                <w:highlight w:val="none"/>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625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31.1554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1.56</w:t>
            </w:r>
          </w:p>
        </w:tc>
        <w:tc>
          <w:tcPr>
            <w:tcW w:w="1818" w:type="dxa"/>
            <w:vAlign w:val="center"/>
          </w:tcPr>
          <w:p>
            <w:pPr>
              <w:spacing w:line="360" w:lineRule="auto"/>
              <w:jc w:val="center"/>
              <w:rPr>
                <w:color w:val="auto"/>
                <w:szCs w:val="21"/>
                <w:highlight w:val="none"/>
              </w:rPr>
            </w:pPr>
            <w:r>
              <w:rPr>
                <w:rFonts w:hint="eastAsia"/>
                <w:color w:val="auto"/>
                <w:highlight w:val="none"/>
              </w:rPr>
              <w:t>0.0019</w:t>
            </w:r>
          </w:p>
        </w:tc>
        <w:tc>
          <w:tcPr>
            <w:tcW w:w="1594" w:type="dxa"/>
            <w:vAlign w:val="center"/>
          </w:tcPr>
          <w:p>
            <w:pPr>
              <w:spacing w:line="360" w:lineRule="auto"/>
              <w:jc w:val="center"/>
              <w:rPr>
                <w:color w:val="auto"/>
                <w:highlight w:val="none"/>
              </w:rPr>
            </w:pPr>
            <w:r>
              <w:rPr>
                <w:rFonts w:hint="eastAsia"/>
                <w:color w:val="auto"/>
                <w:highlight w:val="none"/>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650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35.4647</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1.77</w:t>
            </w:r>
          </w:p>
        </w:tc>
        <w:tc>
          <w:tcPr>
            <w:tcW w:w="1818" w:type="dxa"/>
            <w:vAlign w:val="center"/>
          </w:tcPr>
          <w:p>
            <w:pPr>
              <w:spacing w:line="360" w:lineRule="auto"/>
              <w:jc w:val="center"/>
              <w:rPr>
                <w:color w:val="auto"/>
                <w:szCs w:val="21"/>
                <w:highlight w:val="none"/>
              </w:rPr>
            </w:pPr>
            <w:r>
              <w:rPr>
                <w:rFonts w:hint="eastAsia"/>
                <w:color w:val="auto"/>
                <w:highlight w:val="none"/>
              </w:rPr>
              <w:t>0.0022</w:t>
            </w:r>
          </w:p>
        </w:tc>
        <w:tc>
          <w:tcPr>
            <w:tcW w:w="1594" w:type="dxa"/>
            <w:vAlign w:val="center"/>
          </w:tcPr>
          <w:p>
            <w:pPr>
              <w:spacing w:line="360" w:lineRule="auto"/>
              <w:jc w:val="center"/>
              <w:rPr>
                <w:color w:val="auto"/>
                <w:highlight w:val="none"/>
              </w:rPr>
            </w:pPr>
            <w:r>
              <w:rPr>
                <w:rFonts w:hint="eastAsia"/>
                <w:color w:val="auto"/>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675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28.3926</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1.42</w:t>
            </w:r>
          </w:p>
        </w:tc>
        <w:tc>
          <w:tcPr>
            <w:tcW w:w="1818" w:type="dxa"/>
            <w:vAlign w:val="center"/>
          </w:tcPr>
          <w:p>
            <w:pPr>
              <w:spacing w:line="360" w:lineRule="auto"/>
              <w:jc w:val="center"/>
              <w:rPr>
                <w:color w:val="auto"/>
                <w:szCs w:val="21"/>
                <w:highlight w:val="none"/>
              </w:rPr>
            </w:pPr>
            <w:r>
              <w:rPr>
                <w:rFonts w:hint="eastAsia"/>
                <w:color w:val="auto"/>
                <w:highlight w:val="none"/>
              </w:rPr>
              <w:t>0.0018</w:t>
            </w:r>
          </w:p>
        </w:tc>
        <w:tc>
          <w:tcPr>
            <w:tcW w:w="1594" w:type="dxa"/>
            <w:vAlign w:val="center"/>
          </w:tcPr>
          <w:p>
            <w:pPr>
              <w:spacing w:line="360" w:lineRule="auto"/>
              <w:jc w:val="center"/>
              <w:rPr>
                <w:color w:val="auto"/>
                <w:highlight w:val="none"/>
              </w:rPr>
            </w:pPr>
            <w:r>
              <w:rPr>
                <w:rFonts w:hint="eastAsia"/>
                <w:color w:val="auto"/>
                <w:highlight w:val="none"/>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700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31.2292</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1.56</w:t>
            </w:r>
          </w:p>
        </w:tc>
        <w:tc>
          <w:tcPr>
            <w:tcW w:w="1818" w:type="dxa"/>
            <w:vAlign w:val="center"/>
          </w:tcPr>
          <w:p>
            <w:pPr>
              <w:spacing w:line="360" w:lineRule="auto"/>
              <w:jc w:val="center"/>
              <w:rPr>
                <w:color w:val="auto"/>
                <w:szCs w:val="21"/>
                <w:highlight w:val="none"/>
              </w:rPr>
            </w:pPr>
            <w:r>
              <w:rPr>
                <w:rFonts w:hint="eastAsia"/>
                <w:color w:val="auto"/>
                <w:highlight w:val="none"/>
              </w:rPr>
              <w:t>0.0019</w:t>
            </w:r>
          </w:p>
        </w:tc>
        <w:tc>
          <w:tcPr>
            <w:tcW w:w="1594" w:type="dxa"/>
            <w:vAlign w:val="center"/>
          </w:tcPr>
          <w:p>
            <w:pPr>
              <w:spacing w:line="360" w:lineRule="auto"/>
              <w:jc w:val="center"/>
              <w:rPr>
                <w:color w:val="auto"/>
                <w:highlight w:val="none"/>
              </w:rPr>
            </w:pPr>
            <w:r>
              <w:rPr>
                <w:rFonts w:hint="eastAsia"/>
                <w:color w:val="auto"/>
                <w:highlight w:val="none"/>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725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27.5385</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1.38</w:t>
            </w:r>
          </w:p>
        </w:tc>
        <w:tc>
          <w:tcPr>
            <w:tcW w:w="1818" w:type="dxa"/>
            <w:vAlign w:val="center"/>
          </w:tcPr>
          <w:p>
            <w:pPr>
              <w:spacing w:line="360" w:lineRule="auto"/>
              <w:jc w:val="center"/>
              <w:rPr>
                <w:color w:val="auto"/>
                <w:szCs w:val="21"/>
                <w:highlight w:val="none"/>
              </w:rPr>
            </w:pPr>
            <w:r>
              <w:rPr>
                <w:rFonts w:hint="eastAsia"/>
                <w:color w:val="auto"/>
                <w:highlight w:val="none"/>
              </w:rPr>
              <w:t>0.0017</w:t>
            </w:r>
          </w:p>
        </w:tc>
        <w:tc>
          <w:tcPr>
            <w:tcW w:w="1594" w:type="dxa"/>
            <w:vAlign w:val="center"/>
          </w:tcPr>
          <w:p>
            <w:pPr>
              <w:spacing w:line="360" w:lineRule="auto"/>
              <w:jc w:val="center"/>
              <w:rPr>
                <w:color w:val="auto"/>
                <w:highlight w:val="none"/>
              </w:rPr>
            </w:pPr>
            <w:r>
              <w:rPr>
                <w:rFonts w:hint="eastAsia"/>
                <w:color w:val="auto"/>
                <w:highlight w:val="non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750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26.8494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1.34</w:t>
            </w:r>
          </w:p>
        </w:tc>
        <w:tc>
          <w:tcPr>
            <w:tcW w:w="1818" w:type="dxa"/>
            <w:vAlign w:val="center"/>
          </w:tcPr>
          <w:p>
            <w:pPr>
              <w:spacing w:line="360" w:lineRule="auto"/>
              <w:jc w:val="center"/>
              <w:rPr>
                <w:color w:val="auto"/>
                <w:szCs w:val="21"/>
                <w:highlight w:val="none"/>
              </w:rPr>
            </w:pPr>
            <w:r>
              <w:rPr>
                <w:rFonts w:hint="eastAsia"/>
                <w:color w:val="auto"/>
                <w:highlight w:val="none"/>
              </w:rPr>
              <w:t>0.0017</w:t>
            </w:r>
          </w:p>
        </w:tc>
        <w:tc>
          <w:tcPr>
            <w:tcW w:w="1594" w:type="dxa"/>
            <w:vAlign w:val="center"/>
          </w:tcPr>
          <w:p>
            <w:pPr>
              <w:spacing w:line="360" w:lineRule="auto"/>
              <w:jc w:val="center"/>
              <w:rPr>
                <w:color w:val="auto"/>
                <w:highlight w:val="none"/>
              </w:rPr>
            </w:pPr>
            <w:r>
              <w:rPr>
                <w:rFonts w:hint="eastAsia"/>
                <w:color w:val="auto"/>
                <w:highlight w:val="non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775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30.2724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1.51</w:t>
            </w:r>
          </w:p>
        </w:tc>
        <w:tc>
          <w:tcPr>
            <w:tcW w:w="1818" w:type="dxa"/>
            <w:vAlign w:val="center"/>
          </w:tcPr>
          <w:p>
            <w:pPr>
              <w:spacing w:line="360" w:lineRule="auto"/>
              <w:jc w:val="center"/>
              <w:rPr>
                <w:color w:val="auto"/>
                <w:szCs w:val="21"/>
                <w:highlight w:val="none"/>
              </w:rPr>
            </w:pPr>
            <w:r>
              <w:rPr>
                <w:rFonts w:hint="eastAsia"/>
                <w:color w:val="auto"/>
                <w:highlight w:val="none"/>
              </w:rPr>
              <w:t>0.0019</w:t>
            </w:r>
          </w:p>
        </w:tc>
        <w:tc>
          <w:tcPr>
            <w:tcW w:w="1594" w:type="dxa"/>
            <w:vAlign w:val="center"/>
          </w:tcPr>
          <w:p>
            <w:pPr>
              <w:spacing w:line="360" w:lineRule="auto"/>
              <w:jc w:val="center"/>
              <w:rPr>
                <w:color w:val="auto"/>
                <w:highlight w:val="none"/>
              </w:rPr>
            </w:pPr>
            <w:r>
              <w:rPr>
                <w:rFonts w:hint="eastAsia"/>
                <w:color w:val="auto"/>
                <w:highlight w:val="non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800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28.4631</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1.42</w:t>
            </w:r>
          </w:p>
        </w:tc>
        <w:tc>
          <w:tcPr>
            <w:tcW w:w="1818" w:type="dxa"/>
            <w:vAlign w:val="center"/>
          </w:tcPr>
          <w:p>
            <w:pPr>
              <w:spacing w:line="360" w:lineRule="auto"/>
              <w:jc w:val="center"/>
              <w:rPr>
                <w:color w:val="auto"/>
                <w:szCs w:val="21"/>
                <w:highlight w:val="none"/>
              </w:rPr>
            </w:pPr>
            <w:r>
              <w:rPr>
                <w:rFonts w:hint="eastAsia"/>
                <w:color w:val="auto"/>
                <w:highlight w:val="none"/>
              </w:rPr>
              <w:t>0.0018</w:t>
            </w:r>
          </w:p>
        </w:tc>
        <w:tc>
          <w:tcPr>
            <w:tcW w:w="1594" w:type="dxa"/>
            <w:vAlign w:val="center"/>
          </w:tcPr>
          <w:p>
            <w:pPr>
              <w:spacing w:line="360" w:lineRule="auto"/>
              <w:jc w:val="center"/>
              <w:rPr>
                <w:color w:val="auto"/>
                <w:highlight w:val="none"/>
              </w:rPr>
            </w:pPr>
            <w:r>
              <w:rPr>
                <w:rFonts w:hint="eastAsia"/>
                <w:color w:val="auto"/>
                <w:highlight w:val="none"/>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825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29.7372</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1.49</w:t>
            </w:r>
          </w:p>
        </w:tc>
        <w:tc>
          <w:tcPr>
            <w:tcW w:w="1818" w:type="dxa"/>
            <w:vAlign w:val="center"/>
          </w:tcPr>
          <w:p>
            <w:pPr>
              <w:spacing w:line="360" w:lineRule="auto"/>
              <w:jc w:val="center"/>
              <w:rPr>
                <w:color w:val="auto"/>
                <w:szCs w:val="21"/>
                <w:highlight w:val="none"/>
              </w:rPr>
            </w:pPr>
            <w:r>
              <w:rPr>
                <w:rFonts w:hint="eastAsia"/>
                <w:color w:val="auto"/>
                <w:highlight w:val="none"/>
              </w:rPr>
              <w:t>0.0019</w:t>
            </w:r>
          </w:p>
        </w:tc>
        <w:tc>
          <w:tcPr>
            <w:tcW w:w="1594" w:type="dxa"/>
            <w:vAlign w:val="center"/>
          </w:tcPr>
          <w:p>
            <w:pPr>
              <w:spacing w:line="360" w:lineRule="auto"/>
              <w:jc w:val="center"/>
              <w:rPr>
                <w:color w:val="auto"/>
                <w:highlight w:val="none"/>
              </w:rPr>
            </w:pPr>
            <w:r>
              <w:rPr>
                <w:rFonts w:hint="eastAsia"/>
                <w:color w:val="auto"/>
                <w:highlight w:val="non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850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24.5962</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1.23</w:t>
            </w:r>
          </w:p>
        </w:tc>
        <w:tc>
          <w:tcPr>
            <w:tcW w:w="1818" w:type="dxa"/>
            <w:vAlign w:val="center"/>
          </w:tcPr>
          <w:p>
            <w:pPr>
              <w:spacing w:line="360" w:lineRule="auto"/>
              <w:jc w:val="center"/>
              <w:rPr>
                <w:color w:val="auto"/>
                <w:szCs w:val="21"/>
                <w:highlight w:val="none"/>
              </w:rPr>
            </w:pPr>
            <w:r>
              <w:rPr>
                <w:rFonts w:hint="eastAsia"/>
                <w:color w:val="auto"/>
                <w:highlight w:val="none"/>
              </w:rPr>
              <w:t>0.0015</w:t>
            </w:r>
          </w:p>
        </w:tc>
        <w:tc>
          <w:tcPr>
            <w:tcW w:w="1594" w:type="dxa"/>
            <w:vAlign w:val="center"/>
          </w:tcPr>
          <w:p>
            <w:pPr>
              <w:spacing w:line="360" w:lineRule="auto"/>
              <w:jc w:val="center"/>
              <w:rPr>
                <w:color w:val="auto"/>
                <w:highlight w:val="none"/>
              </w:rPr>
            </w:pPr>
            <w:r>
              <w:rPr>
                <w:rFonts w:hint="eastAsia"/>
                <w:color w:val="auto"/>
                <w:highlight w:val="non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875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27.4744</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1.37</w:t>
            </w:r>
          </w:p>
        </w:tc>
        <w:tc>
          <w:tcPr>
            <w:tcW w:w="1818" w:type="dxa"/>
            <w:vAlign w:val="center"/>
          </w:tcPr>
          <w:p>
            <w:pPr>
              <w:spacing w:line="360" w:lineRule="auto"/>
              <w:jc w:val="center"/>
              <w:rPr>
                <w:color w:val="auto"/>
                <w:szCs w:val="21"/>
                <w:highlight w:val="none"/>
              </w:rPr>
            </w:pPr>
            <w:r>
              <w:rPr>
                <w:rFonts w:hint="eastAsia"/>
                <w:color w:val="auto"/>
                <w:highlight w:val="none"/>
              </w:rPr>
              <w:t>0.0017</w:t>
            </w:r>
          </w:p>
        </w:tc>
        <w:tc>
          <w:tcPr>
            <w:tcW w:w="1594" w:type="dxa"/>
            <w:vAlign w:val="center"/>
          </w:tcPr>
          <w:p>
            <w:pPr>
              <w:spacing w:line="360" w:lineRule="auto"/>
              <w:jc w:val="center"/>
              <w:rPr>
                <w:color w:val="auto"/>
                <w:highlight w:val="none"/>
              </w:rPr>
            </w:pPr>
            <w:r>
              <w:rPr>
                <w:rFonts w:hint="eastAsia"/>
                <w:color w:val="auto"/>
                <w:highlight w:val="non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900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26.9070</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1.35</w:t>
            </w:r>
          </w:p>
        </w:tc>
        <w:tc>
          <w:tcPr>
            <w:tcW w:w="1818" w:type="dxa"/>
            <w:vAlign w:val="center"/>
          </w:tcPr>
          <w:p>
            <w:pPr>
              <w:spacing w:line="360" w:lineRule="auto"/>
              <w:jc w:val="center"/>
              <w:rPr>
                <w:color w:val="auto"/>
                <w:szCs w:val="21"/>
                <w:highlight w:val="none"/>
              </w:rPr>
            </w:pPr>
            <w:r>
              <w:rPr>
                <w:rFonts w:hint="eastAsia"/>
                <w:color w:val="auto"/>
                <w:highlight w:val="none"/>
              </w:rPr>
              <w:t>0.0017</w:t>
            </w:r>
          </w:p>
        </w:tc>
        <w:tc>
          <w:tcPr>
            <w:tcW w:w="1594" w:type="dxa"/>
            <w:vAlign w:val="center"/>
          </w:tcPr>
          <w:p>
            <w:pPr>
              <w:spacing w:line="360" w:lineRule="auto"/>
              <w:jc w:val="center"/>
              <w:rPr>
                <w:color w:val="auto"/>
                <w:highlight w:val="none"/>
              </w:rPr>
            </w:pPr>
            <w:r>
              <w:rPr>
                <w:rFonts w:hint="eastAsia"/>
                <w:color w:val="auto"/>
                <w:highlight w:val="non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925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25.2019</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1.26</w:t>
            </w:r>
          </w:p>
        </w:tc>
        <w:tc>
          <w:tcPr>
            <w:tcW w:w="1818" w:type="dxa"/>
            <w:vAlign w:val="center"/>
          </w:tcPr>
          <w:p>
            <w:pPr>
              <w:spacing w:line="360" w:lineRule="auto"/>
              <w:jc w:val="center"/>
              <w:rPr>
                <w:color w:val="auto"/>
                <w:szCs w:val="21"/>
                <w:highlight w:val="none"/>
              </w:rPr>
            </w:pPr>
            <w:r>
              <w:rPr>
                <w:rFonts w:hint="eastAsia"/>
                <w:color w:val="auto"/>
                <w:highlight w:val="none"/>
              </w:rPr>
              <w:t>0.0016</w:t>
            </w:r>
          </w:p>
        </w:tc>
        <w:tc>
          <w:tcPr>
            <w:tcW w:w="1594" w:type="dxa"/>
            <w:vAlign w:val="center"/>
          </w:tcPr>
          <w:p>
            <w:pPr>
              <w:spacing w:line="360" w:lineRule="auto"/>
              <w:jc w:val="center"/>
              <w:rPr>
                <w:color w:val="auto"/>
                <w:highlight w:val="none"/>
              </w:rPr>
            </w:pPr>
            <w:r>
              <w:rPr>
                <w:rFonts w:hint="eastAsia"/>
                <w:color w:val="auto"/>
                <w:highlight w:val="non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950</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26.0080</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1.30</w:t>
            </w:r>
          </w:p>
        </w:tc>
        <w:tc>
          <w:tcPr>
            <w:tcW w:w="1818" w:type="dxa"/>
            <w:vAlign w:val="center"/>
          </w:tcPr>
          <w:p>
            <w:pPr>
              <w:spacing w:line="360" w:lineRule="auto"/>
              <w:jc w:val="center"/>
              <w:rPr>
                <w:color w:val="auto"/>
                <w:szCs w:val="21"/>
                <w:highlight w:val="none"/>
              </w:rPr>
            </w:pPr>
            <w:r>
              <w:rPr>
                <w:rFonts w:hint="eastAsia"/>
                <w:color w:val="auto"/>
                <w:highlight w:val="none"/>
              </w:rPr>
              <w:t>0.0016</w:t>
            </w:r>
          </w:p>
        </w:tc>
        <w:tc>
          <w:tcPr>
            <w:tcW w:w="1594" w:type="dxa"/>
            <w:vAlign w:val="center"/>
          </w:tcPr>
          <w:p>
            <w:pPr>
              <w:spacing w:line="360" w:lineRule="auto"/>
              <w:jc w:val="center"/>
              <w:rPr>
                <w:color w:val="auto"/>
                <w:highlight w:val="none"/>
              </w:rPr>
            </w:pPr>
            <w:r>
              <w:rPr>
                <w:rFonts w:hint="eastAsia"/>
                <w:color w:val="auto"/>
                <w:highlight w:val="none"/>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highlight w:val="none"/>
              </w:rPr>
              <w:t>975</w:t>
            </w:r>
          </w:p>
        </w:tc>
        <w:tc>
          <w:tcPr>
            <w:tcW w:w="2187" w:type="dxa"/>
            <w:vAlign w:val="center"/>
          </w:tcPr>
          <w:p>
            <w:pPr>
              <w:spacing w:line="360" w:lineRule="auto"/>
              <w:jc w:val="center"/>
              <w:rPr>
                <w:color w:val="auto"/>
                <w:spacing w:val="-4"/>
                <w:szCs w:val="21"/>
                <w:highlight w:val="none"/>
                <w:lang w:bidi="ar"/>
              </w:rPr>
            </w:pPr>
            <w:r>
              <w:rPr>
                <w:rFonts w:hint="eastAsia"/>
                <w:color w:val="auto"/>
                <w:highlight w:val="none"/>
              </w:rPr>
              <w:t>26.0705</w:t>
            </w:r>
          </w:p>
        </w:tc>
        <w:tc>
          <w:tcPr>
            <w:tcW w:w="1373" w:type="dxa"/>
            <w:vAlign w:val="center"/>
          </w:tcPr>
          <w:p>
            <w:pPr>
              <w:spacing w:line="360" w:lineRule="auto"/>
              <w:jc w:val="center"/>
              <w:rPr>
                <w:color w:val="auto"/>
                <w:spacing w:val="-4"/>
                <w:szCs w:val="21"/>
                <w:highlight w:val="none"/>
                <w:lang w:bidi="ar"/>
              </w:rPr>
            </w:pPr>
            <w:r>
              <w:rPr>
                <w:rFonts w:hint="eastAsia"/>
                <w:color w:val="auto"/>
                <w:highlight w:val="none"/>
              </w:rPr>
              <w:t>1.30</w:t>
            </w:r>
          </w:p>
        </w:tc>
        <w:tc>
          <w:tcPr>
            <w:tcW w:w="1818" w:type="dxa"/>
            <w:vAlign w:val="center"/>
          </w:tcPr>
          <w:p>
            <w:pPr>
              <w:spacing w:line="360" w:lineRule="auto"/>
              <w:jc w:val="center"/>
              <w:rPr>
                <w:color w:val="auto"/>
                <w:szCs w:val="21"/>
                <w:highlight w:val="none"/>
              </w:rPr>
            </w:pPr>
            <w:r>
              <w:rPr>
                <w:rFonts w:hint="eastAsia"/>
                <w:color w:val="auto"/>
                <w:highlight w:val="none"/>
              </w:rPr>
              <w:t>0.0016</w:t>
            </w:r>
          </w:p>
        </w:tc>
        <w:tc>
          <w:tcPr>
            <w:tcW w:w="1594" w:type="dxa"/>
            <w:vAlign w:val="center"/>
          </w:tcPr>
          <w:p>
            <w:pPr>
              <w:spacing w:line="360" w:lineRule="auto"/>
              <w:jc w:val="center"/>
              <w:rPr>
                <w:color w:val="auto"/>
                <w:highlight w:val="none"/>
              </w:rPr>
            </w:pPr>
            <w:r>
              <w:rPr>
                <w:rFonts w:hint="eastAsia"/>
                <w:color w:val="auto"/>
                <w:highlight w:val="none"/>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highlight w:val="none"/>
              </w:rPr>
            </w:pPr>
            <w:r>
              <w:rPr>
                <w:rFonts w:hint="eastAsia"/>
                <w:color w:val="auto"/>
                <w:highlight w:val="none"/>
              </w:rPr>
              <w:t>1000</w:t>
            </w:r>
          </w:p>
        </w:tc>
        <w:tc>
          <w:tcPr>
            <w:tcW w:w="2187" w:type="dxa"/>
            <w:vAlign w:val="center"/>
          </w:tcPr>
          <w:p>
            <w:pPr>
              <w:spacing w:line="360" w:lineRule="auto"/>
              <w:jc w:val="center"/>
              <w:rPr>
                <w:color w:val="auto"/>
                <w:highlight w:val="none"/>
              </w:rPr>
            </w:pPr>
            <w:r>
              <w:rPr>
                <w:rFonts w:hint="eastAsia"/>
                <w:color w:val="auto"/>
                <w:highlight w:val="none"/>
              </w:rPr>
              <w:t>25.0176</w:t>
            </w:r>
          </w:p>
        </w:tc>
        <w:tc>
          <w:tcPr>
            <w:tcW w:w="1373" w:type="dxa"/>
            <w:vAlign w:val="center"/>
          </w:tcPr>
          <w:p>
            <w:pPr>
              <w:spacing w:line="360" w:lineRule="auto"/>
              <w:jc w:val="center"/>
              <w:rPr>
                <w:color w:val="auto"/>
                <w:highlight w:val="none"/>
              </w:rPr>
            </w:pPr>
            <w:r>
              <w:rPr>
                <w:rFonts w:hint="eastAsia"/>
                <w:color w:val="auto"/>
                <w:highlight w:val="none"/>
              </w:rPr>
              <w:t>1.25</w:t>
            </w:r>
          </w:p>
        </w:tc>
        <w:tc>
          <w:tcPr>
            <w:tcW w:w="1818" w:type="dxa"/>
            <w:vAlign w:val="center"/>
          </w:tcPr>
          <w:p>
            <w:pPr>
              <w:spacing w:line="360" w:lineRule="auto"/>
              <w:jc w:val="center"/>
              <w:rPr>
                <w:color w:val="auto"/>
                <w:highlight w:val="none"/>
              </w:rPr>
            </w:pPr>
            <w:r>
              <w:rPr>
                <w:rFonts w:hint="eastAsia"/>
                <w:color w:val="auto"/>
                <w:highlight w:val="none"/>
              </w:rPr>
              <w:t>0.0016</w:t>
            </w:r>
          </w:p>
        </w:tc>
        <w:tc>
          <w:tcPr>
            <w:tcW w:w="1594" w:type="dxa"/>
            <w:vAlign w:val="center"/>
          </w:tcPr>
          <w:p>
            <w:pPr>
              <w:spacing w:line="360" w:lineRule="auto"/>
              <w:jc w:val="center"/>
              <w:rPr>
                <w:color w:val="auto"/>
                <w:highlight w:val="none"/>
              </w:rPr>
            </w:pPr>
            <w:r>
              <w:rPr>
                <w:rFonts w:hint="eastAsia"/>
                <w:color w:val="auto"/>
                <w:highlight w:val="non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1500</w:t>
            </w:r>
          </w:p>
        </w:tc>
        <w:tc>
          <w:tcPr>
            <w:tcW w:w="2187"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17.3766</w:t>
            </w:r>
          </w:p>
        </w:tc>
        <w:tc>
          <w:tcPr>
            <w:tcW w:w="1373"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0.87</w:t>
            </w:r>
          </w:p>
        </w:tc>
        <w:tc>
          <w:tcPr>
            <w:tcW w:w="1818"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0.0011</w:t>
            </w:r>
          </w:p>
        </w:tc>
        <w:tc>
          <w:tcPr>
            <w:tcW w:w="1594"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2000</w:t>
            </w:r>
          </w:p>
        </w:tc>
        <w:tc>
          <w:tcPr>
            <w:tcW w:w="2187"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13.7630</w:t>
            </w:r>
          </w:p>
        </w:tc>
        <w:tc>
          <w:tcPr>
            <w:tcW w:w="1373"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0.69</w:t>
            </w:r>
          </w:p>
        </w:tc>
        <w:tc>
          <w:tcPr>
            <w:tcW w:w="1818"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0.0009</w:t>
            </w:r>
          </w:p>
        </w:tc>
        <w:tc>
          <w:tcPr>
            <w:tcW w:w="1594"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77"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2500</w:t>
            </w:r>
          </w:p>
        </w:tc>
        <w:tc>
          <w:tcPr>
            <w:tcW w:w="2187"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11.8936</w:t>
            </w:r>
          </w:p>
        </w:tc>
        <w:tc>
          <w:tcPr>
            <w:tcW w:w="1373"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0.59</w:t>
            </w:r>
          </w:p>
        </w:tc>
        <w:tc>
          <w:tcPr>
            <w:tcW w:w="1818"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0.0007</w:t>
            </w:r>
          </w:p>
        </w:tc>
        <w:tc>
          <w:tcPr>
            <w:tcW w:w="1594"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577" w:type="dxa"/>
            <w:vAlign w:val="center"/>
          </w:tcPr>
          <w:p>
            <w:pPr>
              <w:spacing w:line="360" w:lineRule="auto"/>
              <w:jc w:val="center"/>
              <w:rPr>
                <w:color w:val="auto"/>
                <w:spacing w:val="-4"/>
                <w:szCs w:val="21"/>
                <w:highlight w:val="none"/>
                <w:lang w:bidi="ar"/>
              </w:rPr>
            </w:pPr>
            <w:r>
              <w:rPr>
                <w:color w:val="auto"/>
                <w:spacing w:val="-4"/>
                <w:szCs w:val="21"/>
                <w:highlight w:val="none"/>
                <w:lang w:bidi="ar"/>
              </w:rPr>
              <w:t>评价</w:t>
            </w:r>
          </w:p>
        </w:tc>
        <w:tc>
          <w:tcPr>
            <w:tcW w:w="3560" w:type="dxa"/>
            <w:gridSpan w:val="2"/>
            <w:vAlign w:val="center"/>
          </w:tcPr>
          <w:p>
            <w:pPr>
              <w:spacing w:line="360" w:lineRule="auto"/>
              <w:jc w:val="center"/>
              <w:rPr>
                <w:color w:val="auto"/>
                <w:spacing w:val="-4"/>
                <w:szCs w:val="21"/>
                <w:highlight w:val="none"/>
                <w:lang w:bidi="ar"/>
              </w:rPr>
            </w:pPr>
            <w:r>
              <w:rPr>
                <w:color w:val="auto"/>
                <w:spacing w:val="-4"/>
                <w:szCs w:val="21"/>
                <w:highlight w:val="none"/>
                <w:lang w:bidi="ar"/>
              </w:rPr>
              <w:t>C</w:t>
            </w:r>
            <w:r>
              <w:rPr>
                <w:color w:val="auto"/>
                <w:spacing w:val="-4"/>
                <w:szCs w:val="21"/>
                <w:highlight w:val="none"/>
                <w:vertAlign w:val="subscript"/>
                <w:lang w:bidi="ar"/>
              </w:rPr>
              <w:t>max</w:t>
            </w:r>
            <w:r>
              <w:rPr>
                <w:color w:val="auto"/>
                <w:spacing w:val="-4"/>
                <w:szCs w:val="21"/>
                <w:highlight w:val="none"/>
                <w:lang w:bidi="ar"/>
              </w:rPr>
              <w:t>=</w:t>
            </w:r>
            <w:r>
              <w:rPr>
                <w:rFonts w:hint="eastAsia"/>
                <w:color w:val="auto"/>
                <w:szCs w:val="21"/>
                <w:highlight w:val="none"/>
                <w:lang w:val="en-US" w:eastAsia="zh-CN" w:bidi="ar"/>
              </w:rPr>
              <w:t>110.6956u</w:t>
            </w:r>
            <w:r>
              <w:rPr>
                <w:color w:val="auto"/>
                <w:szCs w:val="21"/>
                <w:highlight w:val="none"/>
                <w:lang w:bidi="ar"/>
              </w:rPr>
              <w:t>g/m</w:t>
            </w:r>
            <w:r>
              <w:rPr>
                <w:color w:val="auto"/>
                <w:szCs w:val="21"/>
                <w:highlight w:val="none"/>
                <w:vertAlign w:val="superscript"/>
                <w:lang w:bidi="ar"/>
              </w:rPr>
              <w:t>3</w:t>
            </w:r>
            <w:r>
              <w:rPr>
                <w:color w:val="auto"/>
                <w:szCs w:val="21"/>
                <w:highlight w:val="none"/>
                <w:lang w:bidi="ar"/>
              </w:rPr>
              <w:t>，P</w:t>
            </w:r>
            <w:r>
              <w:rPr>
                <w:color w:val="auto"/>
                <w:szCs w:val="21"/>
                <w:highlight w:val="none"/>
                <w:vertAlign w:val="subscript"/>
                <w:lang w:bidi="ar"/>
              </w:rPr>
              <w:t>max</w:t>
            </w:r>
            <w:r>
              <w:rPr>
                <w:color w:val="auto"/>
                <w:szCs w:val="21"/>
                <w:highlight w:val="none"/>
                <w:lang w:bidi="ar"/>
              </w:rPr>
              <w:t>=</w:t>
            </w:r>
            <w:r>
              <w:rPr>
                <w:rFonts w:hint="eastAsia"/>
                <w:color w:val="auto"/>
                <w:szCs w:val="21"/>
                <w:highlight w:val="none"/>
                <w:lang w:val="en-US" w:eastAsia="zh-CN" w:bidi="ar"/>
              </w:rPr>
              <w:t>5.53</w:t>
            </w:r>
            <w:r>
              <w:rPr>
                <w:color w:val="auto"/>
                <w:szCs w:val="21"/>
                <w:highlight w:val="none"/>
                <w:lang w:bidi="ar"/>
              </w:rPr>
              <w:t>%</w:t>
            </w:r>
            <w:r>
              <w:rPr>
                <w:color w:val="auto"/>
                <w:spacing w:val="-4"/>
                <w:szCs w:val="21"/>
                <w:highlight w:val="none"/>
                <w:lang w:bidi="ar"/>
              </w:rPr>
              <w:t xml:space="preserve"> </w:t>
            </w:r>
          </w:p>
        </w:tc>
        <w:tc>
          <w:tcPr>
            <w:tcW w:w="3412" w:type="dxa"/>
            <w:gridSpan w:val="2"/>
            <w:vAlign w:val="center"/>
          </w:tcPr>
          <w:p>
            <w:pPr>
              <w:spacing w:line="360" w:lineRule="auto"/>
              <w:jc w:val="center"/>
              <w:rPr>
                <w:color w:val="auto"/>
                <w:spacing w:val="-4"/>
                <w:szCs w:val="21"/>
                <w:highlight w:val="none"/>
                <w:lang w:bidi="ar"/>
              </w:rPr>
            </w:pPr>
            <w:r>
              <w:rPr>
                <w:color w:val="auto"/>
                <w:spacing w:val="-4"/>
                <w:szCs w:val="21"/>
                <w:highlight w:val="none"/>
                <w:lang w:bidi="ar"/>
              </w:rPr>
              <w:t>C</w:t>
            </w:r>
            <w:r>
              <w:rPr>
                <w:color w:val="auto"/>
                <w:spacing w:val="-4"/>
                <w:szCs w:val="21"/>
                <w:highlight w:val="none"/>
                <w:vertAlign w:val="subscript"/>
                <w:lang w:bidi="ar"/>
              </w:rPr>
              <w:t>max</w:t>
            </w:r>
            <w:r>
              <w:rPr>
                <w:color w:val="auto"/>
                <w:spacing w:val="-4"/>
                <w:szCs w:val="21"/>
                <w:highlight w:val="none"/>
                <w:lang w:bidi="ar"/>
              </w:rPr>
              <w:t>=</w:t>
            </w:r>
            <w:r>
              <w:rPr>
                <w:rFonts w:hint="eastAsia"/>
                <w:color w:val="auto"/>
                <w:szCs w:val="21"/>
                <w:highlight w:val="none"/>
                <w:lang w:val="en-US" w:eastAsia="zh-CN" w:bidi="ar"/>
              </w:rPr>
              <w:t>21.6510</w:t>
            </w:r>
            <w:r>
              <w:rPr>
                <w:color w:val="auto"/>
                <w:szCs w:val="21"/>
                <w:highlight w:val="none"/>
                <w:lang w:bidi="ar"/>
              </w:rPr>
              <w:t>ug/m</w:t>
            </w:r>
            <w:r>
              <w:rPr>
                <w:color w:val="auto"/>
                <w:szCs w:val="21"/>
                <w:highlight w:val="none"/>
                <w:vertAlign w:val="superscript"/>
                <w:lang w:bidi="ar"/>
              </w:rPr>
              <w:t>3</w:t>
            </w:r>
            <w:r>
              <w:rPr>
                <w:color w:val="auto"/>
                <w:szCs w:val="21"/>
                <w:highlight w:val="none"/>
                <w:lang w:bidi="ar"/>
              </w:rPr>
              <w:t>，P</w:t>
            </w:r>
            <w:r>
              <w:rPr>
                <w:color w:val="auto"/>
                <w:szCs w:val="21"/>
                <w:highlight w:val="none"/>
                <w:vertAlign w:val="subscript"/>
                <w:lang w:bidi="ar"/>
              </w:rPr>
              <w:t>max</w:t>
            </w:r>
            <w:r>
              <w:rPr>
                <w:color w:val="auto"/>
                <w:szCs w:val="21"/>
                <w:highlight w:val="none"/>
                <w:lang w:bidi="ar"/>
              </w:rPr>
              <w:t>=</w:t>
            </w:r>
            <w:r>
              <w:rPr>
                <w:rFonts w:hint="eastAsia"/>
                <w:color w:val="auto"/>
                <w:szCs w:val="21"/>
                <w:highlight w:val="none"/>
                <w:lang w:val="en-US" w:eastAsia="zh-CN" w:bidi="ar"/>
              </w:rPr>
              <w:t>2.41</w:t>
            </w:r>
            <w:r>
              <w:rPr>
                <w:color w:val="auto"/>
                <w:szCs w:val="21"/>
                <w:highlight w:val="none"/>
                <w:lang w:bidi="ar"/>
              </w:rPr>
              <w:t>%</w:t>
            </w:r>
          </w:p>
        </w:tc>
      </w:tr>
    </w:tbl>
    <w:p>
      <w:pPr>
        <w:pStyle w:val="21"/>
        <w:rPr>
          <w:color w:val="auto"/>
          <w:highlight w:val="none"/>
        </w:rPr>
      </w:pPr>
    </w:p>
    <w:p>
      <w:pPr>
        <w:spacing w:line="360" w:lineRule="auto"/>
        <w:ind w:firstLine="482"/>
        <w:rPr>
          <w:b/>
          <w:color w:val="auto"/>
          <w:sz w:val="24"/>
          <w:szCs w:val="20"/>
          <w:highlight w:val="none"/>
        </w:rPr>
      </w:pPr>
      <w:r>
        <w:rPr>
          <w:b/>
          <w:color w:val="auto"/>
          <w:sz w:val="24"/>
          <w:szCs w:val="20"/>
          <w:highlight w:val="none"/>
        </w:rPr>
        <w:t>Ⅱ、非正常排放：</w:t>
      </w:r>
    </w:p>
    <w:p>
      <w:pPr>
        <w:spacing w:line="360" w:lineRule="auto"/>
        <w:jc w:val="center"/>
        <w:rPr>
          <w:b/>
          <w:snapToGrid w:val="0"/>
          <w:color w:val="auto"/>
          <w:sz w:val="24"/>
          <w:highlight w:val="none"/>
        </w:rPr>
      </w:pPr>
      <w:r>
        <w:rPr>
          <w:b/>
          <w:snapToGrid w:val="0"/>
          <w:color w:val="auto"/>
          <w:sz w:val="24"/>
          <w:highlight w:val="none"/>
        </w:rPr>
        <w:t>表5.2-</w:t>
      </w:r>
      <w:r>
        <w:rPr>
          <w:rFonts w:hint="eastAsia"/>
          <w:b/>
          <w:snapToGrid w:val="0"/>
          <w:color w:val="auto"/>
          <w:sz w:val="24"/>
          <w:highlight w:val="none"/>
        </w:rPr>
        <w:t>8</w:t>
      </w:r>
      <w:r>
        <w:rPr>
          <w:b/>
          <w:snapToGrid w:val="0"/>
          <w:color w:val="auto"/>
          <w:sz w:val="24"/>
          <w:highlight w:val="none"/>
        </w:rPr>
        <w:t xml:space="preserve">  </w:t>
      </w:r>
      <w:r>
        <w:rPr>
          <w:rFonts w:hint="eastAsia"/>
          <w:b/>
          <w:snapToGrid w:val="0"/>
          <w:color w:val="auto"/>
          <w:sz w:val="24"/>
          <w:highlight w:val="none"/>
        </w:rPr>
        <w:t>非</w:t>
      </w:r>
      <w:r>
        <w:rPr>
          <w:b/>
          <w:snapToGrid w:val="0"/>
          <w:color w:val="auto"/>
          <w:sz w:val="24"/>
          <w:highlight w:val="none"/>
        </w:rPr>
        <w:t>正常排放1#排气筒点源污染物大气估算模式计算结果</w:t>
      </w:r>
    </w:p>
    <w:tbl>
      <w:tblPr>
        <w:tblStyle w:val="55"/>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733"/>
        <w:gridCol w:w="1432"/>
        <w:gridCol w:w="1845"/>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距源中心</w:t>
            </w:r>
          </w:p>
        </w:tc>
        <w:tc>
          <w:tcPr>
            <w:tcW w:w="3165" w:type="dxa"/>
            <w:gridSpan w:val="2"/>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非甲烷总烃</w:t>
            </w:r>
          </w:p>
        </w:tc>
        <w:tc>
          <w:tcPr>
            <w:tcW w:w="3264" w:type="dxa"/>
            <w:gridSpan w:val="2"/>
            <w:vAlign w:val="center"/>
          </w:tcPr>
          <w:p>
            <w:pPr>
              <w:spacing w:line="360" w:lineRule="auto"/>
              <w:jc w:val="center"/>
              <w:rPr>
                <w:rFonts w:hint="eastAsia" w:eastAsia="宋体"/>
                <w:b/>
                <w:bCs/>
                <w:color w:val="auto"/>
                <w:spacing w:val="-4"/>
                <w:szCs w:val="21"/>
                <w:highlight w:val="none"/>
                <w:lang w:val="en-US" w:eastAsia="zh-CN" w:bidi="ar"/>
              </w:rPr>
            </w:pPr>
            <w:r>
              <w:rPr>
                <w:rFonts w:hint="eastAsia"/>
                <w:b/>
                <w:bCs/>
                <w:color w:val="auto"/>
                <w:spacing w:val="-4"/>
                <w:szCs w:val="21"/>
                <w:highlight w:val="none"/>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118"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下风向距离D（m）</w:t>
            </w:r>
          </w:p>
        </w:tc>
        <w:tc>
          <w:tcPr>
            <w:tcW w:w="1733"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最大小时筛选浓度（</w:t>
            </w:r>
            <w:r>
              <w:rPr>
                <w:b/>
                <w:bCs/>
                <w:color w:val="auto"/>
                <w:szCs w:val="21"/>
                <w:highlight w:val="none"/>
                <w:lang w:bidi="ar"/>
              </w:rPr>
              <w:t>ug/m</w:t>
            </w:r>
            <w:r>
              <w:rPr>
                <w:b/>
                <w:bCs/>
                <w:color w:val="auto"/>
                <w:szCs w:val="21"/>
                <w:highlight w:val="none"/>
                <w:vertAlign w:val="superscript"/>
                <w:lang w:bidi="ar"/>
              </w:rPr>
              <w:t>3</w:t>
            </w:r>
            <w:r>
              <w:rPr>
                <w:b/>
                <w:bCs/>
                <w:color w:val="auto"/>
                <w:spacing w:val="-4"/>
                <w:szCs w:val="21"/>
                <w:highlight w:val="none"/>
                <w:lang w:bidi="ar"/>
              </w:rPr>
              <w:t>）</w:t>
            </w:r>
          </w:p>
        </w:tc>
        <w:tc>
          <w:tcPr>
            <w:tcW w:w="1432"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浓度占标率</w:t>
            </w:r>
            <w:r>
              <w:rPr>
                <w:b/>
                <w:bCs/>
                <w:color w:val="auto"/>
                <w:szCs w:val="21"/>
                <w:highlight w:val="none"/>
                <w:lang w:bidi="ar"/>
              </w:rPr>
              <w:t>Pi（%）</w:t>
            </w:r>
          </w:p>
        </w:tc>
        <w:tc>
          <w:tcPr>
            <w:tcW w:w="1845"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最大小时筛选浓度（</w:t>
            </w:r>
            <w:r>
              <w:rPr>
                <w:b/>
                <w:bCs/>
                <w:color w:val="auto"/>
                <w:szCs w:val="21"/>
                <w:highlight w:val="none"/>
                <w:lang w:bidi="ar"/>
              </w:rPr>
              <w:t>ug/m</w:t>
            </w:r>
            <w:r>
              <w:rPr>
                <w:b/>
                <w:bCs/>
                <w:color w:val="auto"/>
                <w:szCs w:val="21"/>
                <w:highlight w:val="none"/>
                <w:vertAlign w:val="superscript"/>
                <w:lang w:bidi="ar"/>
              </w:rPr>
              <w:t>3</w:t>
            </w:r>
            <w:r>
              <w:rPr>
                <w:b/>
                <w:bCs/>
                <w:color w:val="auto"/>
                <w:spacing w:val="-4"/>
                <w:szCs w:val="21"/>
                <w:highlight w:val="none"/>
                <w:lang w:bidi="ar"/>
              </w:rPr>
              <w:t>）</w:t>
            </w:r>
          </w:p>
        </w:tc>
        <w:tc>
          <w:tcPr>
            <w:tcW w:w="1419" w:type="dxa"/>
            <w:vAlign w:val="center"/>
          </w:tcPr>
          <w:p>
            <w:pPr>
              <w:spacing w:line="360" w:lineRule="auto"/>
              <w:jc w:val="center"/>
              <w:rPr>
                <w:b/>
                <w:bCs/>
                <w:color w:val="auto"/>
                <w:spacing w:val="-4"/>
                <w:szCs w:val="21"/>
                <w:highlight w:val="none"/>
                <w:lang w:bidi="ar"/>
              </w:rPr>
            </w:pPr>
            <w:r>
              <w:rPr>
                <w:b/>
                <w:bCs/>
                <w:color w:val="auto"/>
                <w:spacing w:val="-4"/>
                <w:szCs w:val="21"/>
                <w:highlight w:val="none"/>
                <w:lang w:bidi="ar"/>
              </w:rPr>
              <w:t>浓度占标率</w:t>
            </w:r>
            <w:r>
              <w:rPr>
                <w:b/>
                <w:bCs/>
                <w:color w:val="auto"/>
                <w:szCs w:val="21"/>
                <w:highlight w:val="none"/>
                <w:lang w:bidi="ar"/>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b/>
                <w:bCs/>
                <w:color w:val="auto"/>
                <w:spacing w:val="-4"/>
                <w:szCs w:val="21"/>
                <w:highlight w:val="none"/>
                <w:lang w:bidi="ar"/>
              </w:rPr>
            </w:pPr>
            <w:r>
              <w:rPr>
                <w:rFonts w:hint="eastAsia"/>
                <w:color w:val="auto"/>
                <w:highlight w:val="none"/>
              </w:rPr>
              <w:t>10</w:t>
            </w:r>
          </w:p>
        </w:tc>
        <w:tc>
          <w:tcPr>
            <w:tcW w:w="1733" w:type="dxa"/>
            <w:vAlign w:val="center"/>
          </w:tcPr>
          <w:p>
            <w:pPr>
              <w:spacing w:line="360" w:lineRule="auto"/>
              <w:jc w:val="center"/>
              <w:rPr>
                <w:b/>
                <w:bCs/>
                <w:color w:val="auto"/>
                <w:spacing w:val="-4"/>
                <w:szCs w:val="21"/>
                <w:highlight w:val="none"/>
                <w:lang w:bidi="ar"/>
              </w:rPr>
            </w:pPr>
            <w:r>
              <w:rPr>
                <w:rFonts w:hint="eastAsia"/>
                <w:color w:val="auto"/>
                <w:highlight w:val="none"/>
              </w:rPr>
              <w:t>0.0581</w:t>
            </w:r>
          </w:p>
        </w:tc>
        <w:tc>
          <w:tcPr>
            <w:tcW w:w="1432" w:type="dxa"/>
            <w:vAlign w:val="center"/>
          </w:tcPr>
          <w:p>
            <w:pPr>
              <w:spacing w:line="360" w:lineRule="auto"/>
              <w:jc w:val="center"/>
              <w:rPr>
                <w:rFonts w:hint="eastAsia"/>
                <w:color w:val="auto"/>
                <w:highlight w:val="none"/>
              </w:rPr>
            </w:pPr>
            <w:r>
              <w:rPr>
                <w:rFonts w:hint="eastAsia"/>
                <w:color w:val="auto"/>
                <w:highlight w:val="none"/>
              </w:rPr>
              <w:t>0.00</w:t>
            </w:r>
          </w:p>
        </w:tc>
        <w:tc>
          <w:tcPr>
            <w:tcW w:w="1845" w:type="dxa"/>
            <w:vAlign w:val="center"/>
          </w:tcPr>
          <w:p>
            <w:pPr>
              <w:spacing w:line="360" w:lineRule="auto"/>
              <w:jc w:val="center"/>
              <w:rPr>
                <w:rFonts w:hint="default" w:eastAsia="宋体"/>
                <w:b/>
                <w:bCs/>
                <w:color w:val="auto"/>
                <w:spacing w:val="-4"/>
                <w:szCs w:val="21"/>
                <w:highlight w:val="none"/>
                <w:lang w:val="en-US" w:eastAsia="zh-CN" w:bidi="ar"/>
              </w:rPr>
            </w:pPr>
            <w:r>
              <w:rPr>
                <w:rFonts w:hint="eastAsia"/>
                <w:color w:val="auto"/>
                <w:highlight w:val="none"/>
              </w:rPr>
              <w:t>0.0005</w:t>
            </w:r>
          </w:p>
        </w:tc>
        <w:tc>
          <w:tcPr>
            <w:tcW w:w="1419"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1.7931</w:t>
            </w:r>
          </w:p>
        </w:tc>
        <w:tc>
          <w:tcPr>
            <w:tcW w:w="1432" w:type="dxa"/>
            <w:vAlign w:val="center"/>
          </w:tcPr>
          <w:p>
            <w:pPr>
              <w:spacing w:line="360" w:lineRule="auto"/>
              <w:jc w:val="center"/>
              <w:rPr>
                <w:rFonts w:hint="eastAsia"/>
                <w:color w:val="auto"/>
                <w:highlight w:val="none"/>
              </w:rPr>
            </w:pPr>
            <w:r>
              <w:rPr>
                <w:rFonts w:hint="eastAsia"/>
                <w:color w:val="auto"/>
                <w:highlight w:val="none"/>
              </w:rPr>
              <w:t>0.09</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0.0148</w:t>
            </w:r>
          </w:p>
        </w:tc>
        <w:tc>
          <w:tcPr>
            <w:tcW w:w="1419"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118" w:type="dxa"/>
            <w:vAlign w:val="center"/>
          </w:tcPr>
          <w:p>
            <w:pPr>
              <w:spacing w:line="360" w:lineRule="auto"/>
              <w:jc w:val="center"/>
              <w:rPr>
                <w:b/>
                <w:bCs/>
                <w:color w:val="auto"/>
                <w:spacing w:val="-4"/>
                <w:szCs w:val="21"/>
                <w:highlight w:val="none"/>
                <w:lang w:bidi="ar"/>
              </w:rPr>
            </w:pPr>
            <w:r>
              <w:rPr>
                <w:rFonts w:hint="eastAsia"/>
                <w:color w:val="auto"/>
                <w:highlight w:val="none"/>
              </w:rPr>
              <w:t>50</w:t>
            </w:r>
          </w:p>
        </w:tc>
        <w:tc>
          <w:tcPr>
            <w:tcW w:w="1733" w:type="dxa"/>
            <w:vAlign w:val="center"/>
          </w:tcPr>
          <w:p>
            <w:pPr>
              <w:spacing w:line="360" w:lineRule="auto"/>
              <w:jc w:val="center"/>
              <w:rPr>
                <w:b/>
                <w:bCs/>
                <w:color w:val="auto"/>
                <w:spacing w:val="-4"/>
                <w:szCs w:val="21"/>
                <w:highlight w:val="none"/>
                <w:lang w:bidi="ar"/>
              </w:rPr>
            </w:pPr>
            <w:r>
              <w:rPr>
                <w:rFonts w:hint="eastAsia"/>
                <w:color w:val="auto"/>
                <w:highlight w:val="none"/>
              </w:rPr>
              <w:t>4.3526</w:t>
            </w:r>
          </w:p>
        </w:tc>
        <w:tc>
          <w:tcPr>
            <w:tcW w:w="1432" w:type="dxa"/>
            <w:vAlign w:val="center"/>
          </w:tcPr>
          <w:p>
            <w:pPr>
              <w:spacing w:line="360" w:lineRule="auto"/>
              <w:jc w:val="center"/>
              <w:rPr>
                <w:rFonts w:hint="eastAsia"/>
                <w:color w:val="auto"/>
                <w:highlight w:val="none"/>
              </w:rPr>
            </w:pPr>
            <w:r>
              <w:rPr>
                <w:rFonts w:hint="eastAsia"/>
                <w:color w:val="auto"/>
                <w:highlight w:val="none"/>
              </w:rPr>
              <w:t>0.22</w:t>
            </w:r>
          </w:p>
        </w:tc>
        <w:tc>
          <w:tcPr>
            <w:tcW w:w="1845" w:type="dxa"/>
            <w:vAlign w:val="center"/>
          </w:tcPr>
          <w:p>
            <w:pPr>
              <w:spacing w:line="360" w:lineRule="auto"/>
              <w:jc w:val="center"/>
              <w:rPr>
                <w:b/>
                <w:bCs/>
                <w:color w:val="auto"/>
                <w:spacing w:val="-4"/>
                <w:szCs w:val="21"/>
                <w:highlight w:val="none"/>
                <w:lang w:bidi="ar"/>
              </w:rPr>
            </w:pPr>
            <w:r>
              <w:rPr>
                <w:rFonts w:hint="eastAsia"/>
                <w:color w:val="auto"/>
                <w:highlight w:val="none"/>
              </w:rPr>
              <w:t>0.0359</w:t>
            </w:r>
          </w:p>
        </w:tc>
        <w:tc>
          <w:tcPr>
            <w:tcW w:w="1419" w:type="dxa"/>
            <w:vAlign w:val="center"/>
          </w:tcPr>
          <w:p>
            <w:pPr>
              <w:spacing w:line="360" w:lineRule="auto"/>
              <w:jc w:val="center"/>
              <w:rPr>
                <w:rFonts w:hint="eastAsia"/>
                <w:color w:val="auto"/>
                <w:highlight w:val="none"/>
              </w:rPr>
            </w:pPr>
            <w:r>
              <w:rPr>
                <w:rFonts w:hint="eastAsia"/>
                <w:color w:val="auto"/>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7.3446</w:t>
            </w:r>
          </w:p>
        </w:tc>
        <w:tc>
          <w:tcPr>
            <w:tcW w:w="1432" w:type="dxa"/>
            <w:vAlign w:val="center"/>
          </w:tcPr>
          <w:p>
            <w:pPr>
              <w:spacing w:line="360" w:lineRule="auto"/>
              <w:jc w:val="center"/>
              <w:rPr>
                <w:rFonts w:hint="eastAsia"/>
                <w:color w:val="auto"/>
                <w:highlight w:val="none"/>
              </w:rPr>
            </w:pPr>
            <w:r>
              <w:rPr>
                <w:rFonts w:hint="eastAsia"/>
                <w:color w:val="auto"/>
                <w:highlight w:val="none"/>
              </w:rPr>
              <w:t>0.37</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0.0606</w:t>
            </w:r>
          </w:p>
        </w:tc>
        <w:tc>
          <w:tcPr>
            <w:tcW w:w="1419"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100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9.9424</w:t>
            </w:r>
          </w:p>
        </w:tc>
        <w:tc>
          <w:tcPr>
            <w:tcW w:w="1432" w:type="dxa"/>
            <w:vAlign w:val="center"/>
          </w:tcPr>
          <w:p>
            <w:pPr>
              <w:spacing w:line="360" w:lineRule="auto"/>
              <w:jc w:val="center"/>
              <w:rPr>
                <w:rFonts w:hint="eastAsia"/>
                <w:color w:val="auto"/>
                <w:highlight w:val="none"/>
              </w:rPr>
            </w:pPr>
            <w:r>
              <w:rPr>
                <w:rFonts w:hint="eastAsia"/>
                <w:color w:val="auto"/>
                <w:highlight w:val="none"/>
              </w:rPr>
              <w:t>0.50</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0.0821</w:t>
            </w:r>
          </w:p>
        </w:tc>
        <w:tc>
          <w:tcPr>
            <w:tcW w:w="1419" w:type="dxa"/>
            <w:vAlign w:val="center"/>
          </w:tcPr>
          <w:p>
            <w:pPr>
              <w:spacing w:line="360" w:lineRule="auto"/>
              <w:jc w:val="center"/>
              <w:rPr>
                <w:rFonts w:hint="eastAsia"/>
                <w:color w:val="auto"/>
                <w:highlight w:val="none"/>
              </w:rPr>
            </w:pPr>
            <w:r>
              <w:rPr>
                <w:rFonts w:hint="eastAsia"/>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b/>
                <w:bCs/>
                <w:color w:val="auto"/>
                <w:spacing w:val="-4"/>
                <w:szCs w:val="21"/>
                <w:highlight w:val="none"/>
                <w:lang w:bidi="ar"/>
              </w:rPr>
            </w:pPr>
            <w:r>
              <w:rPr>
                <w:rFonts w:hint="eastAsia"/>
                <w:color w:val="auto"/>
                <w:highlight w:val="none"/>
              </w:rPr>
              <w:t>125</w:t>
            </w:r>
          </w:p>
        </w:tc>
        <w:tc>
          <w:tcPr>
            <w:tcW w:w="1733" w:type="dxa"/>
            <w:vAlign w:val="center"/>
          </w:tcPr>
          <w:p>
            <w:pPr>
              <w:spacing w:line="360" w:lineRule="auto"/>
              <w:jc w:val="center"/>
              <w:rPr>
                <w:b/>
                <w:bCs/>
                <w:color w:val="auto"/>
                <w:spacing w:val="-4"/>
                <w:szCs w:val="21"/>
                <w:highlight w:val="none"/>
                <w:lang w:bidi="ar"/>
              </w:rPr>
            </w:pPr>
            <w:r>
              <w:rPr>
                <w:rFonts w:hint="eastAsia"/>
                <w:color w:val="auto"/>
                <w:highlight w:val="none"/>
              </w:rPr>
              <w:t>18.6335</w:t>
            </w:r>
          </w:p>
        </w:tc>
        <w:tc>
          <w:tcPr>
            <w:tcW w:w="1432" w:type="dxa"/>
            <w:vAlign w:val="center"/>
          </w:tcPr>
          <w:p>
            <w:pPr>
              <w:spacing w:line="360" w:lineRule="auto"/>
              <w:jc w:val="center"/>
              <w:rPr>
                <w:rFonts w:hint="eastAsia"/>
                <w:b/>
                <w:bCs/>
                <w:color w:val="auto"/>
                <w:highlight w:val="none"/>
              </w:rPr>
            </w:pPr>
            <w:r>
              <w:rPr>
                <w:rFonts w:hint="eastAsia"/>
                <w:color w:val="auto"/>
                <w:highlight w:val="none"/>
              </w:rPr>
              <w:t>0.93</w:t>
            </w:r>
          </w:p>
        </w:tc>
        <w:tc>
          <w:tcPr>
            <w:tcW w:w="1845" w:type="dxa"/>
            <w:vAlign w:val="center"/>
          </w:tcPr>
          <w:p>
            <w:pPr>
              <w:spacing w:line="360" w:lineRule="auto"/>
              <w:jc w:val="center"/>
              <w:rPr>
                <w:b/>
                <w:bCs/>
                <w:color w:val="auto"/>
                <w:spacing w:val="-4"/>
                <w:szCs w:val="21"/>
                <w:highlight w:val="none"/>
                <w:lang w:bidi="ar"/>
              </w:rPr>
            </w:pPr>
            <w:r>
              <w:rPr>
                <w:rFonts w:hint="eastAsia"/>
                <w:color w:val="auto"/>
                <w:highlight w:val="none"/>
              </w:rPr>
              <w:t>0.1538</w:t>
            </w:r>
          </w:p>
        </w:tc>
        <w:tc>
          <w:tcPr>
            <w:tcW w:w="1419" w:type="dxa"/>
            <w:vAlign w:val="center"/>
          </w:tcPr>
          <w:p>
            <w:pPr>
              <w:spacing w:line="360" w:lineRule="auto"/>
              <w:jc w:val="center"/>
              <w:rPr>
                <w:rFonts w:hint="eastAsia"/>
                <w:b/>
                <w:bCs/>
                <w:color w:val="auto"/>
                <w:highlight w:val="none"/>
              </w:rPr>
            </w:pPr>
            <w:r>
              <w:rPr>
                <w:rFonts w:hint="eastAsia"/>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150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28.0520</w:t>
            </w:r>
          </w:p>
        </w:tc>
        <w:tc>
          <w:tcPr>
            <w:tcW w:w="1432" w:type="dxa"/>
            <w:vAlign w:val="center"/>
          </w:tcPr>
          <w:p>
            <w:pPr>
              <w:spacing w:line="360" w:lineRule="auto"/>
              <w:jc w:val="center"/>
              <w:rPr>
                <w:rFonts w:hint="eastAsia"/>
                <w:color w:val="auto"/>
                <w:highlight w:val="none"/>
              </w:rPr>
            </w:pPr>
            <w:r>
              <w:rPr>
                <w:rFonts w:hint="eastAsia"/>
                <w:color w:val="auto"/>
                <w:highlight w:val="none"/>
              </w:rPr>
              <w:t>1.40</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0.2315</w:t>
            </w:r>
          </w:p>
        </w:tc>
        <w:tc>
          <w:tcPr>
            <w:tcW w:w="1419" w:type="dxa"/>
            <w:vAlign w:val="center"/>
          </w:tcPr>
          <w:p>
            <w:pPr>
              <w:spacing w:line="360" w:lineRule="auto"/>
              <w:jc w:val="center"/>
              <w:rPr>
                <w:rFonts w:hint="eastAsia"/>
                <w:color w:val="auto"/>
                <w:highlight w:val="none"/>
              </w:rPr>
            </w:pPr>
            <w:r>
              <w:rPr>
                <w:rFonts w:hint="eastAsia"/>
                <w:color w:val="auto"/>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175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97.1157</w:t>
            </w:r>
          </w:p>
        </w:tc>
        <w:tc>
          <w:tcPr>
            <w:tcW w:w="1432" w:type="dxa"/>
            <w:vAlign w:val="center"/>
          </w:tcPr>
          <w:p>
            <w:pPr>
              <w:spacing w:line="360" w:lineRule="auto"/>
              <w:jc w:val="center"/>
              <w:rPr>
                <w:rFonts w:hint="eastAsia"/>
                <w:color w:val="auto"/>
                <w:highlight w:val="none"/>
              </w:rPr>
            </w:pPr>
            <w:r>
              <w:rPr>
                <w:rFonts w:hint="eastAsia"/>
                <w:color w:val="auto"/>
                <w:highlight w:val="none"/>
              </w:rPr>
              <w:t>4.86</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0.8016</w:t>
            </w:r>
          </w:p>
        </w:tc>
        <w:tc>
          <w:tcPr>
            <w:tcW w:w="1419" w:type="dxa"/>
            <w:vAlign w:val="center"/>
          </w:tcPr>
          <w:p>
            <w:pPr>
              <w:spacing w:line="360" w:lineRule="auto"/>
              <w:jc w:val="center"/>
              <w:rPr>
                <w:rFonts w:hint="eastAsia"/>
                <w:color w:val="auto"/>
                <w:highlight w:val="none"/>
              </w:rPr>
            </w:pPr>
            <w:r>
              <w:rPr>
                <w:rFonts w:hint="eastAsia"/>
                <w:color w:val="auto"/>
                <w:highlight w:val="none"/>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200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173.6498</w:t>
            </w:r>
          </w:p>
        </w:tc>
        <w:tc>
          <w:tcPr>
            <w:tcW w:w="1432" w:type="dxa"/>
            <w:vAlign w:val="center"/>
          </w:tcPr>
          <w:p>
            <w:pPr>
              <w:spacing w:line="360" w:lineRule="auto"/>
              <w:jc w:val="center"/>
              <w:rPr>
                <w:rFonts w:hint="eastAsia"/>
                <w:color w:val="auto"/>
                <w:highlight w:val="none"/>
              </w:rPr>
            </w:pPr>
            <w:r>
              <w:rPr>
                <w:rFonts w:hint="eastAsia"/>
                <w:color w:val="auto"/>
                <w:highlight w:val="none"/>
              </w:rPr>
              <w:t>8.68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1.4333</w:t>
            </w:r>
          </w:p>
        </w:tc>
        <w:tc>
          <w:tcPr>
            <w:tcW w:w="1419" w:type="dxa"/>
            <w:vAlign w:val="center"/>
          </w:tcPr>
          <w:p>
            <w:pPr>
              <w:spacing w:line="360" w:lineRule="auto"/>
              <w:jc w:val="center"/>
              <w:rPr>
                <w:rFonts w:hint="eastAsia"/>
                <w:color w:val="auto"/>
                <w:highlight w:val="none"/>
              </w:rPr>
            </w:pPr>
            <w:r>
              <w:rPr>
                <w:rFonts w:hint="eastAsia"/>
                <w:color w:val="auto"/>
                <w:highlight w:val="none"/>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207</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186.4558</w:t>
            </w:r>
          </w:p>
        </w:tc>
        <w:tc>
          <w:tcPr>
            <w:tcW w:w="1432" w:type="dxa"/>
            <w:vAlign w:val="center"/>
          </w:tcPr>
          <w:p>
            <w:pPr>
              <w:spacing w:line="360" w:lineRule="auto"/>
              <w:jc w:val="center"/>
              <w:rPr>
                <w:rFonts w:hint="eastAsia"/>
                <w:color w:val="auto"/>
                <w:highlight w:val="none"/>
              </w:rPr>
            </w:pPr>
            <w:r>
              <w:rPr>
                <w:rFonts w:hint="eastAsia"/>
                <w:color w:val="auto"/>
                <w:highlight w:val="none"/>
              </w:rPr>
              <w:t>9.32</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1.5390</w:t>
            </w:r>
          </w:p>
        </w:tc>
        <w:tc>
          <w:tcPr>
            <w:tcW w:w="1419" w:type="dxa"/>
            <w:vAlign w:val="center"/>
          </w:tcPr>
          <w:p>
            <w:pPr>
              <w:spacing w:line="360" w:lineRule="auto"/>
              <w:jc w:val="center"/>
              <w:rPr>
                <w:rFonts w:hint="eastAsia"/>
                <w:color w:val="auto"/>
                <w:highlight w:val="none"/>
              </w:rPr>
            </w:pPr>
            <w:r>
              <w:rPr>
                <w:rFonts w:hint="eastAsia"/>
                <w:color w:val="auto"/>
                <w:highlight w:val="non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225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162.7702</w:t>
            </w:r>
          </w:p>
        </w:tc>
        <w:tc>
          <w:tcPr>
            <w:tcW w:w="1432" w:type="dxa"/>
            <w:vAlign w:val="center"/>
          </w:tcPr>
          <w:p>
            <w:pPr>
              <w:spacing w:line="360" w:lineRule="auto"/>
              <w:jc w:val="center"/>
              <w:rPr>
                <w:rFonts w:hint="eastAsia"/>
                <w:color w:val="auto"/>
                <w:highlight w:val="none"/>
              </w:rPr>
            </w:pPr>
            <w:r>
              <w:rPr>
                <w:rFonts w:hint="eastAsia"/>
                <w:color w:val="auto"/>
                <w:highlight w:val="none"/>
              </w:rPr>
              <w:t>8.14</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1.3435</w:t>
            </w:r>
          </w:p>
        </w:tc>
        <w:tc>
          <w:tcPr>
            <w:tcW w:w="1419" w:type="dxa"/>
            <w:vAlign w:val="center"/>
          </w:tcPr>
          <w:p>
            <w:pPr>
              <w:spacing w:line="360" w:lineRule="auto"/>
              <w:jc w:val="center"/>
              <w:rPr>
                <w:rFonts w:hint="eastAsia"/>
                <w:color w:val="auto"/>
                <w:highlight w:val="none"/>
              </w:rPr>
            </w:pPr>
            <w:r>
              <w:rPr>
                <w:rFonts w:hint="eastAsia"/>
                <w:color w:val="auto"/>
                <w:highlight w:val="none"/>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250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155.6221</w:t>
            </w:r>
          </w:p>
        </w:tc>
        <w:tc>
          <w:tcPr>
            <w:tcW w:w="1432" w:type="dxa"/>
            <w:vAlign w:val="center"/>
          </w:tcPr>
          <w:p>
            <w:pPr>
              <w:spacing w:line="360" w:lineRule="auto"/>
              <w:jc w:val="center"/>
              <w:rPr>
                <w:rFonts w:hint="eastAsia"/>
                <w:color w:val="auto"/>
                <w:highlight w:val="none"/>
              </w:rPr>
            </w:pPr>
            <w:r>
              <w:rPr>
                <w:rFonts w:hint="eastAsia"/>
                <w:color w:val="auto"/>
                <w:highlight w:val="none"/>
              </w:rPr>
              <w:t>7.78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1.2845</w:t>
            </w:r>
          </w:p>
        </w:tc>
        <w:tc>
          <w:tcPr>
            <w:tcW w:w="1419" w:type="dxa"/>
            <w:vAlign w:val="center"/>
          </w:tcPr>
          <w:p>
            <w:pPr>
              <w:spacing w:line="360" w:lineRule="auto"/>
              <w:jc w:val="center"/>
              <w:rPr>
                <w:rFonts w:hint="eastAsia"/>
                <w:color w:val="auto"/>
                <w:highlight w:val="none"/>
              </w:rPr>
            </w:pPr>
            <w:r>
              <w:rPr>
                <w:rFonts w:hint="eastAsia"/>
                <w:color w:val="auto"/>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275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149.6492</w:t>
            </w:r>
          </w:p>
        </w:tc>
        <w:tc>
          <w:tcPr>
            <w:tcW w:w="1432" w:type="dxa"/>
            <w:vAlign w:val="center"/>
          </w:tcPr>
          <w:p>
            <w:pPr>
              <w:spacing w:line="360" w:lineRule="auto"/>
              <w:jc w:val="center"/>
              <w:rPr>
                <w:rFonts w:hint="eastAsia"/>
                <w:color w:val="auto"/>
                <w:highlight w:val="none"/>
              </w:rPr>
            </w:pPr>
            <w:r>
              <w:rPr>
                <w:rFonts w:hint="eastAsia"/>
                <w:color w:val="auto"/>
                <w:highlight w:val="none"/>
              </w:rPr>
              <w:t>7.48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1.2352</w:t>
            </w:r>
          </w:p>
        </w:tc>
        <w:tc>
          <w:tcPr>
            <w:tcW w:w="1419" w:type="dxa"/>
            <w:vAlign w:val="center"/>
          </w:tcPr>
          <w:p>
            <w:pPr>
              <w:spacing w:line="360" w:lineRule="auto"/>
              <w:jc w:val="center"/>
              <w:rPr>
                <w:rFonts w:hint="eastAsia"/>
                <w:color w:val="auto"/>
                <w:highlight w:val="none"/>
              </w:rPr>
            </w:pPr>
            <w:r>
              <w:rPr>
                <w:rFonts w:hint="eastAsia"/>
                <w:color w:val="auto"/>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300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137.6429</w:t>
            </w:r>
          </w:p>
        </w:tc>
        <w:tc>
          <w:tcPr>
            <w:tcW w:w="1432" w:type="dxa"/>
            <w:vAlign w:val="center"/>
          </w:tcPr>
          <w:p>
            <w:pPr>
              <w:spacing w:line="360" w:lineRule="auto"/>
              <w:jc w:val="center"/>
              <w:rPr>
                <w:rFonts w:hint="eastAsia"/>
                <w:color w:val="auto"/>
                <w:highlight w:val="none"/>
              </w:rPr>
            </w:pPr>
            <w:r>
              <w:rPr>
                <w:rFonts w:hint="eastAsia"/>
                <w:color w:val="auto"/>
                <w:highlight w:val="none"/>
              </w:rPr>
              <w:t>6.88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1.1361</w:t>
            </w:r>
          </w:p>
        </w:tc>
        <w:tc>
          <w:tcPr>
            <w:tcW w:w="1419" w:type="dxa"/>
            <w:vAlign w:val="center"/>
          </w:tcPr>
          <w:p>
            <w:pPr>
              <w:spacing w:line="360" w:lineRule="auto"/>
              <w:jc w:val="center"/>
              <w:rPr>
                <w:rFonts w:hint="eastAsia"/>
                <w:color w:val="auto"/>
                <w:highlight w:val="none"/>
              </w:rPr>
            </w:pPr>
            <w:r>
              <w:rPr>
                <w:rFonts w:hint="eastAsia"/>
                <w:color w:val="auto"/>
                <w:highlight w:val="none"/>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325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126.0121</w:t>
            </w:r>
          </w:p>
        </w:tc>
        <w:tc>
          <w:tcPr>
            <w:tcW w:w="1432" w:type="dxa"/>
            <w:vAlign w:val="center"/>
          </w:tcPr>
          <w:p>
            <w:pPr>
              <w:spacing w:line="360" w:lineRule="auto"/>
              <w:jc w:val="center"/>
              <w:rPr>
                <w:rFonts w:hint="eastAsia"/>
                <w:color w:val="auto"/>
                <w:highlight w:val="none"/>
              </w:rPr>
            </w:pPr>
            <w:r>
              <w:rPr>
                <w:rFonts w:hint="eastAsia"/>
                <w:color w:val="auto"/>
                <w:highlight w:val="none"/>
              </w:rPr>
              <w:t>6.30</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1.0401</w:t>
            </w:r>
          </w:p>
        </w:tc>
        <w:tc>
          <w:tcPr>
            <w:tcW w:w="1419" w:type="dxa"/>
            <w:vAlign w:val="center"/>
          </w:tcPr>
          <w:p>
            <w:pPr>
              <w:spacing w:line="360" w:lineRule="auto"/>
              <w:jc w:val="center"/>
              <w:rPr>
                <w:rFonts w:hint="eastAsia"/>
                <w:color w:val="auto"/>
                <w:highlight w:val="none"/>
              </w:rPr>
            </w:pPr>
            <w:r>
              <w:rPr>
                <w:rFonts w:hint="eastAsia"/>
                <w:color w:val="auto"/>
                <w:highlight w:val="none"/>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350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123.4194</w:t>
            </w:r>
          </w:p>
        </w:tc>
        <w:tc>
          <w:tcPr>
            <w:tcW w:w="1432" w:type="dxa"/>
            <w:vAlign w:val="center"/>
          </w:tcPr>
          <w:p>
            <w:pPr>
              <w:spacing w:line="360" w:lineRule="auto"/>
              <w:jc w:val="center"/>
              <w:rPr>
                <w:rFonts w:hint="eastAsia"/>
                <w:color w:val="auto"/>
                <w:highlight w:val="none"/>
              </w:rPr>
            </w:pPr>
            <w:r>
              <w:rPr>
                <w:rFonts w:hint="eastAsia"/>
                <w:color w:val="auto"/>
                <w:highlight w:val="none"/>
              </w:rPr>
              <w:t>6.17</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1.0187</w:t>
            </w:r>
          </w:p>
        </w:tc>
        <w:tc>
          <w:tcPr>
            <w:tcW w:w="1419" w:type="dxa"/>
            <w:vAlign w:val="center"/>
          </w:tcPr>
          <w:p>
            <w:pPr>
              <w:spacing w:line="360" w:lineRule="auto"/>
              <w:jc w:val="center"/>
              <w:rPr>
                <w:rFonts w:hint="eastAsia"/>
                <w:color w:val="auto"/>
                <w:highlight w:val="none"/>
              </w:rPr>
            </w:pPr>
            <w:r>
              <w:rPr>
                <w:rFonts w:hint="eastAsia"/>
                <w:color w:val="auto"/>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375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113.6908</w:t>
            </w:r>
          </w:p>
        </w:tc>
        <w:tc>
          <w:tcPr>
            <w:tcW w:w="1432" w:type="dxa"/>
            <w:vAlign w:val="center"/>
          </w:tcPr>
          <w:p>
            <w:pPr>
              <w:spacing w:line="360" w:lineRule="auto"/>
              <w:jc w:val="center"/>
              <w:rPr>
                <w:rFonts w:hint="eastAsia"/>
                <w:color w:val="auto"/>
                <w:highlight w:val="none"/>
              </w:rPr>
            </w:pPr>
            <w:r>
              <w:rPr>
                <w:rFonts w:hint="eastAsia"/>
                <w:color w:val="auto"/>
                <w:highlight w:val="none"/>
              </w:rPr>
              <w:t>5.68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0.9384</w:t>
            </w:r>
          </w:p>
        </w:tc>
        <w:tc>
          <w:tcPr>
            <w:tcW w:w="1419" w:type="dxa"/>
            <w:vAlign w:val="center"/>
          </w:tcPr>
          <w:p>
            <w:pPr>
              <w:spacing w:line="360" w:lineRule="auto"/>
              <w:jc w:val="center"/>
              <w:rPr>
                <w:rFonts w:hint="eastAsia"/>
                <w:color w:val="auto"/>
                <w:highlight w:val="none"/>
              </w:rPr>
            </w:pPr>
            <w:r>
              <w:rPr>
                <w:rFonts w:hint="eastAsia"/>
                <w:color w:val="auto"/>
                <w:highlight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400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111.1538</w:t>
            </w:r>
          </w:p>
        </w:tc>
        <w:tc>
          <w:tcPr>
            <w:tcW w:w="1432" w:type="dxa"/>
            <w:vAlign w:val="center"/>
          </w:tcPr>
          <w:p>
            <w:pPr>
              <w:spacing w:line="360" w:lineRule="auto"/>
              <w:jc w:val="center"/>
              <w:rPr>
                <w:rFonts w:hint="eastAsia"/>
                <w:color w:val="auto"/>
                <w:highlight w:val="none"/>
              </w:rPr>
            </w:pPr>
            <w:r>
              <w:rPr>
                <w:rFonts w:hint="eastAsia"/>
                <w:color w:val="auto"/>
                <w:highlight w:val="none"/>
              </w:rPr>
              <w:t>5.56</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0.9175</w:t>
            </w:r>
          </w:p>
        </w:tc>
        <w:tc>
          <w:tcPr>
            <w:tcW w:w="1419" w:type="dxa"/>
            <w:vAlign w:val="center"/>
          </w:tcPr>
          <w:p>
            <w:pPr>
              <w:spacing w:line="360" w:lineRule="auto"/>
              <w:jc w:val="center"/>
              <w:rPr>
                <w:rFonts w:hint="eastAsia"/>
                <w:color w:val="auto"/>
                <w:highlight w:val="none"/>
              </w:rPr>
            </w:pPr>
            <w:r>
              <w:rPr>
                <w:rFonts w:hint="eastAsia"/>
                <w:color w:val="auto"/>
                <w:highlight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425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106.1320</w:t>
            </w:r>
          </w:p>
        </w:tc>
        <w:tc>
          <w:tcPr>
            <w:tcW w:w="1432" w:type="dxa"/>
            <w:vAlign w:val="center"/>
          </w:tcPr>
          <w:p>
            <w:pPr>
              <w:spacing w:line="360" w:lineRule="auto"/>
              <w:jc w:val="center"/>
              <w:rPr>
                <w:rFonts w:hint="eastAsia"/>
                <w:color w:val="auto"/>
                <w:highlight w:val="none"/>
              </w:rPr>
            </w:pPr>
            <w:r>
              <w:rPr>
                <w:rFonts w:hint="eastAsia"/>
                <w:color w:val="auto"/>
                <w:highlight w:val="none"/>
              </w:rPr>
              <w:t>5.31</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0.8760</w:t>
            </w:r>
          </w:p>
        </w:tc>
        <w:tc>
          <w:tcPr>
            <w:tcW w:w="1419" w:type="dxa"/>
            <w:vAlign w:val="center"/>
          </w:tcPr>
          <w:p>
            <w:pPr>
              <w:spacing w:line="360" w:lineRule="auto"/>
              <w:jc w:val="center"/>
              <w:rPr>
                <w:rFonts w:hint="eastAsia"/>
                <w:color w:val="auto"/>
                <w:highlight w:val="none"/>
              </w:rPr>
            </w:pPr>
            <w:r>
              <w:rPr>
                <w:rFonts w:hint="eastAsia"/>
                <w:color w:val="auto"/>
                <w:highlight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450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95.0609</w:t>
            </w:r>
          </w:p>
        </w:tc>
        <w:tc>
          <w:tcPr>
            <w:tcW w:w="1432" w:type="dxa"/>
            <w:vAlign w:val="center"/>
          </w:tcPr>
          <w:p>
            <w:pPr>
              <w:spacing w:line="360" w:lineRule="auto"/>
              <w:jc w:val="center"/>
              <w:rPr>
                <w:rFonts w:hint="eastAsia"/>
                <w:color w:val="auto"/>
                <w:highlight w:val="none"/>
              </w:rPr>
            </w:pPr>
            <w:r>
              <w:rPr>
                <w:rFonts w:hint="eastAsia"/>
                <w:color w:val="auto"/>
                <w:highlight w:val="none"/>
              </w:rPr>
              <w:t>4.75</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0.7846</w:t>
            </w:r>
          </w:p>
        </w:tc>
        <w:tc>
          <w:tcPr>
            <w:tcW w:w="1419" w:type="dxa"/>
            <w:vAlign w:val="center"/>
          </w:tcPr>
          <w:p>
            <w:pPr>
              <w:spacing w:line="360" w:lineRule="auto"/>
              <w:jc w:val="center"/>
              <w:rPr>
                <w:rFonts w:hint="eastAsia"/>
                <w:color w:val="auto"/>
                <w:highlight w:val="none"/>
              </w:rPr>
            </w:pPr>
            <w:r>
              <w:rPr>
                <w:rFonts w:hint="eastAsia"/>
                <w:color w:val="auto"/>
                <w:highlight w:val="none"/>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475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96.6723</w:t>
            </w:r>
          </w:p>
        </w:tc>
        <w:tc>
          <w:tcPr>
            <w:tcW w:w="1432" w:type="dxa"/>
            <w:vAlign w:val="center"/>
          </w:tcPr>
          <w:p>
            <w:pPr>
              <w:spacing w:line="360" w:lineRule="auto"/>
              <w:jc w:val="center"/>
              <w:rPr>
                <w:rFonts w:hint="eastAsia"/>
                <w:color w:val="auto"/>
                <w:highlight w:val="none"/>
              </w:rPr>
            </w:pPr>
            <w:r>
              <w:rPr>
                <w:rFonts w:hint="eastAsia"/>
                <w:color w:val="auto"/>
                <w:highlight w:val="none"/>
              </w:rPr>
              <w:t>4.83</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0.7979</w:t>
            </w:r>
          </w:p>
        </w:tc>
        <w:tc>
          <w:tcPr>
            <w:tcW w:w="1419" w:type="dxa"/>
            <w:vAlign w:val="center"/>
          </w:tcPr>
          <w:p>
            <w:pPr>
              <w:spacing w:line="360" w:lineRule="auto"/>
              <w:jc w:val="center"/>
              <w:rPr>
                <w:rFonts w:hint="eastAsia"/>
                <w:color w:val="auto"/>
                <w:highlight w:val="none"/>
              </w:rPr>
            </w:pPr>
            <w:r>
              <w:rPr>
                <w:rFonts w:hint="eastAsia"/>
                <w:color w:val="auto"/>
                <w:highlight w:val="none"/>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500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91.8201</w:t>
            </w:r>
          </w:p>
        </w:tc>
        <w:tc>
          <w:tcPr>
            <w:tcW w:w="1432" w:type="dxa"/>
            <w:vAlign w:val="center"/>
          </w:tcPr>
          <w:p>
            <w:pPr>
              <w:spacing w:line="360" w:lineRule="auto"/>
              <w:jc w:val="center"/>
              <w:rPr>
                <w:rFonts w:hint="eastAsia"/>
                <w:color w:val="auto"/>
                <w:highlight w:val="none"/>
              </w:rPr>
            </w:pPr>
            <w:r>
              <w:rPr>
                <w:rFonts w:hint="eastAsia"/>
                <w:color w:val="auto"/>
                <w:highlight w:val="none"/>
              </w:rPr>
              <w:t>4.59</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0.7579</w:t>
            </w:r>
          </w:p>
        </w:tc>
        <w:tc>
          <w:tcPr>
            <w:tcW w:w="1419" w:type="dxa"/>
            <w:vAlign w:val="center"/>
          </w:tcPr>
          <w:p>
            <w:pPr>
              <w:spacing w:line="360" w:lineRule="auto"/>
              <w:jc w:val="center"/>
              <w:rPr>
                <w:rFonts w:hint="eastAsia"/>
                <w:color w:val="auto"/>
                <w:highlight w:val="none"/>
              </w:rPr>
            </w:pPr>
            <w:r>
              <w:rPr>
                <w:rFonts w:hint="eastAsia"/>
                <w:color w:val="auto"/>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525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88.4884</w:t>
            </w:r>
          </w:p>
        </w:tc>
        <w:tc>
          <w:tcPr>
            <w:tcW w:w="1432" w:type="dxa"/>
            <w:vAlign w:val="center"/>
          </w:tcPr>
          <w:p>
            <w:pPr>
              <w:spacing w:line="360" w:lineRule="auto"/>
              <w:jc w:val="center"/>
              <w:rPr>
                <w:rFonts w:hint="eastAsia"/>
                <w:color w:val="auto"/>
                <w:highlight w:val="none"/>
              </w:rPr>
            </w:pPr>
            <w:r>
              <w:rPr>
                <w:rFonts w:hint="eastAsia"/>
                <w:color w:val="auto"/>
                <w:highlight w:val="none"/>
              </w:rPr>
              <w:t>4.42</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0.7304</w:t>
            </w:r>
          </w:p>
        </w:tc>
        <w:tc>
          <w:tcPr>
            <w:tcW w:w="1419" w:type="dxa"/>
            <w:vAlign w:val="center"/>
          </w:tcPr>
          <w:p>
            <w:pPr>
              <w:spacing w:line="360" w:lineRule="auto"/>
              <w:jc w:val="center"/>
              <w:rPr>
                <w:rFonts w:hint="eastAsia"/>
                <w:color w:val="auto"/>
                <w:highlight w:val="none"/>
              </w:rPr>
            </w:pPr>
            <w:r>
              <w:rPr>
                <w:rFonts w:hint="eastAsia"/>
                <w:color w:val="auto"/>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550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86.1149</w:t>
            </w:r>
          </w:p>
        </w:tc>
        <w:tc>
          <w:tcPr>
            <w:tcW w:w="1432" w:type="dxa"/>
            <w:vAlign w:val="center"/>
          </w:tcPr>
          <w:p>
            <w:pPr>
              <w:spacing w:line="360" w:lineRule="auto"/>
              <w:jc w:val="center"/>
              <w:rPr>
                <w:rFonts w:hint="eastAsia"/>
                <w:color w:val="auto"/>
                <w:highlight w:val="none"/>
              </w:rPr>
            </w:pPr>
            <w:r>
              <w:rPr>
                <w:rFonts w:hint="eastAsia"/>
                <w:color w:val="auto"/>
                <w:highlight w:val="none"/>
              </w:rPr>
              <w:t>4.31</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0.7108</w:t>
            </w:r>
          </w:p>
        </w:tc>
        <w:tc>
          <w:tcPr>
            <w:tcW w:w="1419" w:type="dxa"/>
            <w:vAlign w:val="center"/>
          </w:tcPr>
          <w:p>
            <w:pPr>
              <w:spacing w:line="360" w:lineRule="auto"/>
              <w:jc w:val="center"/>
              <w:rPr>
                <w:rFonts w:hint="eastAsia"/>
                <w:color w:val="auto"/>
                <w:highlight w:val="none"/>
              </w:rPr>
            </w:pPr>
            <w:r>
              <w:rPr>
                <w:rFonts w:hint="eastAsia"/>
                <w:color w:val="auto"/>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575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83.5295</w:t>
            </w:r>
          </w:p>
        </w:tc>
        <w:tc>
          <w:tcPr>
            <w:tcW w:w="1432" w:type="dxa"/>
            <w:vAlign w:val="center"/>
          </w:tcPr>
          <w:p>
            <w:pPr>
              <w:spacing w:line="360" w:lineRule="auto"/>
              <w:jc w:val="center"/>
              <w:rPr>
                <w:rFonts w:hint="eastAsia"/>
                <w:color w:val="auto"/>
                <w:highlight w:val="none"/>
              </w:rPr>
            </w:pPr>
            <w:r>
              <w:rPr>
                <w:rFonts w:hint="eastAsia"/>
                <w:color w:val="auto"/>
                <w:highlight w:val="none"/>
              </w:rPr>
              <w:t>4.18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0.6895</w:t>
            </w:r>
          </w:p>
        </w:tc>
        <w:tc>
          <w:tcPr>
            <w:tcW w:w="1419" w:type="dxa"/>
            <w:vAlign w:val="center"/>
          </w:tcPr>
          <w:p>
            <w:pPr>
              <w:spacing w:line="360" w:lineRule="auto"/>
              <w:jc w:val="center"/>
              <w:rPr>
                <w:rFonts w:hint="eastAsia"/>
                <w:color w:val="auto"/>
                <w:highlight w:val="none"/>
              </w:rPr>
            </w:pPr>
            <w:r>
              <w:rPr>
                <w:rFonts w:hint="eastAsia"/>
                <w:color w:val="auto"/>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600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80.6521</w:t>
            </w:r>
          </w:p>
        </w:tc>
        <w:tc>
          <w:tcPr>
            <w:tcW w:w="1432" w:type="dxa"/>
            <w:vAlign w:val="center"/>
          </w:tcPr>
          <w:p>
            <w:pPr>
              <w:spacing w:line="360" w:lineRule="auto"/>
              <w:jc w:val="center"/>
              <w:rPr>
                <w:rFonts w:hint="eastAsia"/>
                <w:color w:val="auto"/>
                <w:highlight w:val="none"/>
              </w:rPr>
            </w:pPr>
            <w:r>
              <w:rPr>
                <w:rFonts w:hint="eastAsia"/>
                <w:color w:val="auto"/>
                <w:highlight w:val="none"/>
              </w:rPr>
              <w:t>4.03</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0.6657</w:t>
            </w:r>
          </w:p>
        </w:tc>
        <w:tc>
          <w:tcPr>
            <w:tcW w:w="1419" w:type="dxa"/>
            <w:vAlign w:val="center"/>
          </w:tcPr>
          <w:p>
            <w:pPr>
              <w:spacing w:line="360" w:lineRule="auto"/>
              <w:jc w:val="center"/>
              <w:rPr>
                <w:rFonts w:hint="eastAsia"/>
                <w:color w:val="auto"/>
                <w:highlight w:val="none"/>
              </w:rPr>
            </w:pPr>
            <w:r>
              <w:rPr>
                <w:rFonts w:hint="eastAsia"/>
                <w:color w:val="auto"/>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625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78.1673</w:t>
            </w:r>
          </w:p>
        </w:tc>
        <w:tc>
          <w:tcPr>
            <w:tcW w:w="1432" w:type="dxa"/>
            <w:vAlign w:val="center"/>
          </w:tcPr>
          <w:p>
            <w:pPr>
              <w:spacing w:line="360" w:lineRule="auto"/>
              <w:jc w:val="center"/>
              <w:rPr>
                <w:rFonts w:hint="eastAsia"/>
                <w:color w:val="auto"/>
                <w:highlight w:val="none"/>
              </w:rPr>
            </w:pPr>
            <w:r>
              <w:rPr>
                <w:rFonts w:hint="eastAsia"/>
                <w:color w:val="auto"/>
                <w:highlight w:val="none"/>
              </w:rPr>
              <w:t>3.91</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0.6452</w:t>
            </w:r>
          </w:p>
        </w:tc>
        <w:tc>
          <w:tcPr>
            <w:tcW w:w="1419" w:type="dxa"/>
            <w:vAlign w:val="center"/>
          </w:tcPr>
          <w:p>
            <w:pPr>
              <w:spacing w:line="360" w:lineRule="auto"/>
              <w:jc w:val="center"/>
              <w:rPr>
                <w:rFonts w:hint="eastAsia"/>
                <w:color w:val="auto"/>
                <w:highlight w:val="none"/>
              </w:rPr>
            </w:pPr>
            <w:r>
              <w:rPr>
                <w:rFonts w:hint="eastAsia"/>
                <w:color w:val="auto"/>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650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74.8283</w:t>
            </w:r>
          </w:p>
        </w:tc>
        <w:tc>
          <w:tcPr>
            <w:tcW w:w="1432" w:type="dxa"/>
            <w:vAlign w:val="center"/>
          </w:tcPr>
          <w:p>
            <w:pPr>
              <w:spacing w:line="360" w:lineRule="auto"/>
              <w:jc w:val="center"/>
              <w:rPr>
                <w:rFonts w:hint="eastAsia"/>
                <w:color w:val="auto"/>
                <w:highlight w:val="none"/>
              </w:rPr>
            </w:pPr>
            <w:r>
              <w:rPr>
                <w:rFonts w:hint="eastAsia"/>
                <w:color w:val="auto"/>
                <w:highlight w:val="none"/>
              </w:rPr>
              <w:t>3.74</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0.6176</w:t>
            </w:r>
          </w:p>
        </w:tc>
        <w:tc>
          <w:tcPr>
            <w:tcW w:w="1419" w:type="dxa"/>
            <w:vAlign w:val="center"/>
          </w:tcPr>
          <w:p>
            <w:pPr>
              <w:spacing w:line="360" w:lineRule="auto"/>
              <w:jc w:val="center"/>
              <w:rPr>
                <w:rFonts w:hint="eastAsia"/>
                <w:color w:val="auto"/>
                <w:highlight w:val="none"/>
              </w:rPr>
            </w:pPr>
            <w:r>
              <w:rPr>
                <w:rFonts w:hint="eastAsia"/>
                <w:color w:val="auto"/>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675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73.0037</w:t>
            </w:r>
          </w:p>
        </w:tc>
        <w:tc>
          <w:tcPr>
            <w:tcW w:w="1432" w:type="dxa"/>
            <w:vAlign w:val="center"/>
          </w:tcPr>
          <w:p>
            <w:pPr>
              <w:spacing w:line="360" w:lineRule="auto"/>
              <w:jc w:val="center"/>
              <w:rPr>
                <w:rFonts w:hint="eastAsia"/>
                <w:color w:val="auto"/>
                <w:highlight w:val="none"/>
              </w:rPr>
            </w:pPr>
            <w:r>
              <w:rPr>
                <w:rFonts w:hint="eastAsia"/>
                <w:color w:val="auto"/>
                <w:highlight w:val="none"/>
              </w:rPr>
              <w:t>3.65</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0.6026</w:t>
            </w:r>
          </w:p>
        </w:tc>
        <w:tc>
          <w:tcPr>
            <w:tcW w:w="1419" w:type="dxa"/>
            <w:vAlign w:val="center"/>
          </w:tcPr>
          <w:p>
            <w:pPr>
              <w:spacing w:line="360" w:lineRule="auto"/>
              <w:jc w:val="center"/>
              <w:rPr>
                <w:rFonts w:hint="eastAsia"/>
                <w:color w:val="auto"/>
                <w:highlight w:val="none"/>
              </w:rPr>
            </w:pPr>
            <w:r>
              <w:rPr>
                <w:rFonts w:hint="eastAsia"/>
                <w:color w:val="auto"/>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700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71.3790</w:t>
            </w:r>
          </w:p>
        </w:tc>
        <w:tc>
          <w:tcPr>
            <w:tcW w:w="1432" w:type="dxa"/>
            <w:vAlign w:val="center"/>
          </w:tcPr>
          <w:p>
            <w:pPr>
              <w:spacing w:line="360" w:lineRule="auto"/>
              <w:jc w:val="center"/>
              <w:rPr>
                <w:rFonts w:hint="eastAsia"/>
                <w:color w:val="auto"/>
                <w:highlight w:val="none"/>
              </w:rPr>
            </w:pPr>
            <w:r>
              <w:rPr>
                <w:rFonts w:hint="eastAsia"/>
                <w:color w:val="auto"/>
                <w:highlight w:val="none"/>
              </w:rPr>
              <w:t>3.57</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0.5892</w:t>
            </w:r>
          </w:p>
        </w:tc>
        <w:tc>
          <w:tcPr>
            <w:tcW w:w="1419" w:type="dxa"/>
            <w:vAlign w:val="center"/>
          </w:tcPr>
          <w:p>
            <w:pPr>
              <w:spacing w:line="360" w:lineRule="auto"/>
              <w:jc w:val="center"/>
              <w:rPr>
                <w:rFonts w:hint="eastAsia"/>
                <w:color w:val="auto"/>
                <w:highlight w:val="none"/>
              </w:rPr>
            </w:pPr>
            <w:r>
              <w:rPr>
                <w:rFonts w:hint="eastAsia"/>
                <w:color w:val="auto"/>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725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69.3884</w:t>
            </w:r>
          </w:p>
        </w:tc>
        <w:tc>
          <w:tcPr>
            <w:tcW w:w="1432" w:type="dxa"/>
            <w:vAlign w:val="center"/>
          </w:tcPr>
          <w:p>
            <w:pPr>
              <w:spacing w:line="360" w:lineRule="auto"/>
              <w:jc w:val="center"/>
              <w:rPr>
                <w:rFonts w:hint="eastAsia"/>
                <w:color w:val="auto"/>
                <w:highlight w:val="none"/>
              </w:rPr>
            </w:pPr>
            <w:r>
              <w:rPr>
                <w:rFonts w:hint="eastAsia"/>
                <w:color w:val="auto"/>
                <w:highlight w:val="none"/>
              </w:rPr>
              <w:t>3.47</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0.5727</w:t>
            </w:r>
          </w:p>
        </w:tc>
        <w:tc>
          <w:tcPr>
            <w:tcW w:w="1419" w:type="dxa"/>
            <w:vAlign w:val="center"/>
          </w:tcPr>
          <w:p>
            <w:pPr>
              <w:spacing w:line="360" w:lineRule="auto"/>
              <w:jc w:val="center"/>
              <w:rPr>
                <w:rFonts w:hint="eastAsia"/>
                <w:color w:val="auto"/>
                <w:highlight w:val="none"/>
              </w:rPr>
            </w:pPr>
            <w:r>
              <w:rPr>
                <w:rFonts w:hint="eastAsia"/>
                <w:color w:val="auto"/>
                <w:highlight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750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67.5033</w:t>
            </w:r>
          </w:p>
        </w:tc>
        <w:tc>
          <w:tcPr>
            <w:tcW w:w="1432" w:type="dxa"/>
            <w:vAlign w:val="center"/>
          </w:tcPr>
          <w:p>
            <w:pPr>
              <w:spacing w:line="360" w:lineRule="auto"/>
              <w:jc w:val="center"/>
              <w:rPr>
                <w:rFonts w:hint="eastAsia"/>
                <w:color w:val="auto"/>
                <w:highlight w:val="none"/>
              </w:rPr>
            </w:pPr>
            <w:r>
              <w:rPr>
                <w:rFonts w:hint="eastAsia"/>
                <w:color w:val="auto"/>
                <w:highlight w:val="none"/>
              </w:rPr>
              <w:t>3.38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0.5572</w:t>
            </w:r>
          </w:p>
        </w:tc>
        <w:tc>
          <w:tcPr>
            <w:tcW w:w="1419" w:type="dxa"/>
            <w:vAlign w:val="center"/>
          </w:tcPr>
          <w:p>
            <w:pPr>
              <w:spacing w:line="360" w:lineRule="auto"/>
              <w:jc w:val="center"/>
              <w:rPr>
                <w:rFonts w:hint="eastAsia"/>
                <w:color w:val="auto"/>
                <w:highlight w:val="none"/>
              </w:rPr>
            </w:pPr>
            <w:r>
              <w:rPr>
                <w:rFonts w:hint="eastAsia"/>
                <w:color w:val="auto"/>
                <w:highlight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775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63.6300</w:t>
            </w:r>
          </w:p>
        </w:tc>
        <w:tc>
          <w:tcPr>
            <w:tcW w:w="1432" w:type="dxa"/>
            <w:vAlign w:val="center"/>
          </w:tcPr>
          <w:p>
            <w:pPr>
              <w:spacing w:line="360" w:lineRule="auto"/>
              <w:jc w:val="center"/>
              <w:rPr>
                <w:rFonts w:hint="eastAsia"/>
                <w:color w:val="auto"/>
                <w:highlight w:val="none"/>
              </w:rPr>
            </w:pPr>
            <w:r>
              <w:rPr>
                <w:rFonts w:hint="eastAsia"/>
                <w:color w:val="auto"/>
                <w:highlight w:val="none"/>
              </w:rPr>
              <w:t>3.18</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0.5252</w:t>
            </w:r>
          </w:p>
        </w:tc>
        <w:tc>
          <w:tcPr>
            <w:tcW w:w="1419" w:type="dxa"/>
            <w:vAlign w:val="center"/>
          </w:tcPr>
          <w:p>
            <w:pPr>
              <w:spacing w:line="360" w:lineRule="auto"/>
              <w:jc w:val="center"/>
              <w:rPr>
                <w:rFonts w:hint="eastAsia"/>
                <w:color w:val="auto"/>
                <w:highlight w:val="none"/>
              </w:rPr>
            </w:pPr>
            <w:r>
              <w:rPr>
                <w:rFonts w:hint="eastAsia"/>
                <w:color w:val="auto"/>
                <w:highlight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800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64.0625</w:t>
            </w:r>
          </w:p>
        </w:tc>
        <w:tc>
          <w:tcPr>
            <w:tcW w:w="1432" w:type="dxa"/>
            <w:vAlign w:val="center"/>
          </w:tcPr>
          <w:p>
            <w:pPr>
              <w:spacing w:line="360" w:lineRule="auto"/>
              <w:jc w:val="center"/>
              <w:rPr>
                <w:rFonts w:hint="eastAsia"/>
                <w:color w:val="auto"/>
                <w:highlight w:val="none"/>
              </w:rPr>
            </w:pPr>
            <w:r>
              <w:rPr>
                <w:rFonts w:hint="eastAsia"/>
                <w:color w:val="auto"/>
                <w:highlight w:val="none"/>
              </w:rPr>
              <w:t>3.20</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0.5288</w:t>
            </w:r>
          </w:p>
        </w:tc>
        <w:tc>
          <w:tcPr>
            <w:tcW w:w="1419" w:type="dxa"/>
            <w:vAlign w:val="center"/>
          </w:tcPr>
          <w:p>
            <w:pPr>
              <w:spacing w:line="360" w:lineRule="auto"/>
              <w:jc w:val="center"/>
              <w:rPr>
                <w:rFonts w:hint="eastAsia"/>
                <w:color w:val="auto"/>
                <w:highlight w:val="none"/>
              </w:rPr>
            </w:pPr>
            <w:r>
              <w:rPr>
                <w:rFonts w:hint="eastAsia"/>
                <w:color w:val="auto"/>
                <w:highlight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825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55.2425</w:t>
            </w:r>
          </w:p>
        </w:tc>
        <w:tc>
          <w:tcPr>
            <w:tcW w:w="1432" w:type="dxa"/>
            <w:vAlign w:val="center"/>
          </w:tcPr>
          <w:p>
            <w:pPr>
              <w:spacing w:line="360" w:lineRule="auto"/>
              <w:jc w:val="center"/>
              <w:rPr>
                <w:rFonts w:hint="eastAsia"/>
                <w:color w:val="auto"/>
                <w:highlight w:val="none"/>
              </w:rPr>
            </w:pPr>
            <w:r>
              <w:rPr>
                <w:rFonts w:hint="eastAsia"/>
                <w:color w:val="auto"/>
                <w:highlight w:val="none"/>
              </w:rPr>
              <w:t>2.76</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0.4560</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850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52.4269</w:t>
            </w:r>
          </w:p>
        </w:tc>
        <w:tc>
          <w:tcPr>
            <w:tcW w:w="1432" w:type="dxa"/>
            <w:vAlign w:val="center"/>
          </w:tcPr>
          <w:p>
            <w:pPr>
              <w:spacing w:line="360" w:lineRule="auto"/>
              <w:jc w:val="center"/>
              <w:rPr>
                <w:rFonts w:hint="eastAsia"/>
                <w:color w:val="auto"/>
                <w:highlight w:val="none"/>
              </w:rPr>
            </w:pPr>
            <w:r>
              <w:rPr>
                <w:rFonts w:hint="eastAsia"/>
                <w:color w:val="auto"/>
                <w:highlight w:val="none"/>
              </w:rPr>
              <w:t>2.62</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0.4327</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875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56.8527</w:t>
            </w:r>
          </w:p>
        </w:tc>
        <w:tc>
          <w:tcPr>
            <w:tcW w:w="1432" w:type="dxa"/>
            <w:vAlign w:val="center"/>
          </w:tcPr>
          <w:p>
            <w:pPr>
              <w:spacing w:line="360" w:lineRule="auto"/>
              <w:jc w:val="center"/>
              <w:rPr>
                <w:rFonts w:hint="eastAsia"/>
                <w:color w:val="auto"/>
                <w:highlight w:val="none"/>
              </w:rPr>
            </w:pPr>
            <w:r>
              <w:rPr>
                <w:rFonts w:hint="eastAsia"/>
                <w:color w:val="auto"/>
                <w:highlight w:val="none"/>
              </w:rPr>
              <w:t>2.84</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0.4693</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900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58.3768</w:t>
            </w:r>
          </w:p>
        </w:tc>
        <w:tc>
          <w:tcPr>
            <w:tcW w:w="1432" w:type="dxa"/>
            <w:vAlign w:val="center"/>
          </w:tcPr>
          <w:p>
            <w:pPr>
              <w:spacing w:line="360" w:lineRule="auto"/>
              <w:jc w:val="center"/>
              <w:rPr>
                <w:rFonts w:hint="eastAsia"/>
                <w:color w:val="auto"/>
                <w:highlight w:val="none"/>
              </w:rPr>
            </w:pPr>
            <w:r>
              <w:rPr>
                <w:rFonts w:hint="eastAsia"/>
                <w:color w:val="auto"/>
                <w:highlight w:val="none"/>
              </w:rPr>
              <w:t>2.92</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0.4818</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925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57.0380</w:t>
            </w:r>
          </w:p>
        </w:tc>
        <w:tc>
          <w:tcPr>
            <w:tcW w:w="1432" w:type="dxa"/>
            <w:vAlign w:val="center"/>
          </w:tcPr>
          <w:p>
            <w:pPr>
              <w:spacing w:line="360" w:lineRule="auto"/>
              <w:jc w:val="center"/>
              <w:rPr>
                <w:rFonts w:hint="eastAsia"/>
                <w:color w:val="auto"/>
                <w:highlight w:val="none"/>
              </w:rPr>
            </w:pPr>
            <w:r>
              <w:rPr>
                <w:rFonts w:hint="eastAsia"/>
                <w:color w:val="auto"/>
                <w:highlight w:val="none"/>
              </w:rPr>
              <w:t>2.85</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0.4708</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950</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55.1492</w:t>
            </w:r>
          </w:p>
        </w:tc>
        <w:tc>
          <w:tcPr>
            <w:tcW w:w="1432" w:type="dxa"/>
            <w:vAlign w:val="center"/>
          </w:tcPr>
          <w:p>
            <w:pPr>
              <w:spacing w:line="360" w:lineRule="auto"/>
              <w:jc w:val="center"/>
              <w:rPr>
                <w:rFonts w:hint="eastAsia"/>
                <w:color w:val="auto"/>
                <w:highlight w:val="none"/>
              </w:rPr>
            </w:pPr>
            <w:r>
              <w:rPr>
                <w:rFonts w:hint="eastAsia"/>
                <w:color w:val="auto"/>
                <w:highlight w:val="none"/>
              </w:rPr>
              <w:t>2.76</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0.4552</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highlight w:val="none"/>
              </w:rPr>
              <w:t>975</w:t>
            </w:r>
          </w:p>
        </w:tc>
        <w:tc>
          <w:tcPr>
            <w:tcW w:w="1733" w:type="dxa"/>
            <w:vAlign w:val="center"/>
          </w:tcPr>
          <w:p>
            <w:pPr>
              <w:spacing w:line="360" w:lineRule="auto"/>
              <w:jc w:val="center"/>
              <w:rPr>
                <w:color w:val="auto"/>
                <w:spacing w:val="-4"/>
                <w:szCs w:val="21"/>
                <w:highlight w:val="none"/>
                <w:lang w:bidi="ar"/>
              </w:rPr>
            </w:pPr>
            <w:r>
              <w:rPr>
                <w:rFonts w:hint="eastAsia"/>
                <w:color w:val="auto"/>
                <w:highlight w:val="none"/>
              </w:rPr>
              <w:t>52.6038</w:t>
            </w:r>
          </w:p>
        </w:tc>
        <w:tc>
          <w:tcPr>
            <w:tcW w:w="1432" w:type="dxa"/>
            <w:vAlign w:val="center"/>
          </w:tcPr>
          <w:p>
            <w:pPr>
              <w:spacing w:line="360" w:lineRule="auto"/>
              <w:jc w:val="center"/>
              <w:rPr>
                <w:rFonts w:hint="eastAsia"/>
                <w:color w:val="auto"/>
                <w:highlight w:val="none"/>
              </w:rPr>
            </w:pPr>
            <w:r>
              <w:rPr>
                <w:rFonts w:hint="eastAsia"/>
                <w:color w:val="auto"/>
                <w:highlight w:val="none"/>
              </w:rPr>
              <w:t>2.63</w:t>
            </w:r>
          </w:p>
        </w:tc>
        <w:tc>
          <w:tcPr>
            <w:tcW w:w="1845" w:type="dxa"/>
            <w:vAlign w:val="center"/>
          </w:tcPr>
          <w:p>
            <w:pPr>
              <w:spacing w:line="360" w:lineRule="auto"/>
              <w:jc w:val="center"/>
              <w:rPr>
                <w:color w:val="auto"/>
                <w:spacing w:val="-4"/>
                <w:szCs w:val="21"/>
                <w:highlight w:val="none"/>
                <w:lang w:bidi="ar"/>
              </w:rPr>
            </w:pPr>
            <w:r>
              <w:rPr>
                <w:rFonts w:hint="eastAsia"/>
                <w:color w:val="auto"/>
                <w:highlight w:val="none"/>
              </w:rPr>
              <w:t>0.4342</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highlight w:val="none"/>
              </w:rPr>
            </w:pPr>
            <w:r>
              <w:rPr>
                <w:rFonts w:hint="eastAsia"/>
                <w:color w:val="auto"/>
                <w:highlight w:val="none"/>
              </w:rPr>
              <w:t>1000</w:t>
            </w:r>
          </w:p>
        </w:tc>
        <w:tc>
          <w:tcPr>
            <w:tcW w:w="1733" w:type="dxa"/>
            <w:vAlign w:val="center"/>
          </w:tcPr>
          <w:p>
            <w:pPr>
              <w:spacing w:line="360" w:lineRule="auto"/>
              <w:jc w:val="center"/>
              <w:rPr>
                <w:color w:val="auto"/>
                <w:highlight w:val="none"/>
              </w:rPr>
            </w:pPr>
            <w:r>
              <w:rPr>
                <w:rFonts w:hint="eastAsia"/>
                <w:color w:val="auto"/>
                <w:highlight w:val="none"/>
              </w:rPr>
              <w:t>53.5439</w:t>
            </w:r>
          </w:p>
        </w:tc>
        <w:tc>
          <w:tcPr>
            <w:tcW w:w="1432" w:type="dxa"/>
            <w:vAlign w:val="center"/>
          </w:tcPr>
          <w:p>
            <w:pPr>
              <w:spacing w:line="360" w:lineRule="auto"/>
              <w:jc w:val="center"/>
              <w:rPr>
                <w:rFonts w:hint="eastAsia"/>
                <w:color w:val="auto"/>
                <w:highlight w:val="none"/>
              </w:rPr>
            </w:pPr>
            <w:r>
              <w:rPr>
                <w:rFonts w:hint="eastAsia"/>
                <w:color w:val="auto"/>
                <w:highlight w:val="none"/>
              </w:rPr>
              <w:t>2.68</w:t>
            </w:r>
          </w:p>
        </w:tc>
        <w:tc>
          <w:tcPr>
            <w:tcW w:w="1845" w:type="dxa"/>
            <w:vAlign w:val="center"/>
          </w:tcPr>
          <w:p>
            <w:pPr>
              <w:spacing w:line="360" w:lineRule="auto"/>
              <w:jc w:val="center"/>
              <w:rPr>
                <w:color w:val="auto"/>
                <w:highlight w:val="none"/>
              </w:rPr>
            </w:pPr>
            <w:r>
              <w:rPr>
                <w:rFonts w:hint="eastAsia"/>
                <w:color w:val="auto"/>
                <w:highlight w:val="none"/>
              </w:rPr>
              <w:t>0.4420</w:t>
            </w:r>
          </w:p>
        </w:tc>
        <w:tc>
          <w:tcPr>
            <w:tcW w:w="1419" w:type="dxa"/>
            <w:vAlign w:val="center"/>
          </w:tcPr>
          <w:p>
            <w:pPr>
              <w:spacing w:line="360" w:lineRule="auto"/>
              <w:jc w:val="center"/>
              <w:rPr>
                <w:rFonts w:hint="eastAsia"/>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1500</w:t>
            </w:r>
          </w:p>
        </w:tc>
        <w:tc>
          <w:tcPr>
            <w:tcW w:w="1733"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29.5264</w:t>
            </w:r>
          </w:p>
        </w:tc>
        <w:tc>
          <w:tcPr>
            <w:tcW w:w="1432"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1.48</w:t>
            </w:r>
          </w:p>
        </w:tc>
        <w:tc>
          <w:tcPr>
            <w:tcW w:w="1845"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0.2437</w:t>
            </w:r>
          </w:p>
        </w:tc>
        <w:tc>
          <w:tcPr>
            <w:tcW w:w="1419"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2000</w:t>
            </w:r>
          </w:p>
        </w:tc>
        <w:tc>
          <w:tcPr>
            <w:tcW w:w="1733"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23.4372</w:t>
            </w:r>
          </w:p>
        </w:tc>
        <w:tc>
          <w:tcPr>
            <w:tcW w:w="1432"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1.17</w:t>
            </w:r>
          </w:p>
        </w:tc>
        <w:tc>
          <w:tcPr>
            <w:tcW w:w="1845"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0.1935</w:t>
            </w:r>
          </w:p>
        </w:tc>
        <w:tc>
          <w:tcPr>
            <w:tcW w:w="1419"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18" w:type="dxa"/>
            <w:vAlign w:val="center"/>
          </w:tcPr>
          <w:p>
            <w:pPr>
              <w:spacing w:line="360" w:lineRule="auto"/>
              <w:jc w:val="center"/>
              <w:rPr>
                <w:color w:val="auto"/>
                <w:spacing w:val="-4"/>
                <w:szCs w:val="21"/>
                <w:highlight w:val="none"/>
                <w:lang w:bidi="ar"/>
              </w:rPr>
            </w:pPr>
            <w:r>
              <w:rPr>
                <w:rFonts w:hint="eastAsia"/>
                <w:color w:val="auto"/>
                <w:spacing w:val="-4"/>
                <w:szCs w:val="21"/>
                <w:highlight w:val="none"/>
                <w:lang w:bidi="ar"/>
              </w:rPr>
              <w:t>2500</w:t>
            </w:r>
          </w:p>
        </w:tc>
        <w:tc>
          <w:tcPr>
            <w:tcW w:w="1733"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22.2148</w:t>
            </w:r>
          </w:p>
        </w:tc>
        <w:tc>
          <w:tcPr>
            <w:tcW w:w="1432"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1.11</w:t>
            </w:r>
          </w:p>
        </w:tc>
        <w:tc>
          <w:tcPr>
            <w:tcW w:w="1845" w:type="dxa"/>
            <w:vAlign w:val="center"/>
          </w:tcPr>
          <w:p>
            <w:pPr>
              <w:spacing w:line="360" w:lineRule="auto"/>
              <w:jc w:val="center"/>
              <w:rPr>
                <w:rFonts w:hint="default" w:eastAsia="宋体"/>
                <w:color w:val="auto"/>
                <w:spacing w:val="-4"/>
                <w:szCs w:val="21"/>
                <w:highlight w:val="none"/>
                <w:lang w:val="en-US" w:eastAsia="zh-CN" w:bidi="ar"/>
              </w:rPr>
            </w:pPr>
            <w:r>
              <w:rPr>
                <w:rFonts w:hint="eastAsia"/>
                <w:color w:val="auto"/>
                <w:spacing w:val="-4"/>
                <w:szCs w:val="21"/>
                <w:highlight w:val="none"/>
                <w:lang w:val="en-US" w:eastAsia="zh-CN" w:bidi="ar"/>
              </w:rPr>
              <w:t>0.1834</w:t>
            </w:r>
          </w:p>
        </w:tc>
        <w:tc>
          <w:tcPr>
            <w:tcW w:w="1419" w:type="dxa"/>
            <w:vAlign w:val="center"/>
          </w:tcPr>
          <w:p>
            <w:pPr>
              <w:spacing w:line="360" w:lineRule="auto"/>
              <w:jc w:val="center"/>
              <w:rPr>
                <w:rFonts w:hint="default"/>
                <w:color w:val="auto"/>
                <w:spacing w:val="-4"/>
                <w:szCs w:val="21"/>
                <w:highlight w:val="none"/>
                <w:lang w:val="en-US" w:eastAsia="zh-CN" w:bidi="ar"/>
              </w:rPr>
            </w:pPr>
            <w:r>
              <w:rPr>
                <w:rFonts w:hint="eastAsia"/>
                <w:color w:val="auto"/>
                <w:spacing w:val="-4"/>
                <w:szCs w:val="21"/>
                <w:highlight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118" w:type="dxa"/>
            <w:vAlign w:val="center"/>
          </w:tcPr>
          <w:p>
            <w:pPr>
              <w:spacing w:line="360" w:lineRule="auto"/>
              <w:jc w:val="center"/>
              <w:rPr>
                <w:color w:val="auto"/>
                <w:spacing w:val="-4"/>
                <w:szCs w:val="21"/>
                <w:highlight w:val="none"/>
                <w:lang w:bidi="ar"/>
              </w:rPr>
            </w:pPr>
            <w:r>
              <w:rPr>
                <w:color w:val="auto"/>
                <w:spacing w:val="-4"/>
                <w:szCs w:val="21"/>
                <w:highlight w:val="none"/>
                <w:lang w:bidi="ar"/>
              </w:rPr>
              <w:t>评价</w:t>
            </w:r>
          </w:p>
        </w:tc>
        <w:tc>
          <w:tcPr>
            <w:tcW w:w="3165" w:type="dxa"/>
            <w:gridSpan w:val="2"/>
            <w:vAlign w:val="center"/>
          </w:tcPr>
          <w:p>
            <w:pPr>
              <w:spacing w:line="360" w:lineRule="auto"/>
              <w:jc w:val="center"/>
              <w:rPr>
                <w:color w:val="auto"/>
                <w:spacing w:val="-4"/>
                <w:szCs w:val="21"/>
                <w:highlight w:val="none"/>
                <w:lang w:bidi="ar"/>
              </w:rPr>
            </w:pPr>
            <w:r>
              <w:rPr>
                <w:color w:val="auto"/>
                <w:spacing w:val="-4"/>
                <w:szCs w:val="21"/>
                <w:highlight w:val="none"/>
                <w:lang w:bidi="ar"/>
              </w:rPr>
              <w:t>C</w:t>
            </w:r>
            <w:r>
              <w:rPr>
                <w:color w:val="auto"/>
                <w:spacing w:val="-4"/>
                <w:szCs w:val="21"/>
                <w:highlight w:val="none"/>
                <w:vertAlign w:val="subscript"/>
                <w:lang w:bidi="ar"/>
              </w:rPr>
              <w:t>max</w:t>
            </w:r>
            <w:r>
              <w:rPr>
                <w:color w:val="auto"/>
                <w:spacing w:val="-4"/>
                <w:szCs w:val="21"/>
                <w:highlight w:val="none"/>
                <w:lang w:bidi="ar"/>
              </w:rPr>
              <w:t>=</w:t>
            </w:r>
            <w:r>
              <w:rPr>
                <w:rFonts w:hint="eastAsia"/>
                <w:color w:val="auto"/>
                <w:spacing w:val="-4"/>
                <w:szCs w:val="21"/>
                <w:highlight w:val="none"/>
                <w:lang w:val="en-US" w:eastAsia="zh-CN" w:bidi="ar"/>
              </w:rPr>
              <w:t>30.8290</w:t>
            </w:r>
            <w:r>
              <w:rPr>
                <w:color w:val="auto"/>
                <w:szCs w:val="21"/>
                <w:highlight w:val="none"/>
                <w:lang w:bidi="ar"/>
              </w:rPr>
              <w:t>ug/m</w:t>
            </w:r>
            <w:r>
              <w:rPr>
                <w:color w:val="auto"/>
                <w:szCs w:val="21"/>
                <w:highlight w:val="none"/>
                <w:vertAlign w:val="superscript"/>
                <w:lang w:bidi="ar"/>
              </w:rPr>
              <w:t>3</w:t>
            </w:r>
            <w:r>
              <w:rPr>
                <w:color w:val="auto"/>
                <w:szCs w:val="21"/>
                <w:highlight w:val="none"/>
                <w:lang w:bidi="ar"/>
              </w:rPr>
              <w:t>，P</w:t>
            </w:r>
            <w:r>
              <w:rPr>
                <w:color w:val="auto"/>
                <w:szCs w:val="21"/>
                <w:highlight w:val="none"/>
                <w:vertAlign w:val="subscript"/>
                <w:lang w:bidi="ar"/>
              </w:rPr>
              <w:t>max</w:t>
            </w:r>
            <w:r>
              <w:rPr>
                <w:color w:val="auto"/>
                <w:szCs w:val="21"/>
                <w:highlight w:val="none"/>
                <w:lang w:bidi="ar"/>
              </w:rPr>
              <w:t>=</w:t>
            </w:r>
            <w:r>
              <w:rPr>
                <w:rFonts w:hint="eastAsia"/>
                <w:color w:val="auto"/>
                <w:szCs w:val="21"/>
                <w:highlight w:val="none"/>
                <w:lang w:val="en-US" w:eastAsia="zh-CN" w:bidi="ar"/>
              </w:rPr>
              <w:t>1.54</w:t>
            </w:r>
            <w:r>
              <w:rPr>
                <w:color w:val="auto"/>
                <w:szCs w:val="21"/>
                <w:highlight w:val="none"/>
                <w:lang w:bidi="ar"/>
              </w:rPr>
              <w:t>%</w:t>
            </w:r>
            <w:r>
              <w:rPr>
                <w:color w:val="auto"/>
                <w:spacing w:val="-4"/>
                <w:szCs w:val="21"/>
                <w:highlight w:val="none"/>
                <w:lang w:bidi="ar"/>
              </w:rPr>
              <w:t xml:space="preserve"> </w:t>
            </w:r>
          </w:p>
        </w:tc>
        <w:tc>
          <w:tcPr>
            <w:tcW w:w="3264" w:type="dxa"/>
            <w:gridSpan w:val="2"/>
            <w:vAlign w:val="center"/>
          </w:tcPr>
          <w:p>
            <w:pPr>
              <w:spacing w:line="360" w:lineRule="auto"/>
              <w:jc w:val="center"/>
              <w:rPr>
                <w:color w:val="auto"/>
                <w:spacing w:val="-4"/>
                <w:szCs w:val="21"/>
                <w:highlight w:val="none"/>
                <w:lang w:bidi="ar"/>
              </w:rPr>
            </w:pPr>
          </w:p>
        </w:tc>
      </w:tr>
    </w:tbl>
    <w:p>
      <w:pPr>
        <w:spacing w:line="360" w:lineRule="auto"/>
        <w:ind w:firstLine="480" w:firstLineChars="200"/>
        <w:rPr>
          <w:color w:val="auto"/>
          <w:sz w:val="24"/>
          <w:highlight w:val="none"/>
        </w:rPr>
      </w:pPr>
      <w:r>
        <w:rPr>
          <w:color w:val="auto"/>
          <w:sz w:val="24"/>
          <w:highlight w:val="none"/>
        </w:rPr>
        <w:t>2）影响分析</w:t>
      </w:r>
    </w:p>
    <w:p>
      <w:pPr>
        <w:spacing w:line="360" w:lineRule="auto"/>
        <w:ind w:firstLine="482" w:firstLineChars="200"/>
        <w:rPr>
          <w:b/>
          <w:color w:val="auto"/>
          <w:sz w:val="24"/>
          <w:highlight w:val="none"/>
        </w:rPr>
      </w:pPr>
      <w:r>
        <w:rPr>
          <w:b/>
          <w:color w:val="auto"/>
          <w:sz w:val="24"/>
          <w:highlight w:val="none"/>
        </w:rPr>
        <w:t>Ⅰ、正常排放</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根据估算</w:t>
      </w:r>
      <w:r>
        <w:rPr>
          <w:rFonts w:hint="eastAsia"/>
          <w:color w:val="auto"/>
          <w:sz w:val="24"/>
          <w:highlight w:val="none"/>
        </w:rPr>
        <w:t>的</w:t>
      </w:r>
      <w:r>
        <w:rPr>
          <w:color w:val="auto"/>
          <w:sz w:val="24"/>
          <w:highlight w:val="none"/>
        </w:rPr>
        <w:t>结果，项目1#排气筒排放的有机废气（非甲烷总烃）下风向最大落地浓度最大值为</w:t>
      </w:r>
      <w:r>
        <w:rPr>
          <w:rFonts w:hint="eastAsia"/>
          <w:color w:val="auto"/>
          <w:sz w:val="24"/>
          <w:highlight w:val="none"/>
          <w:lang w:val="en-US" w:eastAsia="zh-CN"/>
        </w:rPr>
        <w:t>7.7068</w:t>
      </w:r>
      <w:r>
        <w:rPr>
          <w:color w:val="auto"/>
          <w:sz w:val="24"/>
          <w:highlight w:val="none"/>
        </w:rPr>
        <w:t>ug/m</w:t>
      </w:r>
      <w:r>
        <w:rPr>
          <w:color w:val="auto"/>
          <w:sz w:val="24"/>
          <w:highlight w:val="none"/>
          <w:vertAlign w:val="superscript"/>
        </w:rPr>
        <w:t>3</w:t>
      </w:r>
      <w:r>
        <w:rPr>
          <w:color w:val="auto"/>
          <w:sz w:val="24"/>
          <w:highlight w:val="none"/>
        </w:rPr>
        <w:t>，最大浓度占标率为</w:t>
      </w:r>
      <w:r>
        <w:rPr>
          <w:rFonts w:hint="eastAsia"/>
          <w:color w:val="auto"/>
          <w:sz w:val="24"/>
          <w:highlight w:val="none"/>
          <w:lang w:val="en-US" w:eastAsia="zh-CN"/>
        </w:rPr>
        <w:t>0.39</w:t>
      </w:r>
      <w:r>
        <w:rPr>
          <w:color w:val="auto"/>
          <w:sz w:val="24"/>
          <w:highlight w:val="none"/>
        </w:rPr>
        <w:t>%，位于下风向</w:t>
      </w:r>
      <w:r>
        <w:rPr>
          <w:rFonts w:hint="eastAsia"/>
          <w:color w:val="auto"/>
          <w:sz w:val="24"/>
          <w:highlight w:val="none"/>
          <w:lang w:val="en-US" w:eastAsia="zh-CN"/>
        </w:rPr>
        <w:t>114</w:t>
      </w:r>
      <w:r>
        <w:rPr>
          <w:color w:val="auto"/>
          <w:sz w:val="24"/>
          <w:highlight w:val="none"/>
        </w:rPr>
        <w:t>m处，非甲烷总烃满足《大气污染物综合排放标准详解》中2000μg/m</w:t>
      </w:r>
      <w:r>
        <w:rPr>
          <w:color w:val="auto"/>
          <w:sz w:val="24"/>
          <w:highlight w:val="none"/>
          <w:vertAlign w:val="superscript"/>
        </w:rPr>
        <w:t>3</w:t>
      </w:r>
      <w:r>
        <w:rPr>
          <w:color w:val="auto"/>
          <w:sz w:val="24"/>
          <w:highlight w:val="none"/>
        </w:rPr>
        <w:t>限值要求。</w:t>
      </w:r>
    </w:p>
    <w:p>
      <w:pPr>
        <w:spacing w:line="360" w:lineRule="auto"/>
        <w:ind w:firstLine="480" w:firstLineChars="200"/>
        <w:rPr>
          <w:color w:val="auto"/>
          <w:sz w:val="24"/>
          <w:highlight w:val="none"/>
        </w:rPr>
      </w:pPr>
      <w:r>
        <w:rPr>
          <w:rFonts w:hint="eastAsia"/>
          <w:color w:val="auto"/>
          <w:sz w:val="24"/>
          <w:highlight w:val="none"/>
        </w:rPr>
        <w:t>②生产</w:t>
      </w:r>
      <w:r>
        <w:rPr>
          <w:color w:val="auto"/>
          <w:sz w:val="24"/>
          <w:highlight w:val="none"/>
        </w:rPr>
        <w:t>厂房面源排放的有机废气（非甲烷总烃）</w:t>
      </w:r>
      <w:r>
        <w:rPr>
          <w:rFonts w:hint="eastAsia"/>
          <w:color w:val="auto"/>
          <w:sz w:val="24"/>
          <w:highlight w:val="none"/>
        </w:rPr>
        <w:t>、颗粒物</w:t>
      </w:r>
      <w:r>
        <w:rPr>
          <w:color w:val="auto"/>
          <w:sz w:val="24"/>
          <w:highlight w:val="none"/>
        </w:rPr>
        <w:t>下风向最大落地浓度分别为</w:t>
      </w:r>
      <w:r>
        <w:rPr>
          <w:rFonts w:hint="eastAsia"/>
          <w:color w:val="auto"/>
          <w:sz w:val="24"/>
          <w:highlight w:val="none"/>
          <w:lang w:val="en-US" w:eastAsia="zh-CN"/>
        </w:rPr>
        <w:t>110.6956</w:t>
      </w:r>
      <w:r>
        <w:rPr>
          <w:color w:val="auto"/>
          <w:sz w:val="24"/>
          <w:highlight w:val="none"/>
        </w:rPr>
        <w:t>ug/m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21.6510</w:t>
      </w:r>
      <w:r>
        <w:rPr>
          <w:color w:val="auto"/>
          <w:sz w:val="24"/>
          <w:highlight w:val="none"/>
        </w:rPr>
        <w:t>ug/m</w:t>
      </w:r>
      <w:r>
        <w:rPr>
          <w:color w:val="auto"/>
          <w:sz w:val="24"/>
          <w:highlight w:val="none"/>
          <w:vertAlign w:val="superscript"/>
        </w:rPr>
        <w:t>3</w:t>
      </w:r>
      <w:r>
        <w:rPr>
          <w:color w:val="auto"/>
          <w:sz w:val="24"/>
          <w:highlight w:val="none"/>
        </w:rPr>
        <w:t>，最大浓度占标率分别为</w:t>
      </w:r>
      <w:r>
        <w:rPr>
          <w:rFonts w:hint="eastAsia"/>
          <w:color w:val="auto"/>
          <w:sz w:val="24"/>
          <w:highlight w:val="none"/>
          <w:lang w:val="en-US" w:eastAsia="zh-CN"/>
        </w:rPr>
        <w:t>5.53</w:t>
      </w:r>
      <w:r>
        <w:rPr>
          <w:color w:val="auto"/>
          <w:sz w:val="24"/>
          <w:highlight w:val="none"/>
        </w:rPr>
        <w:t>%，</w:t>
      </w:r>
      <w:r>
        <w:rPr>
          <w:rFonts w:hint="eastAsia"/>
          <w:color w:val="auto"/>
          <w:sz w:val="24"/>
          <w:highlight w:val="none"/>
          <w:lang w:val="en-US" w:eastAsia="zh-CN"/>
        </w:rPr>
        <w:t>2.41</w:t>
      </w:r>
      <w:r>
        <w:rPr>
          <w:color w:val="auto"/>
          <w:sz w:val="24"/>
          <w:highlight w:val="none"/>
        </w:rPr>
        <w:t>%，位于下风向</w:t>
      </w:r>
      <w:r>
        <w:rPr>
          <w:rFonts w:hint="eastAsia"/>
          <w:color w:val="auto"/>
          <w:sz w:val="24"/>
          <w:highlight w:val="none"/>
          <w:lang w:val="en-US" w:eastAsia="zh-CN"/>
        </w:rPr>
        <w:t>18</w:t>
      </w:r>
      <w:r>
        <w:rPr>
          <w:color w:val="auto"/>
          <w:sz w:val="24"/>
          <w:highlight w:val="none"/>
        </w:rPr>
        <w:t>m处，非甲烷总烃满足《大气污染物综合排放标准详解》中2000μg/m</w:t>
      </w:r>
      <w:r>
        <w:rPr>
          <w:color w:val="auto"/>
          <w:sz w:val="24"/>
          <w:highlight w:val="none"/>
          <w:vertAlign w:val="superscript"/>
        </w:rPr>
        <w:t>3</w:t>
      </w:r>
      <w:r>
        <w:rPr>
          <w:color w:val="auto"/>
          <w:sz w:val="24"/>
          <w:highlight w:val="none"/>
        </w:rPr>
        <w:t>限值要求。TSP满足《环境空气质量标准》（GB3095-2012）中二级标准要求</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③</w:t>
      </w:r>
      <w:r>
        <w:rPr>
          <w:color w:val="auto"/>
          <w:sz w:val="24"/>
          <w:highlight w:val="none"/>
        </w:rPr>
        <w:t>同时</w:t>
      </w:r>
      <w:r>
        <w:rPr>
          <w:rFonts w:hint="eastAsia"/>
          <w:color w:val="auto"/>
          <w:sz w:val="24"/>
          <w:highlight w:val="none"/>
        </w:rPr>
        <w:t>，</w:t>
      </w:r>
      <w:r>
        <w:rPr>
          <w:color w:val="auto"/>
          <w:sz w:val="24"/>
          <w:highlight w:val="none"/>
        </w:rPr>
        <w:t>项目厂界非甲烷总烃、颗粒物能满足《合成树脂工业污染物排放标准》（GB31572-2015）表9规定的企业边界大气污染物浓度限值。</w:t>
      </w:r>
    </w:p>
    <w:p>
      <w:pPr>
        <w:spacing w:line="360" w:lineRule="auto"/>
        <w:ind w:firstLine="480" w:firstLineChars="200"/>
        <w:rPr>
          <w:color w:val="auto"/>
          <w:sz w:val="24"/>
          <w:highlight w:val="none"/>
        </w:rPr>
      </w:pPr>
      <w:r>
        <w:rPr>
          <w:color w:val="auto"/>
          <w:sz w:val="24"/>
          <w:highlight w:val="none"/>
        </w:rPr>
        <w:t>因此本项目废气对周边大气环境影响较小。</w:t>
      </w:r>
    </w:p>
    <w:p>
      <w:pPr>
        <w:spacing w:line="360" w:lineRule="auto"/>
        <w:ind w:firstLine="482" w:firstLineChars="200"/>
        <w:rPr>
          <w:b/>
          <w:color w:val="auto"/>
          <w:sz w:val="24"/>
          <w:highlight w:val="none"/>
        </w:rPr>
      </w:pPr>
      <w:r>
        <w:rPr>
          <w:b/>
          <w:color w:val="auto"/>
          <w:sz w:val="24"/>
          <w:highlight w:val="none"/>
        </w:rPr>
        <w:t>Ⅱ、非正常工况</w:t>
      </w:r>
    </w:p>
    <w:p>
      <w:pPr>
        <w:spacing w:line="360" w:lineRule="auto"/>
        <w:ind w:firstLine="480" w:firstLineChars="200"/>
        <w:rPr>
          <w:color w:val="auto"/>
          <w:sz w:val="24"/>
          <w:highlight w:val="none"/>
        </w:rPr>
      </w:pPr>
      <w:r>
        <w:rPr>
          <w:color w:val="auto"/>
          <w:sz w:val="24"/>
          <w:highlight w:val="none"/>
        </w:rPr>
        <w:t>根据估算结果，项目在非正常工况下，项目1#排气筒非正常排放的有机废气（非甲烷总烃）在下风向最大落地浓度为</w:t>
      </w:r>
      <w:r>
        <w:rPr>
          <w:rFonts w:hint="eastAsia"/>
          <w:color w:val="auto"/>
          <w:sz w:val="24"/>
          <w:highlight w:val="none"/>
          <w:lang w:val="en-US" w:eastAsia="zh-CN"/>
        </w:rPr>
        <w:t>30.8290</w:t>
      </w:r>
      <w:r>
        <w:rPr>
          <w:color w:val="auto"/>
          <w:sz w:val="24"/>
          <w:highlight w:val="none"/>
        </w:rPr>
        <w:t>ug/m</w:t>
      </w:r>
      <w:r>
        <w:rPr>
          <w:color w:val="auto"/>
          <w:sz w:val="24"/>
          <w:highlight w:val="none"/>
          <w:vertAlign w:val="superscript"/>
        </w:rPr>
        <w:t>3</w:t>
      </w:r>
      <w:r>
        <w:rPr>
          <w:color w:val="auto"/>
          <w:sz w:val="24"/>
          <w:highlight w:val="none"/>
        </w:rPr>
        <w:t>，占标率为</w:t>
      </w:r>
      <w:r>
        <w:rPr>
          <w:rFonts w:hint="eastAsia"/>
          <w:color w:val="auto"/>
          <w:sz w:val="24"/>
          <w:highlight w:val="none"/>
          <w:lang w:val="en-US" w:eastAsia="zh-CN"/>
        </w:rPr>
        <w:t>1.54</w:t>
      </w:r>
      <w:r>
        <w:rPr>
          <w:color w:val="auto"/>
          <w:sz w:val="24"/>
          <w:highlight w:val="none"/>
        </w:rPr>
        <w:t>%</w:t>
      </w:r>
      <w:r>
        <w:rPr>
          <w:rFonts w:hint="eastAsia"/>
          <w:color w:val="auto"/>
          <w:sz w:val="24"/>
          <w:highlight w:val="none"/>
        </w:rPr>
        <w:t>；位于下风向</w:t>
      </w:r>
      <w:r>
        <w:rPr>
          <w:rFonts w:hint="eastAsia"/>
          <w:color w:val="auto"/>
          <w:sz w:val="24"/>
          <w:highlight w:val="none"/>
          <w:lang w:val="en-US" w:eastAsia="zh-CN"/>
        </w:rPr>
        <w:t>114</w:t>
      </w:r>
      <w:r>
        <w:rPr>
          <w:rFonts w:hint="eastAsia"/>
          <w:color w:val="auto"/>
          <w:sz w:val="24"/>
          <w:highlight w:val="none"/>
        </w:rPr>
        <w:t>m处。</w:t>
      </w:r>
    </w:p>
    <w:p>
      <w:pPr>
        <w:spacing w:line="360" w:lineRule="auto"/>
        <w:ind w:firstLine="480" w:firstLineChars="200"/>
        <w:rPr>
          <w:color w:val="auto"/>
          <w:sz w:val="24"/>
          <w:highlight w:val="none"/>
        </w:rPr>
      </w:pPr>
      <w:r>
        <w:rPr>
          <w:color w:val="auto"/>
          <w:sz w:val="24"/>
          <w:highlight w:val="none"/>
        </w:rPr>
        <w:t>由此可见，项目废气污染物处理效率较低或未经处理非正常排放时，虽然满足环境空气质量标准，但会增加区域环境空气容量负荷，对区域环境空气质量会产生一定影响。</w:t>
      </w:r>
    </w:p>
    <w:p>
      <w:pPr>
        <w:spacing w:line="360" w:lineRule="auto"/>
        <w:ind w:firstLine="480" w:firstLineChars="200"/>
        <w:rPr>
          <w:color w:val="auto"/>
          <w:sz w:val="24"/>
          <w:szCs w:val="20"/>
          <w:highlight w:val="none"/>
        </w:rPr>
      </w:pPr>
      <w:r>
        <w:rPr>
          <w:color w:val="auto"/>
          <w:sz w:val="24"/>
          <w:highlight w:val="none"/>
        </w:rPr>
        <w:t>因此，建设单位要做好废气处理系统维护保养工作，确保废气处理设施处于正常运转状态，一旦处理设施发生故障，应立即停止生产进行检修，待设施恢复正常工作再恢复生产</w:t>
      </w:r>
      <w:r>
        <w:rPr>
          <w:color w:val="auto"/>
          <w:sz w:val="24"/>
          <w:szCs w:val="20"/>
          <w:highlight w:val="none"/>
        </w:rPr>
        <w:t>。在生产过程中，为防止非正常排放情况下废气对周围环境的影响，本次环评提出以下要求：</w:t>
      </w:r>
    </w:p>
    <w:p>
      <w:pPr>
        <w:spacing w:line="360" w:lineRule="auto"/>
        <w:ind w:firstLine="480" w:firstLineChars="200"/>
        <w:rPr>
          <w:color w:val="auto"/>
          <w:sz w:val="24"/>
          <w:szCs w:val="20"/>
          <w:highlight w:val="none"/>
        </w:rPr>
      </w:pPr>
      <w:r>
        <w:rPr>
          <w:color w:val="auto"/>
          <w:sz w:val="24"/>
          <w:szCs w:val="20"/>
          <w:highlight w:val="none"/>
        </w:rPr>
        <w:t>①开车前，首先运行所有的废气处理设备，然后再开启各生产设备，使生产中产生的废气都能得到有效治理；</w:t>
      </w:r>
    </w:p>
    <w:p>
      <w:pPr>
        <w:spacing w:line="360" w:lineRule="auto"/>
        <w:ind w:firstLine="480" w:firstLineChars="200"/>
        <w:rPr>
          <w:color w:val="auto"/>
          <w:sz w:val="24"/>
          <w:szCs w:val="20"/>
          <w:highlight w:val="none"/>
        </w:rPr>
      </w:pPr>
      <w:r>
        <w:rPr>
          <w:color w:val="auto"/>
          <w:sz w:val="24"/>
          <w:szCs w:val="20"/>
          <w:highlight w:val="none"/>
        </w:rPr>
        <w:t>②停车前首先逐步停止生产设备的运行，同时继续保持环保治理设备的运转，待废气全部排出后方可停止运行，采取以上措施后，能确保生产设备在开停车时排</w:t>
      </w:r>
      <w:r>
        <w:rPr>
          <w:color w:val="auto"/>
          <w:kern w:val="0"/>
          <w:sz w:val="24"/>
          <w:highlight w:val="none"/>
        </w:rPr>
        <w:t>出的污染物均得到有效治理。</w:t>
      </w:r>
    </w:p>
    <w:p>
      <w:pPr>
        <w:spacing w:line="360" w:lineRule="auto"/>
        <w:ind w:firstLine="480" w:firstLineChars="200"/>
        <w:rPr>
          <w:color w:val="auto"/>
          <w:sz w:val="24"/>
          <w:szCs w:val="20"/>
          <w:highlight w:val="none"/>
        </w:rPr>
      </w:pPr>
      <w:r>
        <w:rPr>
          <w:color w:val="auto"/>
          <w:sz w:val="24"/>
          <w:szCs w:val="20"/>
          <w:highlight w:val="none"/>
        </w:rPr>
        <w:t>③计划停电一般均提前通知，同时企业配备双回路电源，避免突发性停电对正常生产造成影响。</w:t>
      </w:r>
    </w:p>
    <w:p>
      <w:pPr>
        <w:spacing w:line="360" w:lineRule="auto"/>
        <w:ind w:firstLine="480" w:firstLineChars="200"/>
        <w:rPr>
          <w:color w:val="auto"/>
          <w:sz w:val="24"/>
          <w:szCs w:val="20"/>
          <w:highlight w:val="none"/>
        </w:rPr>
      </w:pPr>
      <w:r>
        <w:rPr>
          <w:color w:val="auto"/>
          <w:sz w:val="24"/>
          <w:szCs w:val="20"/>
          <w:highlight w:val="none"/>
        </w:rPr>
        <w:t>④设专人管理环保设施，定期检查各环保设施运行情况，一旦发现故障，立即停止相关工段作业组织检修。</w:t>
      </w:r>
    </w:p>
    <w:p>
      <w:pPr>
        <w:spacing w:line="360" w:lineRule="auto"/>
        <w:ind w:firstLine="480" w:firstLineChars="200"/>
        <w:rPr>
          <w:color w:val="auto"/>
          <w:sz w:val="24"/>
          <w:szCs w:val="20"/>
          <w:highlight w:val="none"/>
        </w:rPr>
      </w:pPr>
      <w:r>
        <w:rPr>
          <w:color w:val="auto"/>
          <w:sz w:val="24"/>
          <w:szCs w:val="20"/>
          <w:highlight w:val="none"/>
        </w:rPr>
        <w:t>⑤定期检查风机的运行情况，一旦发现故障，立即停止相关工段作业组织检修。由专人负责管理记录台账，定期监测进出口并记录。</w:t>
      </w:r>
    </w:p>
    <w:p>
      <w:pPr>
        <w:spacing w:line="360" w:lineRule="auto"/>
        <w:ind w:firstLine="482" w:firstLineChars="200"/>
        <w:rPr>
          <w:b/>
          <w:bCs/>
          <w:color w:val="auto"/>
          <w:sz w:val="24"/>
          <w:highlight w:val="none"/>
        </w:rPr>
      </w:pPr>
      <w:r>
        <w:rPr>
          <w:b/>
          <w:bCs/>
          <w:color w:val="auto"/>
          <w:sz w:val="24"/>
          <w:highlight w:val="none"/>
        </w:rPr>
        <w:t>（2）臭气影响评价</w:t>
      </w:r>
    </w:p>
    <w:p>
      <w:pPr>
        <w:spacing w:line="360" w:lineRule="auto"/>
        <w:ind w:firstLine="480" w:firstLineChars="200"/>
        <w:rPr>
          <w:color w:val="auto"/>
          <w:sz w:val="24"/>
          <w:highlight w:val="none"/>
        </w:rPr>
      </w:pPr>
      <w:r>
        <w:rPr>
          <w:rFonts w:hint="eastAsia"/>
          <w:color w:val="auto"/>
          <w:sz w:val="24"/>
          <w:highlight w:val="none"/>
        </w:rPr>
        <w:t>项目运营期恶臭主要来源于生产车间</w:t>
      </w:r>
      <w:r>
        <w:rPr>
          <w:rFonts w:hint="eastAsia"/>
          <w:color w:val="auto"/>
          <w:sz w:val="24"/>
          <w:highlight w:val="none"/>
          <w:lang w:val="en-US" w:eastAsia="zh-CN"/>
        </w:rPr>
        <w:t>热熔注塑</w:t>
      </w:r>
      <w:r>
        <w:rPr>
          <w:color w:val="auto"/>
          <w:sz w:val="24"/>
          <w:highlight w:val="none"/>
        </w:rPr>
        <w:t>工</w:t>
      </w:r>
      <w:r>
        <w:rPr>
          <w:rFonts w:hint="eastAsia"/>
          <w:color w:val="auto"/>
          <w:sz w:val="24"/>
          <w:highlight w:val="none"/>
        </w:rPr>
        <w:t>段、生活垃圾收集</w:t>
      </w:r>
      <w:r>
        <w:rPr>
          <w:rFonts w:hint="eastAsia"/>
          <w:color w:val="auto"/>
          <w:sz w:val="24"/>
          <w:highlight w:val="none"/>
          <w:lang w:val="en-US" w:eastAsia="zh-CN"/>
        </w:rPr>
        <w:t>桶</w:t>
      </w:r>
      <w:r>
        <w:rPr>
          <w:rFonts w:hint="eastAsia"/>
          <w:color w:val="auto"/>
          <w:sz w:val="24"/>
          <w:highlight w:val="none"/>
        </w:rPr>
        <w:t>等。</w:t>
      </w:r>
      <w:r>
        <w:rPr>
          <w:rFonts w:hint="eastAsia"/>
          <w:color w:val="auto"/>
          <w:sz w:val="24"/>
          <w:highlight w:val="none"/>
          <w:lang w:val="en-US" w:eastAsia="zh-CN"/>
        </w:rPr>
        <w:t>由于项目生产过程中恶臭产生量很小，且项目设置三级活性炭处理设施对热熔注塑过程产生的非甲烷总烃进行吸附处理，该处理设施对恶臭也具有一定的吸附作用，故车间仅少量恶臭呈无组织排放；根据异味强度分级，项目生产设备处的异味可以达到3级（很容易感觉到气味），距离生产设备10m处异味可以达到2级（气味很弱但能分辨其性质），项目厂界几乎闻不到异味，异味可以达到0级，且</w:t>
      </w:r>
      <w:r>
        <w:rPr>
          <w:rFonts w:hint="eastAsia"/>
          <w:color w:val="auto"/>
          <w:sz w:val="24"/>
          <w:highlight w:val="none"/>
        </w:rPr>
        <w:t>项目生产车间设置通风口，加强通风换气；项目区设置生活垃圾桶，生活垃圾经建设单位统一收集后，</w:t>
      </w:r>
      <w:r>
        <w:rPr>
          <w:color w:val="auto"/>
          <w:sz w:val="24"/>
          <w:szCs w:val="20"/>
          <w:highlight w:val="none"/>
        </w:rPr>
        <w:t>定期运往指定地点由环卫部门集中处置</w:t>
      </w:r>
      <w:r>
        <w:rPr>
          <w:rFonts w:hint="eastAsia"/>
          <w:color w:val="auto"/>
          <w:sz w:val="24"/>
          <w:highlight w:val="none"/>
        </w:rPr>
        <w:t>，不在项目区内堆存。采取以上措施后，恶臭的产生和排放量少，排放浓度低，能够满足</w:t>
      </w:r>
      <w:r>
        <w:rPr>
          <w:color w:val="auto"/>
          <w:sz w:val="24"/>
          <w:highlight w:val="none"/>
        </w:rPr>
        <w:t>《恶臭污染物排放标准》（GB14554-93）</w:t>
      </w:r>
      <w:r>
        <w:rPr>
          <w:rFonts w:hint="eastAsia"/>
          <w:color w:val="auto"/>
          <w:sz w:val="24"/>
          <w:highlight w:val="none"/>
        </w:rPr>
        <w:t>中的二级标准，即恶臭浓度≤20（无量纲），对项目区周围大气环境质量影响小。</w:t>
      </w:r>
    </w:p>
    <w:p>
      <w:pPr>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rPr>
        <w:t>3</w:t>
      </w:r>
      <w:r>
        <w:rPr>
          <w:b/>
          <w:bCs/>
          <w:color w:val="auto"/>
          <w:sz w:val="24"/>
          <w:highlight w:val="none"/>
        </w:rPr>
        <w:t>）排气筒设置合理性分析</w:t>
      </w:r>
    </w:p>
    <w:p>
      <w:pPr>
        <w:pStyle w:val="18"/>
        <w:adjustRightInd w:val="0"/>
        <w:snapToGrid w:val="0"/>
        <w:spacing w:line="360" w:lineRule="auto"/>
        <w:ind w:firstLine="480" w:firstLineChars="200"/>
        <w:rPr>
          <w:color w:val="auto"/>
          <w:sz w:val="24"/>
          <w:highlight w:val="none"/>
        </w:rPr>
      </w:pPr>
      <w:r>
        <w:rPr>
          <w:color w:val="auto"/>
          <w:sz w:val="24"/>
          <w:highlight w:val="none"/>
        </w:rPr>
        <w:t>项目共设置</w:t>
      </w:r>
      <w:r>
        <w:rPr>
          <w:rFonts w:hint="eastAsia"/>
          <w:color w:val="auto"/>
          <w:sz w:val="24"/>
          <w:highlight w:val="none"/>
        </w:rPr>
        <w:t>1</w:t>
      </w:r>
      <w:r>
        <w:rPr>
          <w:color w:val="auto"/>
          <w:sz w:val="24"/>
          <w:highlight w:val="none"/>
        </w:rPr>
        <w:t>个排气筒，排气筒高度为</w:t>
      </w:r>
      <w:r>
        <w:rPr>
          <w:rFonts w:hint="eastAsia"/>
          <w:color w:val="auto"/>
          <w:sz w:val="24"/>
          <w:highlight w:val="none"/>
          <w:lang w:val="en-US" w:eastAsia="zh-CN"/>
        </w:rPr>
        <w:t>15</w:t>
      </w:r>
      <w:r>
        <w:rPr>
          <w:color w:val="auto"/>
          <w:sz w:val="24"/>
          <w:highlight w:val="none"/>
        </w:rPr>
        <w:t>m，项目区厂房高</w:t>
      </w:r>
      <w:r>
        <w:rPr>
          <w:rFonts w:hint="eastAsia"/>
          <w:color w:val="auto"/>
          <w:sz w:val="24"/>
          <w:highlight w:val="none"/>
          <w:lang w:val="en-US" w:eastAsia="zh-CN"/>
        </w:rPr>
        <w:t>7</w:t>
      </w:r>
      <w:r>
        <w:rPr>
          <w:color w:val="auto"/>
          <w:sz w:val="24"/>
          <w:highlight w:val="none"/>
        </w:rPr>
        <w:t>m，排气筒半径200m周边</w:t>
      </w:r>
      <w:r>
        <w:rPr>
          <w:rFonts w:hint="eastAsia"/>
          <w:color w:val="auto"/>
          <w:sz w:val="24"/>
          <w:highlight w:val="none"/>
        </w:rPr>
        <w:t>建筑</w:t>
      </w:r>
      <w:r>
        <w:rPr>
          <w:rFonts w:hint="eastAsia"/>
          <w:color w:val="auto"/>
          <w:sz w:val="24"/>
          <w:highlight w:val="none"/>
          <w:lang w:val="en-US" w:eastAsia="zh-CN"/>
        </w:rPr>
        <w:t>为厂房以及村民自建房，</w:t>
      </w:r>
      <w:r>
        <w:rPr>
          <w:color w:val="auto"/>
          <w:sz w:val="24"/>
          <w:highlight w:val="none"/>
        </w:rPr>
        <w:t>高度在1</w:t>
      </w:r>
      <w:r>
        <w:rPr>
          <w:rFonts w:hint="eastAsia"/>
          <w:color w:val="auto"/>
          <w:sz w:val="24"/>
          <w:highlight w:val="none"/>
          <w:lang w:val="en-US" w:eastAsia="zh-CN"/>
        </w:rPr>
        <w:t>0</w:t>
      </w:r>
      <w:r>
        <w:rPr>
          <w:color w:val="auto"/>
          <w:sz w:val="24"/>
          <w:highlight w:val="none"/>
        </w:rPr>
        <w:t>m以内。根据《合成树脂工业污染物排放标准》（GB31572-2015）中“5.4.2合成树脂企业产生大气污染物的生产工艺和装置需设立局部或整体气体收集系统和净化处理装置，达标排放。排气筒高度应按照环境影响评价要求确定，且至少不低于15m”中排气筒高度相关要求，项目设置排气筒高度满足要求。综上，项目排气筒设置是合理可行的。</w:t>
      </w:r>
    </w:p>
    <w:p>
      <w:pPr>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rPr>
        <w:t>4</w:t>
      </w:r>
      <w:r>
        <w:rPr>
          <w:b/>
          <w:bCs/>
          <w:color w:val="auto"/>
          <w:sz w:val="24"/>
          <w:highlight w:val="none"/>
        </w:rPr>
        <w:t>）大气环境防护距离</w:t>
      </w:r>
    </w:p>
    <w:p>
      <w:pPr>
        <w:spacing w:line="360" w:lineRule="auto"/>
        <w:ind w:firstLine="480" w:firstLineChars="200"/>
        <w:rPr>
          <w:rFonts w:hint="default"/>
          <w:color w:val="auto"/>
          <w:sz w:val="24"/>
          <w:highlight w:val="none"/>
          <w:lang w:val="en-US" w:eastAsia="zh-CN"/>
        </w:rPr>
      </w:pPr>
      <w:r>
        <w:rPr>
          <w:color w:val="auto"/>
          <w:sz w:val="24"/>
          <w:highlight w:val="none"/>
        </w:rPr>
        <w:t>根据《环境影响评级导则  大气环境》（HJ2.2-2018），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估算</w:t>
      </w:r>
      <w:r>
        <w:rPr>
          <w:rFonts w:hint="eastAsia"/>
          <w:color w:val="auto"/>
          <w:sz w:val="24"/>
          <w:highlight w:val="none"/>
          <w:lang w:val="en-US" w:eastAsia="zh-CN"/>
        </w:rPr>
        <w:t>模型预测，无组织污染源排放的污染物最大落地点为下风向18m处，非甲烷总烃最大落地浓度为110.6956</w:t>
      </w:r>
      <w:r>
        <w:rPr>
          <w:color w:val="auto"/>
          <w:sz w:val="24"/>
          <w:highlight w:val="none"/>
        </w:rPr>
        <w:t>ug/m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TSP最大落地浓度为21.6510</w:t>
      </w:r>
      <w:r>
        <w:rPr>
          <w:color w:val="auto"/>
          <w:sz w:val="24"/>
          <w:highlight w:val="none"/>
        </w:rPr>
        <w:t>ug/m</w:t>
      </w:r>
      <w:r>
        <w:rPr>
          <w:color w:val="auto"/>
          <w:sz w:val="24"/>
          <w:highlight w:val="none"/>
          <w:vertAlign w:val="superscript"/>
        </w:rPr>
        <w:t>3</w:t>
      </w:r>
      <w:r>
        <w:rPr>
          <w:rFonts w:hint="eastAsia"/>
          <w:color w:val="auto"/>
          <w:sz w:val="24"/>
          <w:highlight w:val="none"/>
          <w:lang w:eastAsia="zh-CN"/>
        </w:rPr>
        <w:t>。</w:t>
      </w:r>
      <w:r>
        <w:rPr>
          <w:rFonts w:hint="eastAsia"/>
          <w:color w:val="auto"/>
          <w:sz w:val="24"/>
          <w:highlight w:val="none"/>
          <w:lang w:val="en-US" w:eastAsia="zh-CN"/>
        </w:rPr>
        <w:t>厂界无组织污染物可满足《环境空气质量标准》（GB3095-2012）和《大气污染物综合排放标准详解》中的限值要求（非甲烷总烃2000</w:t>
      </w:r>
      <w:r>
        <w:rPr>
          <w:color w:val="auto"/>
          <w:sz w:val="24"/>
          <w:highlight w:val="none"/>
        </w:rPr>
        <w:t>ug/m</w:t>
      </w:r>
      <w:r>
        <w:rPr>
          <w:color w:val="auto"/>
          <w:sz w:val="24"/>
          <w:highlight w:val="none"/>
          <w:vertAlign w:val="superscript"/>
        </w:rPr>
        <w:t>3</w:t>
      </w:r>
      <w:r>
        <w:rPr>
          <w:rFonts w:hint="eastAsia"/>
          <w:color w:val="auto"/>
          <w:sz w:val="24"/>
          <w:highlight w:val="none"/>
          <w:lang w:eastAsia="zh-CN"/>
        </w:rPr>
        <w:t>、</w:t>
      </w:r>
      <w:r>
        <w:rPr>
          <w:rFonts w:hint="eastAsia"/>
          <w:color w:val="auto"/>
          <w:sz w:val="24"/>
          <w:highlight w:val="none"/>
          <w:lang w:val="en-US" w:eastAsia="zh-CN"/>
        </w:rPr>
        <w:t>TSP 900</w:t>
      </w:r>
      <w:r>
        <w:rPr>
          <w:color w:val="auto"/>
          <w:sz w:val="24"/>
          <w:highlight w:val="none"/>
        </w:rPr>
        <w:t>ug/m</w:t>
      </w:r>
      <w:r>
        <w:rPr>
          <w:color w:val="auto"/>
          <w:sz w:val="24"/>
          <w:highlight w:val="none"/>
          <w:vertAlign w:val="superscript"/>
        </w:rPr>
        <w:t>3</w:t>
      </w:r>
      <w:r>
        <w:rPr>
          <w:rFonts w:hint="eastAsia"/>
          <w:color w:val="auto"/>
          <w:sz w:val="24"/>
          <w:highlight w:val="none"/>
          <w:lang w:val="en-US" w:eastAsia="zh-CN"/>
        </w:rPr>
        <w:t>）。即大气污染物短期贡献浓度未超过环境质量浓度限值，因此拟建项目无需设置大气环境防护距离。</w:t>
      </w:r>
    </w:p>
    <w:p>
      <w:pPr>
        <w:spacing w:line="360" w:lineRule="auto"/>
        <w:ind w:firstLine="420" w:firstLineChars="200"/>
        <w:rPr>
          <w:color w:val="auto"/>
          <w:highlight w:val="none"/>
        </w:rPr>
      </w:pPr>
      <w:r>
        <w:rPr>
          <w:color w:val="auto"/>
          <w:highlight w:val="none"/>
        </w:rPr>
        <w:drawing>
          <wp:inline distT="0" distB="0" distL="114300" distR="114300">
            <wp:extent cx="4547870" cy="4081780"/>
            <wp:effectExtent l="0" t="0" r="5080" b="1397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5"/>
                    <a:stretch>
                      <a:fillRect/>
                    </a:stretch>
                  </pic:blipFill>
                  <pic:spPr>
                    <a:xfrm>
                      <a:off x="0" y="0"/>
                      <a:ext cx="4547870" cy="4081780"/>
                    </a:xfrm>
                    <a:prstGeom prst="rect">
                      <a:avLst/>
                    </a:prstGeom>
                    <a:noFill/>
                    <a:ln>
                      <a:noFill/>
                    </a:ln>
                  </pic:spPr>
                </pic:pic>
              </a:graphicData>
            </a:graphic>
          </wp:inline>
        </w:drawing>
      </w:r>
    </w:p>
    <w:p>
      <w:pPr>
        <w:pStyle w:val="21"/>
        <w:jc w:val="center"/>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图5.2-1  无组织污染源估算模型预测结果图</w:t>
      </w:r>
    </w:p>
    <w:p>
      <w:pPr>
        <w:tabs>
          <w:tab w:val="left" w:pos="2292"/>
        </w:tabs>
        <w:spacing w:line="360" w:lineRule="auto"/>
        <w:ind w:firstLine="482" w:firstLineChars="200"/>
        <w:rPr>
          <w:rFonts w:hint="default" w:eastAsia="宋体"/>
          <w:b/>
          <w:bCs/>
          <w:color w:val="auto"/>
          <w:sz w:val="24"/>
          <w:highlight w:val="none"/>
          <w:lang w:val="en-US" w:eastAsia="zh-CN"/>
        </w:rPr>
      </w:pPr>
      <w:r>
        <w:rPr>
          <w:rFonts w:hint="eastAsia"/>
          <w:b/>
          <w:bCs/>
          <w:color w:val="auto"/>
          <w:sz w:val="24"/>
          <w:highlight w:val="none"/>
          <w:lang w:eastAsia="zh-CN"/>
        </w:rPr>
        <w:t>（</w:t>
      </w:r>
      <w:r>
        <w:rPr>
          <w:rFonts w:hint="eastAsia"/>
          <w:b/>
          <w:bCs/>
          <w:color w:val="auto"/>
          <w:sz w:val="24"/>
          <w:highlight w:val="none"/>
          <w:lang w:val="en-US" w:eastAsia="zh-CN"/>
        </w:rPr>
        <w:t>5</w:t>
      </w:r>
      <w:r>
        <w:rPr>
          <w:rFonts w:hint="eastAsia"/>
          <w:b/>
          <w:bCs/>
          <w:color w:val="auto"/>
          <w:sz w:val="24"/>
          <w:highlight w:val="none"/>
          <w:lang w:eastAsia="zh-CN"/>
        </w:rPr>
        <w:t>）</w:t>
      </w:r>
      <w:r>
        <w:rPr>
          <w:rFonts w:hint="eastAsia"/>
          <w:b/>
          <w:bCs/>
          <w:color w:val="auto"/>
          <w:sz w:val="24"/>
          <w:highlight w:val="none"/>
          <w:lang w:val="en-US" w:eastAsia="zh-CN"/>
        </w:rPr>
        <w:t>卫生防护距离</w: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根据</w:t>
      </w:r>
      <w:r>
        <w:rPr>
          <w:rFonts w:cs="Times New Roman"/>
          <w:color w:val="auto"/>
          <w:sz w:val="24"/>
          <w:highlight w:val="none"/>
        </w:rPr>
        <w:t>《大气有害物质无组织排放卫生防护距离推导技术导则》（GB/T39499-2020）</w:t>
      </w:r>
      <w:r>
        <w:rPr>
          <w:rFonts w:cs="Times New Roman"/>
          <w:color w:val="auto"/>
          <w:sz w:val="24"/>
          <w:szCs w:val="24"/>
          <w:highlight w:val="none"/>
        </w:rPr>
        <w:t>中推荐卫生防护距离初值计算公式计算项目卫生防护距离：</w: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1、计算公式</w: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根据《制定地方大气污染物排放标准的技术方法》（GB/T3840-91）规定，无组织排放有害气体的生产单元（生产区、车间、工段）与居民区之间应设置卫生防护距离，计算公式如下：</w:t>
      </w:r>
    </w:p>
    <w:p>
      <w:pPr>
        <w:spacing w:line="360" w:lineRule="auto"/>
        <w:ind w:firstLine="480" w:firstLineChars="200"/>
        <w:jc w:val="center"/>
        <w:rPr>
          <w:color w:val="auto"/>
          <w:sz w:val="24"/>
          <w:highlight w:val="none"/>
        </w:rPr>
      </w:pPr>
      <w:r>
        <w:rPr>
          <w:color w:val="auto"/>
          <w:position w:val="-30"/>
          <w:sz w:val="24"/>
          <w:highlight w:val="none"/>
        </w:rPr>
        <w:object>
          <v:shape id="_x0000_i1030" o:spt="75" type="#_x0000_t75" style="height:34.5pt;width:144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0" r:id="rId26">
            <o:LockedField>false</o:LockedField>
          </o:OLEObject>
        </w:objec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式中：C</w:t>
      </w:r>
      <w:r>
        <w:rPr>
          <w:rFonts w:cs="Times New Roman"/>
          <w:color w:val="auto"/>
          <w:sz w:val="24"/>
          <w:szCs w:val="24"/>
          <w:highlight w:val="none"/>
          <w:vertAlign w:val="subscript"/>
        </w:rPr>
        <w:t>m</w:t>
      </w:r>
      <w:r>
        <w:rPr>
          <w:rFonts w:cs="Times New Roman"/>
          <w:color w:val="auto"/>
          <w:sz w:val="24"/>
          <w:szCs w:val="24"/>
          <w:highlight w:val="none"/>
        </w:rPr>
        <w:t>—污染物标准浓度限值（本环评取小时浓度限值，无小时浓度限值的取日均浓度限值的3倍值）；</w:t>
      </w:r>
    </w:p>
    <w:p>
      <w:pPr>
        <w:pStyle w:val="535"/>
        <w:spacing w:line="360" w:lineRule="auto"/>
        <w:ind w:firstLine="1200" w:firstLineChars="500"/>
        <w:jc w:val="both"/>
        <w:rPr>
          <w:rFonts w:cs="Times New Roman"/>
          <w:color w:val="auto"/>
          <w:sz w:val="24"/>
          <w:szCs w:val="24"/>
          <w:highlight w:val="none"/>
        </w:rPr>
      </w:pPr>
      <w:r>
        <w:rPr>
          <w:rFonts w:cs="Times New Roman"/>
          <w:color w:val="auto"/>
          <w:sz w:val="24"/>
          <w:szCs w:val="24"/>
          <w:highlight w:val="none"/>
        </w:rPr>
        <w:t>L—工业企业所需卫生防护距离，m；</w:t>
      </w:r>
    </w:p>
    <w:p>
      <w:pPr>
        <w:pStyle w:val="535"/>
        <w:spacing w:line="360" w:lineRule="auto"/>
        <w:ind w:firstLine="1200" w:firstLineChars="500"/>
        <w:jc w:val="both"/>
        <w:rPr>
          <w:rFonts w:cs="Times New Roman"/>
          <w:color w:val="auto"/>
          <w:sz w:val="24"/>
          <w:szCs w:val="24"/>
          <w:highlight w:val="none"/>
        </w:rPr>
      </w:pPr>
      <w:r>
        <w:rPr>
          <w:rFonts w:cs="Times New Roman"/>
          <w:color w:val="auto"/>
          <w:sz w:val="24"/>
          <w:szCs w:val="24"/>
          <w:highlight w:val="none"/>
        </w:rPr>
        <w:t>r—有害气体无组织排放源所在生产单元的等效半径，m。根据该生产单元占地面积S（m</w:t>
      </w:r>
      <w:r>
        <w:rPr>
          <w:rFonts w:cs="Times New Roman"/>
          <w:color w:val="auto"/>
          <w:sz w:val="24"/>
          <w:szCs w:val="24"/>
          <w:highlight w:val="none"/>
          <w:vertAlign w:val="superscript"/>
        </w:rPr>
        <w:t>2</w:t>
      </w:r>
      <w:r>
        <w:rPr>
          <w:rFonts w:cs="Times New Roman"/>
          <w:color w:val="auto"/>
          <w:sz w:val="24"/>
          <w:szCs w:val="24"/>
          <w:highlight w:val="none"/>
        </w:rPr>
        <w:t>）计算，r=（S/π）</w:t>
      </w:r>
      <w:r>
        <w:rPr>
          <w:rFonts w:cs="Times New Roman"/>
          <w:color w:val="auto"/>
          <w:sz w:val="24"/>
          <w:szCs w:val="24"/>
          <w:highlight w:val="none"/>
          <w:vertAlign w:val="superscript"/>
        </w:rPr>
        <w:t>0.5</w:t>
      </w:r>
      <w:r>
        <w:rPr>
          <w:rFonts w:cs="Times New Roman"/>
          <w:color w:val="auto"/>
          <w:sz w:val="24"/>
          <w:szCs w:val="24"/>
          <w:highlight w:val="none"/>
        </w:rPr>
        <w:t>；</w:t>
      </w:r>
    </w:p>
    <w:p>
      <w:pPr>
        <w:pStyle w:val="535"/>
        <w:spacing w:line="360" w:lineRule="auto"/>
        <w:ind w:firstLine="1200" w:firstLineChars="500"/>
        <w:jc w:val="both"/>
        <w:rPr>
          <w:rFonts w:cs="Times New Roman"/>
          <w:color w:val="auto"/>
          <w:sz w:val="24"/>
          <w:szCs w:val="24"/>
          <w:highlight w:val="none"/>
        </w:rPr>
      </w:pPr>
      <w:r>
        <w:rPr>
          <w:rFonts w:cs="Times New Roman"/>
          <w:color w:val="auto"/>
          <w:sz w:val="24"/>
          <w:szCs w:val="24"/>
          <w:highlight w:val="none"/>
        </w:rPr>
        <w:t>Q</w:t>
      </w:r>
      <w:r>
        <w:rPr>
          <w:rFonts w:cs="Times New Roman"/>
          <w:color w:val="auto"/>
          <w:sz w:val="24"/>
          <w:szCs w:val="24"/>
          <w:highlight w:val="none"/>
          <w:vertAlign w:val="subscript"/>
        </w:rPr>
        <w:t>c</w:t>
      </w:r>
      <w:r>
        <w:rPr>
          <w:rFonts w:cs="Times New Roman"/>
          <w:color w:val="auto"/>
          <w:sz w:val="24"/>
          <w:szCs w:val="24"/>
          <w:highlight w:val="none"/>
        </w:rPr>
        <w:t>—有害气体排放速率，kg/h。</w:t>
      </w:r>
    </w:p>
    <w:p>
      <w:pPr>
        <w:pStyle w:val="535"/>
        <w:spacing w:line="360" w:lineRule="auto"/>
        <w:ind w:firstLine="1200" w:firstLineChars="500"/>
        <w:jc w:val="both"/>
        <w:rPr>
          <w:rFonts w:cs="Times New Roman"/>
          <w:color w:val="auto"/>
          <w:sz w:val="24"/>
          <w:szCs w:val="24"/>
          <w:highlight w:val="none"/>
        </w:rPr>
      </w:pPr>
      <w:r>
        <w:rPr>
          <w:rFonts w:cs="Times New Roman"/>
          <w:color w:val="auto"/>
          <w:sz w:val="24"/>
          <w:szCs w:val="24"/>
          <w:highlight w:val="none"/>
        </w:rPr>
        <w:t>A、B、C、D为计算系数。根据所在地平均风速及工业企业大气污染源构成类别查取。</w: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根据GB/T13201-91的规定：“卫生防护距离在100m以内，级差为50m；超过100m但小于1000m时，级差为100m；超过1000m以上时，级差为200m”；将卫生防护距离的计算结果取整。</w: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2、参数选取</w: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无组织排放多种有害气体时，按Qc/Cm的最大值计算其所需的卫生防护距离。卫生防护距离在100m内时，级差为50m；超过100m，但小于1000m时，级差为100m。当按两种或两种以上有害气体的Qc/Cm计算卫生防护距离在同一级别时，该类工业企业的卫生防护距离提高一级。</w:t>
      </w:r>
    </w:p>
    <w:p>
      <w:pPr>
        <w:pStyle w:val="535"/>
        <w:spacing w:line="360" w:lineRule="auto"/>
        <w:ind w:firstLine="480"/>
        <w:jc w:val="both"/>
        <w:rPr>
          <w:rFonts w:cs="Times New Roman"/>
          <w:color w:val="auto"/>
          <w:sz w:val="24"/>
          <w:szCs w:val="24"/>
          <w:highlight w:val="none"/>
        </w:rPr>
      </w:pPr>
      <w:r>
        <w:rPr>
          <w:rFonts w:cs="Times New Roman"/>
          <w:color w:val="auto"/>
          <w:sz w:val="24"/>
          <w:szCs w:val="24"/>
          <w:highlight w:val="none"/>
        </w:rPr>
        <w:t>项目所在地区寻甸县的平均风速为3m/s，工业大气污染源构成类别属Ⅱ类，A、B、C、D值的选取见下表5.2-</w:t>
      </w:r>
      <w:r>
        <w:rPr>
          <w:rFonts w:hint="eastAsia" w:cs="Times New Roman"/>
          <w:color w:val="auto"/>
          <w:sz w:val="24"/>
          <w:szCs w:val="24"/>
          <w:highlight w:val="none"/>
        </w:rPr>
        <w:t>9</w:t>
      </w:r>
      <w:r>
        <w:rPr>
          <w:rFonts w:cs="Times New Roman"/>
          <w:color w:val="auto"/>
          <w:sz w:val="24"/>
          <w:szCs w:val="24"/>
          <w:highlight w:val="none"/>
        </w:rPr>
        <w:t>。</w:t>
      </w:r>
    </w:p>
    <w:p>
      <w:pPr>
        <w:spacing w:line="360" w:lineRule="auto"/>
        <w:jc w:val="center"/>
        <w:rPr>
          <w:b/>
          <w:bCs/>
          <w:color w:val="auto"/>
          <w:kern w:val="0"/>
          <w:sz w:val="24"/>
          <w:highlight w:val="none"/>
        </w:rPr>
      </w:pPr>
      <w:r>
        <w:rPr>
          <w:b/>
          <w:bCs/>
          <w:color w:val="auto"/>
          <w:kern w:val="0"/>
          <w:sz w:val="24"/>
          <w:highlight w:val="none"/>
        </w:rPr>
        <w:t>表5.2-</w:t>
      </w:r>
      <w:r>
        <w:rPr>
          <w:rFonts w:hint="eastAsia"/>
          <w:b/>
          <w:bCs/>
          <w:color w:val="auto"/>
          <w:kern w:val="0"/>
          <w:sz w:val="24"/>
          <w:highlight w:val="none"/>
        </w:rPr>
        <w:t>9</w:t>
      </w:r>
      <w:r>
        <w:rPr>
          <w:b/>
          <w:bCs/>
          <w:color w:val="auto"/>
          <w:kern w:val="0"/>
          <w:sz w:val="24"/>
          <w:highlight w:val="none"/>
        </w:rPr>
        <w:t xml:space="preserve">  卫生防护距离计算系数</w:t>
      </w:r>
    </w:p>
    <w:tbl>
      <w:tblPr>
        <w:tblStyle w:val="5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771"/>
        <w:gridCol w:w="781"/>
        <w:gridCol w:w="781"/>
        <w:gridCol w:w="783"/>
        <w:gridCol w:w="781"/>
        <w:gridCol w:w="781"/>
        <w:gridCol w:w="783"/>
        <w:gridCol w:w="773"/>
        <w:gridCol w:w="773"/>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restart"/>
            <w:vAlign w:val="center"/>
          </w:tcPr>
          <w:p>
            <w:pPr>
              <w:autoSpaceDE w:val="0"/>
              <w:autoSpaceDN w:val="0"/>
              <w:spacing w:line="360" w:lineRule="auto"/>
              <w:jc w:val="center"/>
              <w:rPr>
                <w:b/>
                <w:color w:val="auto"/>
                <w:kern w:val="0"/>
                <w:szCs w:val="21"/>
                <w:highlight w:val="none"/>
              </w:rPr>
            </w:pPr>
            <w:r>
              <w:rPr>
                <w:b/>
                <w:color w:val="auto"/>
                <w:kern w:val="0"/>
                <w:szCs w:val="21"/>
                <w:highlight w:val="none"/>
              </w:rPr>
              <w:t>计</w:t>
            </w:r>
          </w:p>
          <w:p>
            <w:pPr>
              <w:autoSpaceDE w:val="0"/>
              <w:autoSpaceDN w:val="0"/>
              <w:spacing w:line="360" w:lineRule="auto"/>
              <w:jc w:val="center"/>
              <w:rPr>
                <w:b/>
                <w:color w:val="auto"/>
                <w:kern w:val="0"/>
                <w:szCs w:val="21"/>
                <w:highlight w:val="none"/>
              </w:rPr>
            </w:pPr>
            <w:r>
              <w:rPr>
                <w:b/>
                <w:color w:val="auto"/>
                <w:kern w:val="0"/>
                <w:szCs w:val="21"/>
                <w:highlight w:val="none"/>
              </w:rPr>
              <w:t>算</w:t>
            </w:r>
          </w:p>
          <w:p>
            <w:pPr>
              <w:autoSpaceDE w:val="0"/>
              <w:autoSpaceDN w:val="0"/>
              <w:spacing w:line="360" w:lineRule="auto"/>
              <w:jc w:val="center"/>
              <w:rPr>
                <w:b/>
                <w:color w:val="auto"/>
                <w:kern w:val="0"/>
                <w:szCs w:val="21"/>
                <w:highlight w:val="none"/>
              </w:rPr>
            </w:pPr>
            <w:r>
              <w:rPr>
                <w:b/>
                <w:color w:val="auto"/>
                <w:kern w:val="0"/>
                <w:szCs w:val="21"/>
                <w:highlight w:val="none"/>
              </w:rPr>
              <w:t>系</w:t>
            </w:r>
          </w:p>
          <w:p>
            <w:pPr>
              <w:autoSpaceDE w:val="0"/>
              <w:autoSpaceDN w:val="0"/>
              <w:spacing w:line="360" w:lineRule="auto"/>
              <w:jc w:val="center"/>
              <w:rPr>
                <w:b/>
                <w:color w:val="auto"/>
                <w:kern w:val="0"/>
                <w:szCs w:val="21"/>
                <w:highlight w:val="none"/>
              </w:rPr>
            </w:pPr>
            <w:r>
              <w:rPr>
                <w:b/>
                <w:color w:val="auto"/>
                <w:kern w:val="0"/>
                <w:szCs w:val="21"/>
                <w:highlight w:val="none"/>
              </w:rPr>
              <w:t>数</w:t>
            </w:r>
          </w:p>
        </w:tc>
        <w:tc>
          <w:tcPr>
            <w:tcW w:w="771" w:type="dxa"/>
            <w:vMerge w:val="restart"/>
            <w:vAlign w:val="center"/>
          </w:tcPr>
          <w:p>
            <w:pPr>
              <w:autoSpaceDE w:val="0"/>
              <w:autoSpaceDN w:val="0"/>
              <w:spacing w:line="360" w:lineRule="auto"/>
              <w:jc w:val="center"/>
              <w:rPr>
                <w:b/>
                <w:color w:val="auto"/>
                <w:kern w:val="0"/>
                <w:szCs w:val="21"/>
                <w:highlight w:val="none"/>
              </w:rPr>
            </w:pPr>
            <w:r>
              <w:rPr>
                <w:b/>
                <w:color w:val="auto"/>
                <w:kern w:val="0"/>
                <w:szCs w:val="21"/>
                <w:highlight w:val="none"/>
              </w:rPr>
              <w:t>5年平均风速m/s</w:t>
            </w:r>
          </w:p>
        </w:tc>
        <w:tc>
          <w:tcPr>
            <w:tcW w:w="7009" w:type="dxa"/>
            <w:gridSpan w:val="9"/>
            <w:vAlign w:val="center"/>
          </w:tcPr>
          <w:p>
            <w:pPr>
              <w:autoSpaceDE w:val="0"/>
              <w:autoSpaceDN w:val="0"/>
              <w:spacing w:line="360" w:lineRule="auto"/>
              <w:jc w:val="center"/>
              <w:rPr>
                <w:b/>
                <w:color w:val="auto"/>
                <w:kern w:val="0"/>
                <w:szCs w:val="21"/>
                <w:highlight w:val="none"/>
              </w:rPr>
            </w:pPr>
            <w:r>
              <w:rPr>
                <w:b/>
                <w:color w:val="auto"/>
                <w:kern w:val="0"/>
                <w:szCs w:val="21"/>
                <w:highlight w:val="none"/>
              </w:rPr>
              <w:t>卫生防护距离L，m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b/>
                <w:color w:val="auto"/>
                <w:kern w:val="0"/>
                <w:szCs w:val="21"/>
                <w:highlight w:val="none"/>
              </w:rPr>
            </w:pPr>
          </w:p>
        </w:tc>
        <w:tc>
          <w:tcPr>
            <w:tcW w:w="771" w:type="dxa"/>
            <w:vMerge w:val="continue"/>
            <w:vAlign w:val="center"/>
          </w:tcPr>
          <w:p>
            <w:pPr>
              <w:autoSpaceDE w:val="0"/>
              <w:autoSpaceDN w:val="0"/>
              <w:spacing w:line="360" w:lineRule="auto"/>
              <w:jc w:val="center"/>
              <w:rPr>
                <w:b/>
                <w:color w:val="auto"/>
                <w:kern w:val="0"/>
                <w:szCs w:val="21"/>
                <w:highlight w:val="none"/>
              </w:rPr>
            </w:pPr>
          </w:p>
        </w:tc>
        <w:tc>
          <w:tcPr>
            <w:tcW w:w="2345" w:type="dxa"/>
            <w:gridSpan w:val="3"/>
            <w:vAlign w:val="center"/>
          </w:tcPr>
          <w:p>
            <w:pPr>
              <w:autoSpaceDE w:val="0"/>
              <w:autoSpaceDN w:val="0"/>
              <w:spacing w:line="360" w:lineRule="auto"/>
              <w:jc w:val="center"/>
              <w:rPr>
                <w:b/>
                <w:color w:val="auto"/>
                <w:kern w:val="0"/>
                <w:szCs w:val="21"/>
                <w:highlight w:val="none"/>
              </w:rPr>
            </w:pPr>
            <w:r>
              <w:rPr>
                <w:b/>
                <w:color w:val="auto"/>
                <w:kern w:val="0"/>
                <w:szCs w:val="21"/>
                <w:highlight w:val="none"/>
              </w:rPr>
              <w:t>L≤1000</w:t>
            </w:r>
          </w:p>
        </w:tc>
        <w:tc>
          <w:tcPr>
            <w:tcW w:w="2345" w:type="dxa"/>
            <w:gridSpan w:val="3"/>
            <w:vAlign w:val="center"/>
          </w:tcPr>
          <w:p>
            <w:pPr>
              <w:autoSpaceDE w:val="0"/>
              <w:autoSpaceDN w:val="0"/>
              <w:spacing w:line="360" w:lineRule="auto"/>
              <w:jc w:val="center"/>
              <w:rPr>
                <w:b/>
                <w:color w:val="auto"/>
                <w:kern w:val="0"/>
                <w:szCs w:val="21"/>
                <w:highlight w:val="none"/>
              </w:rPr>
            </w:pPr>
            <w:r>
              <w:rPr>
                <w:b/>
                <w:color w:val="auto"/>
                <w:kern w:val="0"/>
                <w:szCs w:val="21"/>
                <w:highlight w:val="none"/>
              </w:rPr>
              <w:t>1000＜L≤2000</w:t>
            </w:r>
          </w:p>
        </w:tc>
        <w:tc>
          <w:tcPr>
            <w:tcW w:w="2319" w:type="dxa"/>
            <w:gridSpan w:val="3"/>
            <w:vAlign w:val="center"/>
          </w:tcPr>
          <w:p>
            <w:pPr>
              <w:autoSpaceDE w:val="0"/>
              <w:autoSpaceDN w:val="0"/>
              <w:spacing w:line="360" w:lineRule="auto"/>
              <w:jc w:val="center"/>
              <w:rPr>
                <w:b/>
                <w:color w:val="auto"/>
                <w:kern w:val="0"/>
                <w:szCs w:val="21"/>
                <w:highlight w:val="none"/>
              </w:rPr>
            </w:pPr>
            <w:r>
              <w:rPr>
                <w:b/>
                <w:color w:val="auto"/>
                <w:kern w:val="0"/>
                <w:szCs w:val="21"/>
                <w:highlight w:val="none"/>
              </w:rPr>
              <w:t>L＞2000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b/>
                <w:color w:val="auto"/>
                <w:kern w:val="0"/>
                <w:szCs w:val="21"/>
                <w:highlight w:val="none"/>
              </w:rPr>
            </w:pPr>
          </w:p>
        </w:tc>
        <w:tc>
          <w:tcPr>
            <w:tcW w:w="771" w:type="dxa"/>
            <w:vMerge w:val="continue"/>
            <w:vAlign w:val="center"/>
          </w:tcPr>
          <w:p>
            <w:pPr>
              <w:autoSpaceDE w:val="0"/>
              <w:autoSpaceDN w:val="0"/>
              <w:spacing w:line="360" w:lineRule="auto"/>
              <w:jc w:val="center"/>
              <w:rPr>
                <w:b/>
                <w:color w:val="auto"/>
                <w:kern w:val="0"/>
                <w:szCs w:val="21"/>
                <w:highlight w:val="none"/>
              </w:rPr>
            </w:pPr>
          </w:p>
        </w:tc>
        <w:tc>
          <w:tcPr>
            <w:tcW w:w="7009" w:type="dxa"/>
            <w:gridSpan w:val="9"/>
            <w:vAlign w:val="center"/>
          </w:tcPr>
          <w:p>
            <w:pPr>
              <w:autoSpaceDE w:val="0"/>
              <w:autoSpaceDN w:val="0"/>
              <w:spacing w:line="360" w:lineRule="auto"/>
              <w:jc w:val="center"/>
              <w:rPr>
                <w:b/>
                <w:color w:val="auto"/>
                <w:kern w:val="0"/>
                <w:szCs w:val="21"/>
                <w:highlight w:val="none"/>
              </w:rPr>
            </w:pPr>
            <w:r>
              <w:rPr>
                <w:b/>
                <w:color w:val="auto"/>
                <w:kern w:val="0"/>
                <w:szCs w:val="21"/>
                <w:highlight w:val="none"/>
              </w:rPr>
              <w:t>工业大气污染源构成类别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b/>
                <w:color w:val="auto"/>
                <w:kern w:val="0"/>
                <w:szCs w:val="21"/>
                <w:highlight w:val="none"/>
              </w:rPr>
            </w:pPr>
          </w:p>
        </w:tc>
        <w:tc>
          <w:tcPr>
            <w:tcW w:w="771" w:type="dxa"/>
            <w:vMerge w:val="continue"/>
            <w:vAlign w:val="center"/>
          </w:tcPr>
          <w:p>
            <w:pPr>
              <w:autoSpaceDE w:val="0"/>
              <w:autoSpaceDN w:val="0"/>
              <w:spacing w:line="360" w:lineRule="auto"/>
              <w:jc w:val="center"/>
              <w:rPr>
                <w:b/>
                <w:color w:val="auto"/>
                <w:kern w:val="0"/>
                <w:szCs w:val="21"/>
                <w:highlight w:val="none"/>
              </w:rPr>
            </w:pPr>
          </w:p>
        </w:tc>
        <w:tc>
          <w:tcPr>
            <w:tcW w:w="781"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Ⅰ</w:t>
            </w:r>
          </w:p>
        </w:tc>
        <w:tc>
          <w:tcPr>
            <w:tcW w:w="781"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Ⅱ</w:t>
            </w:r>
          </w:p>
        </w:tc>
        <w:tc>
          <w:tcPr>
            <w:tcW w:w="783"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Ⅲ</w:t>
            </w:r>
          </w:p>
        </w:tc>
        <w:tc>
          <w:tcPr>
            <w:tcW w:w="781"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Ⅰ</w:t>
            </w:r>
          </w:p>
        </w:tc>
        <w:tc>
          <w:tcPr>
            <w:tcW w:w="781"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Ⅱ</w:t>
            </w:r>
          </w:p>
        </w:tc>
        <w:tc>
          <w:tcPr>
            <w:tcW w:w="783"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Ⅲ</w:t>
            </w:r>
          </w:p>
        </w:tc>
        <w:tc>
          <w:tcPr>
            <w:tcW w:w="773"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Ⅰ</w:t>
            </w:r>
          </w:p>
        </w:tc>
        <w:tc>
          <w:tcPr>
            <w:tcW w:w="773"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Ⅱ</w:t>
            </w:r>
          </w:p>
        </w:tc>
        <w:tc>
          <w:tcPr>
            <w:tcW w:w="773" w:type="dxa"/>
            <w:vAlign w:val="center"/>
          </w:tcPr>
          <w:p>
            <w:pPr>
              <w:autoSpaceDE w:val="0"/>
              <w:autoSpaceDN w:val="0"/>
              <w:spacing w:line="360" w:lineRule="auto"/>
              <w:jc w:val="center"/>
              <w:rPr>
                <w:b/>
                <w:color w:val="auto"/>
                <w:kern w:val="0"/>
                <w:szCs w:val="21"/>
                <w:highlight w:val="none"/>
              </w:rPr>
            </w:pPr>
            <w:r>
              <w:rPr>
                <w:b/>
                <w:color w:val="auto"/>
                <w:kern w:val="0"/>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restart"/>
            <w:vAlign w:val="center"/>
          </w:tcPr>
          <w:p>
            <w:pPr>
              <w:autoSpaceDE w:val="0"/>
              <w:autoSpaceDN w:val="0"/>
              <w:spacing w:line="360" w:lineRule="auto"/>
              <w:jc w:val="center"/>
              <w:rPr>
                <w:color w:val="auto"/>
                <w:kern w:val="0"/>
                <w:szCs w:val="21"/>
                <w:highlight w:val="none"/>
              </w:rPr>
            </w:pPr>
            <w:r>
              <w:rPr>
                <w:color w:val="auto"/>
                <w:kern w:val="0"/>
                <w:szCs w:val="21"/>
                <w:highlight w:val="none"/>
              </w:rPr>
              <w:t>A</w:t>
            </w: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400</w:t>
            </w:r>
          </w:p>
        </w:tc>
        <w:tc>
          <w:tcPr>
            <w:tcW w:w="781" w:type="dxa"/>
            <w:vAlign w:val="center"/>
          </w:tcPr>
          <w:p>
            <w:pPr>
              <w:spacing w:line="360" w:lineRule="auto"/>
              <w:jc w:val="center"/>
              <w:rPr>
                <w:color w:val="auto"/>
                <w:szCs w:val="21"/>
                <w:highlight w:val="none"/>
              </w:rPr>
            </w:pPr>
            <w:r>
              <w:rPr>
                <w:color w:val="auto"/>
                <w:kern w:val="0"/>
                <w:szCs w:val="21"/>
                <w:highlight w:val="none"/>
              </w:rPr>
              <w:t>400</w:t>
            </w:r>
          </w:p>
        </w:tc>
        <w:tc>
          <w:tcPr>
            <w:tcW w:w="783" w:type="dxa"/>
            <w:vAlign w:val="center"/>
          </w:tcPr>
          <w:p>
            <w:pPr>
              <w:spacing w:line="360" w:lineRule="auto"/>
              <w:jc w:val="center"/>
              <w:rPr>
                <w:color w:val="auto"/>
                <w:szCs w:val="21"/>
                <w:highlight w:val="none"/>
              </w:rPr>
            </w:pPr>
            <w:r>
              <w:rPr>
                <w:color w:val="auto"/>
                <w:kern w:val="0"/>
                <w:szCs w:val="21"/>
                <w:highlight w:val="none"/>
              </w:rPr>
              <w:t>400</w:t>
            </w:r>
          </w:p>
        </w:tc>
        <w:tc>
          <w:tcPr>
            <w:tcW w:w="781" w:type="dxa"/>
            <w:vAlign w:val="center"/>
          </w:tcPr>
          <w:p>
            <w:pPr>
              <w:spacing w:line="360" w:lineRule="auto"/>
              <w:jc w:val="center"/>
              <w:rPr>
                <w:color w:val="auto"/>
                <w:szCs w:val="21"/>
                <w:highlight w:val="none"/>
              </w:rPr>
            </w:pPr>
            <w:r>
              <w:rPr>
                <w:color w:val="auto"/>
                <w:kern w:val="0"/>
                <w:szCs w:val="21"/>
                <w:highlight w:val="none"/>
              </w:rPr>
              <w:t>400</w:t>
            </w:r>
          </w:p>
        </w:tc>
        <w:tc>
          <w:tcPr>
            <w:tcW w:w="781" w:type="dxa"/>
            <w:vAlign w:val="center"/>
          </w:tcPr>
          <w:p>
            <w:pPr>
              <w:spacing w:line="360" w:lineRule="auto"/>
              <w:jc w:val="center"/>
              <w:rPr>
                <w:color w:val="auto"/>
                <w:szCs w:val="21"/>
                <w:highlight w:val="none"/>
              </w:rPr>
            </w:pPr>
            <w:r>
              <w:rPr>
                <w:color w:val="auto"/>
                <w:kern w:val="0"/>
                <w:szCs w:val="21"/>
                <w:highlight w:val="none"/>
              </w:rPr>
              <w:t>400</w:t>
            </w:r>
          </w:p>
        </w:tc>
        <w:tc>
          <w:tcPr>
            <w:tcW w:w="783" w:type="dxa"/>
            <w:vAlign w:val="center"/>
          </w:tcPr>
          <w:p>
            <w:pPr>
              <w:spacing w:line="360" w:lineRule="auto"/>
              <w:jc w:val="center"/>
              <w:rPr>
                <w:color w:val="auto"/>
                <w:szCs w:val="21"/>
                <w:highlight w:val="none"/>
              </w:rPr>
            </w:pPr>
            <w:r>
              <w:rPr>
                <w:color w:val="auto"/>
                <w:kern w:val="0"/>
                <w:szCs w:val="21"/>
                <w:highlight w:val="none"/>
              </w:rPr>
              <w:t>400</w:t>
            </w:r>
          </w:p>
        </w:tc>
        <w:tc>
          <w:tcPr>
            <w:tcW w:w="77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80</w:t>
            </w:r>
          </w:p>
        </w:tc>
        <w:tc>
          <w:tcPr>
            <w:tcW w:w="773" w:type="dxa"/>
            <w:vAlign w:val="center"/>
          </w:tcPr>
          <w:p>
            <w:pPr>
              <w:spacing w:line="360" w:lineRule="auto"/>
              <w:jc w:val="center"/>
              <w:rPr>
                <w:color w:val="auto"/>
                <w:szCs w:val="21"/>
                <w:highlight w:val="none"/>
              </w:rPr>
            </w:pPr>
            <w:r>
              <w:rPr>
                <w:color w:val="auto"/>
                <w:kern w:val="0"/>
                <w:szCs w:val="21"/>
                <w:highlight w:val="none"/>
              </w:rPr>
              <w:t>80</w:t>
            </w:r>
          </w:p>
        </w:tc>
        <w:tc>
          <w:tcPr>
            <w:tcW w:w="773" w:type="dxa"/>
            <w:vAlign w:val="center"/>
          </w:tcPr>
          <w:p>
            <w:pPr>
              <w:spacing w:line="360" w:lineRule="auto"/>
              <w:jc w:val="center"/>
              <w:rPr>
                <w:color w:val="auto"/>
                <w:szCs w:val="21"/>
                <w:highlight w:val="none"/>
              </w:rPr>
            </w:pPr>
            <w:r>
              <w:rPr>
                <w:color w:val="auto"/>
                <w:kern w:val="0"/>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color w:val="auto"/>
                <w:kern w:val="0"/>
                <w:szCs w:val="21"/>
                <w:highlight w:val="none"/>
              </w:rPr>
            </w:pP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2～4</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700</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470</w:t>
            </w:r>
          </w:p>
        </w:tc>
        <w:tc>
          <w:tcPr>
            <w:tcW w:w="78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350</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700</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470</w:t>
            </w:r>
          </w:p>
        </w:tc>
        <w:tc>
          <w:tcPr>
            <w:tcW w:w="78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350</w:t>
            </w:r>
          </w:p>
        </w:tc>
        <w:tc>
          <w:tcPr>
            <w:tcW w:w="77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380</w:t>
            </w:r>
          </w:p>
        </w:tc>
        <w:tc>
          <w:tcPr>
            <w:tcW w:w="77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250</w:t>
            </w:r>
          </w:p>
        </w:tc>
        <w:tc>
          <w:tcPr>
            <w:tcW w:w="77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color w:val="auto"/>
                <w:kern w:val="0"/>
                <w:szCs w:val="21"/>
                <w:highlight w:val="none"/>
              </w:rPr>
            </w:pP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＞4</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530</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350</w:t>
            </w:r>
          </w:p>
        </w:tc>
        <w:tc>
          <w:tcPr>
            <w:tcW w:w="78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260</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530</w:t>
            </w:r>
          </w:p>
        </w:tc>
        <w:tc>
          <w:tcPr>
            <w:tcW w:w="78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350</w:t>
            </w:r>
          </w:p>
        </w:tc>
        <w:tc>
          <w:tcPr>
            <w:tcW w:w="78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260</w:t>
            </w:r>
          </w:p>
        </w:tc>
        <w:tc>
          <w:tcPr>
            <w:tcW w:w="77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290</w:t>
            </w:r>
          </w:p>
        </w:tc>
        <w:tc>
          <w:tcPr>
            <w:tcW w:w="77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190</w:t>
            </w:r>
          </w:p>
        </w:tc>
        <w:tc>
          <w:tcPr>
            <w:tcW w:w="773"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restart"/>
            <w:vAlign w:val="center"/>
          </w:tcPr>
          <w:p>
            <w:pPr>
              <w:autoSpaceDE w:val="0"/>
              <w:autoSpaceDN w:val="0"/>
              <w:spacing w:line="360" w:lineRule="auto"/>
              <w:jc w:val="center"/>
              <w:rPr>
                <w:color w:val="auto"/>
                <w:kern w:val="0"/>
                <w:szCs w:val="21"/>
                <w:highlight w:val="none"/>
              </w:rPr>
            </w:pPr>
            <w:r>
              <w:rPr>
                <w:color w:val="auto"/>
                <w:kern w:val="0"/>
                <w:szCs w:val="21"/>
                <w:highlight w:val="none"/>
              </w:rPr>
              <w:t>B</w:t>
            </w: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0.01</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0.015</w:t>
            </w:r>
          </w:p>
        </w:tc>
        <w:tc>
          <w:tcPr>
            <w:tcW w:w="2319"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color w:val="auto"/>
                <w:kern w:val="0"/>
                <w:szCs w:val="21"/>
                <w:highlight w:val="none"/>
              </w:rPr>
            </w:pP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0.021</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0.036</w:t>
            </w:r>
          </w:p>
        </w:tc>
        <w:tc>
          <w:tcPr>
            <w:tcW w:w="2319"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restart"/>
            <w:vAlign w:val="center"/>
          </w:tcPr>
          <w:p>
            <w:pPr>
              <w:autoSpaceDE w:val="0"/>
              <w:autoSpaceDN w:val="0"/>
              <w:spacing w:line="360" w:lineRule="auto"/>
              <w:jc w:val="center"/>
              <w:rPr>
                <w:color w:val="auto"/>
                <w:kern w:val="0"/>
                <w:szCs w:val="21"/>
                <w:highlight w:val="none"/>
              </w:rPr>
            </w:pPr>
            <w:r>
              <w:rPr>
                <w:color w:val="auto"/>
                <w:kern w:val="0"/>
                <w:szCs w:val="21"/>
                <w:highlight w:val="none"/>
              </w:rPr>
              <w:t>C</w:t>
            </w: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1.85</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1.79</w:t>
            </w:r>
          </w:p>
        </w:tc>
        <w:tc>
          <w:tcPr>
            <w:tcW w:w="2319"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color w:val="auto"/>
                <w:kern w:val="0"/>
                <w:szCs w:val="21"/>
                <w:highlight w:val="none"/>
              </w:rPr>
            </w:pP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1.85</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1.77</w:t>
            </w:r>
          </w:p>
        </w:tc>
        <w:tc>
          <w:tcPr>
            <w:tcW w:w="2319"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restart"/>
            <w:vAlign w:val="center"/>
          </w:tcPr>
          <w:p>
            <w:pPr>
              <w:autoSpaceDE w:val="0"/>
              <w:autoSpaceDN w:val="0"/>
              <w:spacing w:line="360" w:lineRule="auto"/>
              <w:jc w:val="center"/>
              <w:rPr>
                <w:color w:val="auto"/>
                <w:kern w:val="0"/>
                <w:szCs w:val="21"/>
                <w:highlight w:val="none"/>
              </w:rPr>
            </w:pPr>
            <w:r>
              <w:rPr>
                <w:color w:val="auto"/>
                <w:kern w:val="0"/>
                <w:szCs w:val="21"/>
                <w:highlight w:val="none"/>
              </w:rPr>
              <w:t>D</w:t>
            </w: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0.78</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0.78</w:t>
            </w:r>
          </w:p>
        </w:tc>
        <w:tc>
          <w:tcPr>
            <w:tcW w:w="2319"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autoSpaceDE w:val="0"/>
              <w:autoSpaceDN w:val="0"/>
              <w:spacing w:line="360" w:lineRule="auto"/>
              <w:jc w:val="center"/>
              <w:rPr>
                <w:color w:val="auto"/>
                <w:kern w:val="0"/>
                <w:szCs w:val="21"/>
                <w:highlight w:val="none"/>
              </w:rPr>
            </w:pPr>
          </w:p>
        </w:tc>
        <w:tc>
          <w:tcPr>
            <w:tcW w:w="771" w:type="dxa"/>
            <w:vAlign w:val="center"/>
          </w:tcPr>
          <w:p>
            <w:pPr>
              <w:autoSpaceDE w:val="0"/>
              <w:autoSpaceDN w:val="0"/>
              <w:spacing w:line="360" w:lineRule="auto"/>
              <w:jc w:val="center"/>
              <w:rPr>
                <w:color w:val="auto"/>
                <w:kern w:val="0"/>
                <w:szCs w:val="21"/>
                <w:highlight w:val="none"/>
              </w:rPr>
            </w:pPr>
            <w:r>
              <w:rPr>
                <w:color w:val="auto"/>
                <w:kern w:val="0"/>
                <w:szCs w:val="21"/>
                <w:highlight w:val="none"/>
              </w:rPr>
              <w:t>＞2</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0.84</w:t>
            </w:r>
          </w:p>
        </w:tc>
        <w:tc>
          <w:tcPr>
            <w:tcW w:w="2345"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0.84</w:t>
            </w:r>
          </w:p>
        </w:tc>
        <w:tc>
          <w:tcPr>
            <w:tcW w:w="2319" w:type="dxa"/>
            <w:gridSpan w:val="3"/>
            <w:vAlign w:val="center"/>
          </w:tcPr>
          <w:p>
            <w:pPr>
              <w:autoSpaceDE w:val="0"/>
              <w:autoSpaceDN w:val="0"/>
              <w:spacing w:line="360" w:lineRule="auto"/>
              <w:jc w:val="center"/>
              <w:rPr>
                <w:color w:val="auto"/>
                <w:kern w:val="0"/>
                <w:szCs w:val="21"/>
                <w:highlight w:val="none"/>
              </w:rPr>
            </w:pPr>
            <w:r>
              <w:rPr>
                <w:color w:val="auto"/>
                <w:kern w:val="0"/>
                <w:szCs w:val="21"/>
                <w:highlight w:val="none"/>
              </w:rPr>
              <w:t>0.76</w:t>
            </w:r>
          </w:p>
        </w:tc>
      </w:tr>
    </w:tbl>
    <w:p>
      <w:pPr>
        <w:spacing w:line="360" w:lineRule="auto"/>
        <w:ind w:firstLine="422" w:firstLineChars="200"/>
        <w:rPr>
          <w:b/>
          <w:color w:val="auto"/>
          <w:szCs w:val="21"/>
          <w:highlight w:val="none"/>
        </w:rPr>
      </w:pPr>
      <w:r>
        <w:rPr>
          <w:b/>
          <w:color w:val="auto"/>
          <w:szCs w:val="21"/>
          <w:highlight w:val="none"/>
        </w:rPr>
        <w:t>注：表中工业企业大气污染源构成分为三类：Ⅰ类：与无组织排放源共存的排放同种有害气体的排气筒的排放量，大于标准规定的允许排放量的三分之一者；Ⅱ类：与无组织排放源共存的排放同种有害气体的排气筒的排放量，小于标准规定的允许排放量的三分之一，或者无排放同种大气污染物之排气筒共存，但无组织排放的有害物质的容许浓度是按急性反应指标确定者；Ⅲ类：无排放同种有害气体的排气筒与无组织排放源共存，且无组织排放的有害物质的容许浓度是按慢性反应指标确定者。</w:t>
      </w:r>
    </w:p>
    <w:p>
      <w:pPr>
        <w:spacing w:line="360" w:lineRule="auto"/>
        <w:ind w:firstLine="480" w:firstLineChars="200"/>
        <w:rPr>
          <w:color w:val="auto"/>
          <w:sz w:val="24"/>
          <w:highlight w:val="none"/>
        </w:rPr>
      </w:pPr>
      <w:r>
        <w:rPr>
          <w:color w:val="auto"/>
          <w:sz w:val="24"/>
          <w:highlight w:val="none"/>
        </w:rPr>
        <w:t>本项目卫生防护距离计算参数及结果见表5.2-</w:t>
      </w:r>
      <w:r>
        <w:rPr>
          <w:rFonts w:hint="eastAsia"/>
          <w:color w:val="auto"/>
          <w:sz w:val="24"/>
          <w:highlight w:val="none"/>
        </w:rPr>
        <w:t>10</w:t>
      </w:r>
      <w:r>
        <w:rPr>
          <w:color w:val="auto"/>
          <w:sz w:val="24"/>
          <w:highlight w:val="none"/>
        </w:rPr>
        <w:t>。</w:t>
      </w:r>
    </w:p>
    <w:p>
      <w:pPr>
        <w:spacing w:line="360" w:lineRule="auto"/>
        <w:ind w:firstLine="482" w:firstLineChars="200"/>
        <w:jc w:val="center"/>
        <w:rPr>
          <w:b/>
          <w:bCs/>
          <w:color w:val="auto"/>
          <w:sz w:val="24"/>
          <w:highlight w:val="none"/>
        </w:rPr>
      </w:pPr>
      <w:r>
        <w:rPr>
          <w:b/>
          <w:bCs/>
          <w:color w:val="auto"/>
          <w:sz w:val="24"/>
          <w:highlight w:val="none"/>
        </w:rPr>
        <w:t>表5.2-1</w:t>
      </w:r>
      <w:r>
        <w:rPr>
          <w:rFonts w:hint="eastAsia"/>
          <w:b/>
          <w:bCs/>
          <w:color w:val="auto"/>
          <w:sz w:val="24"/>
          <w:highlight w:val="none"/>
        </w:rPr>
        <w:t>0</w:t>
      </w:r>
      <w:r>
        <w:rPr>
          <w:b/>
          <w:bCs/>
          <w:color w:val="auto"/>
          <w:sz w:val="24"/>
          <w:highlight w:val="none"/>
        </w:rPr>
        <w:t xml:space="preserve">  项目卫生防护距离计算参数及计算结果</w:t>
      </w:r>
    </w:p>
    <w:tbl>
      <w:tblPr>
        <w:tblStyle w:val="5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14"/>
        <w:gridCol w:w="799"/>
        <w:gridCol w:w="902"/>
        <w:gridCol w:w="586"/>
        <w:gridCol w:w="705"/>
        <w:gridCol w:w="586"/>
        <w:gridCol w:w="616"/>
        <w:gridCol w:w="793"/>
        <w:gridCol w:w="749"/>
        <w:gridCol w:w="787"/>
        <w:gridCol w:w="756"/>
        <w:gridCol w:w="7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0" w:hRule="atLeast"/>
          <w:jc w:val="center"/>
        </w:trPr>
        <w:tc>
          <w:tcPr>
            <w:tcW w:w="300" w:type="pct"/>
            <w:vMerge w:val="restart"/>
            <w:tcBorders>
              <w:top w:val="single" w:color="auto" w:sz="2" w:space="0"/>
              <w:left w:val="single" w:color="auto" w:sz="2" w:space="0"/>
              <w:right w:val="single" w:color="auto" w:sz="2" w:space="0"/>
            </w:tcBorders>
            <w:vAlign w:val="center"/>
          </w:tcPr>
          <w:p>
            <w:pPr>
              <w:widowControl/>
              <w:jc w:val="center"/>
              <w:rPr>
                <w:b/>
                <w:color w:val="auto"/>
                <w:sz w:val="18"/>
                <w:szCs w:val="18"/>
                <w:highlight w:val="none"/>
              </w:rPr>
            </w:pPr>
            <w:r>
              <w:rPr>
                <w:rFonts w:hint="eastAsia"/>
                <w:b/>
                <w:color w:val="auto"/>
                <w:sz w:val="18"/>
                <w:szCs w:val="18"/>
                <w:highlight w:val="none"/>
              </w:rPr>
              <w:t>无组织源</w:t>
            </w:r>
          </w:p>
        </w:tc>
        <w:tc>
          <w:tcPr>
            <w:tcW w:w="467" w:type="pct"/>
            <w:vMerge w:val="restart"/>
            <w:tcBorders>
              <w:top w:val="single" w:color="auto" w:sz="2" w:space="0"/>
              <w:left w:val="single" w:color="auto" w:sz="2" w:space="0"/>
              <w:right w:val="single" w:color="auto" w:sz="2" w:space="0"/>
            </w:tcBorders>
            <w:vAlign w:val="center"/>
          </w:tcPr>
          <w:p>
            <w:pPr>
              <w:widowControl/>
              <w:jc w:val="center"/>
              <w:rPr>
                <w:b/>
                <w:color w:val="auto"/>
                <w:sz w:val="18"/>
                <w:szCs w:val="18"/>
                <w:highlight w:val="none"/>
              </w:rPr>
            </w:pPr>
            <w:r>
              <w:rPr>
                <w:b/>
                <w:color w:val="auto"/>
                <w:sz w:val="18"/>
                <w:szCs w:val="18"/>
                <w:highlight w:val="none"/>
              </w:rPr>
              <w:t>污染物</w:t>
            </w:r>
          </w:p>
          <w:p>
            <w:pPr>
              <w:widowControl/>
              <w:jc w:val="center"/>
              <w:rPr>
                <w:b/>
                <w:color w:val="auto"/>
                <w:sz w:val="18"/>
                <w:szCs w:val="18"/>
                <w:highlight w:val="none"/>
              </w:rPr>
            </w:pPr>
            <w:r>
              <w:rPr>
                <w:b/>
                <w:color w:val="auto"/>
                <w:sz w:val="18"/>
                <w:szCs w:val="18"/>
                <w:highlight w:val="none"/>
              </w:rPr>
              <w:t>名称</w:t>
            </w:r>
          </w:p>
        </w:tc>
        <w:tc>
          <w:tcPr>
            <w:tcW w:w="526" w:type="pct"/>
            <w:vMerge w:val="restart"/>
            <w:tcBorders>
              <w:top w:val="single" w:color="auto" w:sz="2" w:space="0"/>
              <w:left w:val="single" w:color="auto" w:sz="2" w:space="0"/>
              <w:right w:val="single" w:color="auto" w:sz="2" w:space="0"/>
            </w:tcBorders>
            <w:vAlign w:val="center"/>
          </w:tcPr>
          <w:p>
            <w:pPr>
              <w:widowControl/>
              <w:jc w:val="center"/>
              <w:rPr>
                <w:b/>
                <w:color w:val="auto"/>
                <w:sz w:val="18"/>
                <w:szCs w:val="18"/>
                <w:highlight w:val="none"/>
              </w:rPr>
            </w:pPr>
            <w:r>
              <w:rPr>
                <w:b/>
                <w:color w:val="auto"/>
                <w:sz w:val="18"/>
                <w:szCs w:val="18"/>
                <w:highlight w:val="none"/>
              </w:rPr>
              <w:t>污染物排</w:t>
            </w:r>
          </w:p>
          <w:p>
            <w:pPr>
              <w:widowControl/>
              <w:jc w:val="center"/>
              <w:rPr>
                <w:b/>
                <w:color w:val="auto"/>
                <w:sz w:val="18"/>
                <w:szCs w:val="18"/>
                <w:highlight w:val="none"/>
              </w:rPr>
            </w:pPr>
            <w:r>
              <w:rPr>
                <w:b/>
                <w:color w:val="auto"/>
                <w:sz w:val="18"/>
                <w:szCs w:val="18"/>
                <w:highlight w:val="none"/>
              </w:rPr>
              <w:t>放量Qc（</w:t>
            </w:r>
            <w:r>
              <w:rPr>
                <w:b/>
                <w:color w:val="auto"/>
                <w:kern w:val="0"/>
                <w:sz w:val="18"/>
                <w:szCs w:val="18"/>
                <w:highlight w:val="none"/>
              </w:rPr>
              <w:t>kg/h）</w:t>
            </w:r>
          </w:p>
        </w:tc>
        <w:tc>
          <w:tcPr>
            <w:tcW w:w="1456" w:type="pct"/>
            <w:gridSpan w:val="4"/>
            <w:tcBorders>
              <w:top w:val="single" w:color="auto" w:sz="2" w:space="0"/>
              <w:left w:val="single" w:color="auto" w:sz="2" w:space="0"/>
              <w:bottom w:val="single" w:color="auto" w:sz="2" w:space="0"/>
              <w:right w:val="single" w:color="auto" w:sz="2" w:space="0"/>
            </w:tcBorders>
            <w:vAlign w:val="center"/>
          </w:tcPr>
          <w:p>
            <w:pPr>
              <w:widowControl/>
              <w:jc w:val="center"/>
              <w:rPr>
                <w:b/>
                <w:color w:val="auto"/>
                <w:sz w:val="18"/>
                <w:szCs w:val="18"/>
                <w:highlight w:val="none"/>
              </w:rPr>
            </w:pPr>
            <w:r>
              <w:rPr>
                <w:b/>
                <w:color w:val="auto"/>
                <w:sz w:val="18"/>
                <w:szCs w:val="18"/>
                <w:highlight w:val="none"/>
              </w:rPr>
              <w:t>计算系数</w:t>
            </w:r>
          </w:p>
        </w:tc>
        <w:tc>
          <w:tcPr>
            <w:tcW w:w="464" w:type="pct"/>
            <w:vMerge w:val="restart"/>
            <w:tcBorders>
              <w:top w:val="single" w:color="auto" w:sz="2" w:space="0"/>
              <w:left w:val="single" w:color="auto" w:sz="2" w:space="0"/>
              <w:right w:val="single" w:color="auto" w:sz="2" w:space="0"/>
            </w:tcBorders>
            <w:vAlign w:val="center"/>
          </w:tcPr>
          <w:p>
            <w:pPr>
              <w:widowControl/>
              <w:jc w:val="center"/>
              <w:rPr>
                <w:b/>
                <w:color w:val="auto"/>
                <w:kern w:val="0"/>
                <w:sz w:val="18"/>
                <w:szCs w:val="18"/>
                <w:highlight w:val="none"/>
              </w:rPr>
            </w:pPr>
            <w:r>
              <w:rPr>
                <w:b/>
                <w:color w:val="auto"/>
                <w:kern w:val="0"/>
                <w:sz w:val="18"/>
                <w:szCs w:val="18"/>
                <w:highlight w:val="none"/>
              </w:rPr>
              <w:t>S</w:t>
            </w:r>
          </w:p>
          <w:p>
            <w:pPr>
              <w:widowControl/>
              <w:jc w:val="center"/>
              <w:rPr>
                <w:b/>
                <w:color w:val="auto"/>
                <w:sz w:val="18"/>
                <w:szCs w:val="18"/>
                <w:highlight w:val="none"/>
              </w:rPr>
            </w:pPr>
            <w:r>
              <w:rPr>
                <w:b/>
                <w:color w:val="auto"/>
                <w:kern w:val="0"/>
                <w:sz w:val="18"/>
                <w:szCs w:val="18"/>
                <w:highlight w:val="none"/>
              </w:rPr>
              <w:t>（m</w:t>
            </w:r>
            <w:r>
              <w:rPr>
                <w:b/>
                <w:color w:val="auto"/>
                <w:kern w:val="0"/>
                <w:sz w:val="18"/>
                <w:szCs w:val="18"/>
                <w:highlight w:val="none"/>
                <w:vertAlign w:val="superscript"/>
              </w:rPr>
              <w:t>2</w:t>
            </w:r>
            <w:r>
              <w:rPr>
                <w:b/>
                <w:color w:val="auto"/>
                <w:kern w:val="0"/>
                <w:sz w:val="18"/>
                <w:szCs w:val="18"/>
                <w:highlight w:val="none"/>
              </w:rPr>
              <w:t>）</w:t>
            </w:r>
          </w:p>
        </w:tc>
        <w:tc>
          <w:tcPr>
            <w:tcW w:w="438" w:type="pct"/>
            <w:vMerge w:val="restart"/>
            <w:tcBorders>
              <w:top w:val="single" w:color="auto" w:sz="2" w:space="0"/>
              <w:left w:val="single" w:color="auto" w:sz="2" w:space="0"/>
              <w:right w:val="single" w:color="auto" w:sz="2" w:space="0"/>
            </w:tcBorders>
            <w:vAlign w:val="center"/>
          </w:tcPr>
          <w:p>
            <w:pPr>
              <w:widowControl/>
              <w:jc w:val="center"/>
              <w:rPr>
                <w:b/>
                <w:color w:val="auto"/>
                <w:kern w:val="0"/>
                <w:sz w:val="18"/>
                <w:szCs w:val="18"/>
                <w:highlight w:val="none"/>
                <w:vertAlign w:val="subscript"/>
              </w:rPr>
            </w:pPr>
            <w:r>
              <w:rPr>
                <w:b/>
                <w:color w:val="auto"/>
                <w:kern w:val="0"/>
                <w:sz w:val="18"/>
                <w:szCs w:val="18"/>
                <w:highlight w:val="none"/>
              </w:rPr>
              <w:t>C</w:t>
            </w:r>
            <w:r>
              <w:rPr>
                <w:b/>
                <w:color w:val="auto"/>
                <w:kern w:val="0"/>
                <w:sz w:val="18"/>
                <w:szCs w:val="18"/>
                <w:highlight w:val="none"/>
                <w:vertAlign w:val="subscript"/>
              </w:rPr>
              <w:t>m</w:t>
            </w:r>
          </w:p>
          <w:p>
            <w:pPr>
              <w:widowControl/>
              <w:jc w:val="center"/>
              <w:rPr>
                <w:b/>
                <w:color w:val="auto"/>
                <w:sz w:val="18"/>
                <w:szCs w:val="18"/>
                <w:highlight w:val="none"/>
              </w:rPr>
            </w:pPr>
            <w:r>
              <w:rPr>
                <w:b/>
                <w:color w:val="auto"/>
                <w:kern w:val="0"/>
                <w:sz w:val="18"/>
                <w:szCs w:val="18"/>
                <w:highlight w:val="none"/>
              </w:rPr>
              <w:t>（</w:t>
            </w:r>
            <w:r>
              <w:rPr>
                <w:b/>
                <w:color w:val="auto"/>
                <w:sz w:val="18"/>
                <w:szCs w:val="18"/>
                <w:highlight w:val="none"/>
              </w:rPr>
              <w:t>mg/m</w:t>
            </w:r>
            <w:r>
              <w:rPr>
                <w:b/>
                <w:color w:val="auto"/>
                <w:sz w:val="18"/>
                <w:szCs w:val="18"/>
                <w:highlight w:val="none"/>
                <w:vertAlign w:val="superscript"/>
              </w:rPr>
              <w:t>3</w:t>
            </w:r>
            <w:r>
              <w:rPr>
                <w:b/>
                <w:color w:val="auto"/>
                <w:kern w:val="0"/>
                <w:sz w:val="18"/>
                <w:szCs w:val="18"/>
                <w:highlight w:val="none"/>
              </w:rPr>
              <w:t>）</w:t>
            </w:r>
          </w:p>
        </w:tc>
        <w:tc>
          <w:tcPr>
            <w:tcW w:w="460" w:type="pct"/>
            <w:vMerge w:val="restart"/>
            <w:tcBorders>
              <w:top w:val="single" w:color="auto" w:sz="2" w:space="0"/>
              <w:left w:val="single" w:color="auto" w:sz="2" w:space="0"/>
              <w:right w:val="single" w:color="auto" w:sz="4" w:space="0"/>
            </w:tcBorders>
            <w:vAlign w:val="center"/>
          </w:tcPr>
          <w:p>
            <w:pPr>
              <w:widowControl/>
              <w:jc w:val="center"/>
              <w:rPr>
                <w:b/>
                <w:color w:val="auto"/>
                <w:sz w:val="18"/>
                <w:szCs w:val="18"/>
                <w:highlight w:val="none"/>
              </w:rPr>
            </w:pPr>
            <w:r>
              <w:rPr>
                <w:b/>
                <w:color w:val="auto"/>
                <w:sz w:val="18"/>
                <w:szCs w:val="18"/>
                <w:highlight w:val="none"/>
              </w:rPr>
              <w:t>近五年平均风速（m/s）</w:t>
            </w:r>
          </w:p>
        </w:tc>
        <w:tc>
          <w:tcPr>
            <w:tcW w:w="442" w:type="pct"/>
            <w:vMerge w:val="restart"/>
            <w:tcBorders>
              <w:top w:val="single" w:color="auto" w:sz="2" w:space="0"/>
              <w:left w:val="single" w:color="auto" w:sz="2" w:space="0"/>
              <w:right w:val="single" w:color="auto" w:sz="2" w:space="0"/>
            </w:tcBorders>
            <w:vAlign w:val="center"/>
          </w:tcPr>
          <w:p>
            <w:pPr>
              <w:widowControl/>
              <w:jc w:val="center"/>
              <w:rPr>
                <w:b/>
                <w:color w:val="auto"/>
                <w:sz w:val="18"/>
                <w:szCs w:val="18"/>
                <w:highlight w:val="none"/>
              </w:rPr>
            </w:pPr>
            <w:r>
              <w:rPr>
                <w:b/>
                <w:color w:val="auto"/>
                <w:kern w:val="0"/>
                <w:sz w:val="18"/>
                <w:szCs w:val="18"/>
                <w:highlight w:val="none"/>
              </w:rPr>
              <w:t>卫生防护距离计算值（m）</w:t>
            </w:r>
          </w:p>
        </w:tc>
        <w:tc>
          <w:tcPr>
            <w:tcW w:w="442" w:type="pct"/>
            <w:vMerge w:val="restart"/>
            <w:tcBorders>
              <w:top w:val="single" w:color="auto" w:sz="2" w:space="0"/>
              <w:left w:val="single" w:color="auto" w:sz="2" w:space="0"/>
              <w:right w:val="single" w:color="auto" w:sz="2" w:space="0"/>
            </w:tcBorders>
            <w:vAlign w:val="center"/>
          </w:tcPr>
          <w:p>
            <w:pPr>
              <w:widowControl/>
              <w:jc w:val="center"/>
              <w:rPr>
                <w:b/>
                <w:color w:val="auto"/>
                <w:sz w:val="18"/>
                <w:szCs w:val="18"/>
                <w:highlight w:val="none"/>
              </w:rPr>
            </w:pPr>
            <w:r>
              <w:rPr>
                <w:b/>
                <w:color w:val="auto"/>
                <w:kern w:val="0"/>
                <w:sz w:val="18"/>
                <w:szCs w:val="18"/>
                <w:highlight w:val="none"/>
              </w:rPr>
              <w:t>卫生防护距离设定（m）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9" w:hRule="atLeast"/>
          <w:jc w:val="center"/>
        </w:trPr>
        <w:tc>
          <w:tcPr>
            <w:tcW w:w="300" w:type="pct"/>
            <w:vMerge w:val="continue"/>
            <w:tcBorders>
              <w:left w:val="single" w:color="auto" w:sz="2" w:space="0"/>
              <w:bottom w:val="single" w:color="auto" w:sz="2" w:space="0"/>
              <w:right w:val="single" w:color="auto" w:sz="2" w:space="0"/>
            </w:tcBorders>
            <w:vAlign w:val="center"/>
          </w:tcPr>
          <w:p>
            <w:pPr>
              <w:widowControl/>
              <w:jc w:val="center"/>
              <w:rPr>
                <w:color w:val="auto"/>
                <w:sz w:val="18"/>
                <w:szCs w:val="18"/>
                <w:highlight w:val="none"/>
              </w:rPr>
            </w:pPr>
          </w:p>
        </w:tc>
        <w:tc>
          <w:tcPr>
            <w:tcW w:w="467" w:type="pct"/>
            <w:vMerge w:val="continue"/>
            <w:tcBorders>
              <w:left w:val="single" w:color="auto" w:sz="2" w:space="0"/>
              <w:bottom w:val="single" w:color="auto" w:sz="2" w:space="0"/>
              <w:right w:val="single" w:color="auto" w:sz="2" w:space="0"/>
            </w:tcBorders>
            <w:vAlign w:val="center"/>
          </w:tcPr>
          <w:p>
            <w:pPr>
              <w:widowControl/>
              <w:jc w:val="center"/>
              <w:rPr>
                <w:color w:val="auto"/>
                <w:sz w:val="18"/>
                <w:szCs w:val="18"/>
                <w:highlight w:val="none"/>
              </w:rPr>
            </w:pPr>
          </w:p>
        </w:tc>
        <w:tc>
          <w:tcPr>
            <w:tcW w:w="526" w:type="pct"/>
            <w:vMerge w:val="continue"/>
            <w:tcBorders>
              <w:left w:val="single" w:color="auto" w:sz="2" w:space="0"/>
              <w:bottom w:val="single" w:color="auto" w:sz="2" w:space="0"/>
              <w:right w:val="single" w:color="auto" w:sz="2" w:space="0"/>
            </w:tcBorders>
            <w:vAlign w:val="center"/>
          </w:tcPr>
          <w:p>
            <w:pPr>
              <w:widowControl/>
              <w:jc w:val="center"/>
              <w:rPr>
                <w:color w:val="auto"/>
                <w:sz w:val="18"/>
                <w:szCs w:val="18"/>
                <w:highlight w:val="none"/>
              </w:rPr>
            </w:pPr>
          </w:p>
        </w:tc>
        <w:tc>
          <w:tcPr>
            <w:tcW w:w="342" w:type="pct"/>
            <w:tcBorders>
              <w:top w:val="single" w:color="auto" w:sz="2" w:space="0"/>
              <w:left w:val="single" w:color="auto" w:sz="2" w:space="0"/>
              <w:bottom w:val="single" w:color="auto" w:sz="2" w:space="0"/>
              <w:right w:val="single" w:color="auto" w:sz="2" w:space="0"/>
            </w:tcBorders>
            <w:vAlign w:val="center"/>
          </w:tcPr>
          <w:p>
            <w:pPr>
              <w:widowControl/>
              <w:jc w:val="center"/>
              <w:rPr>
                <w:b/>
                <w:color w:val="auto"/>
                <w:sz w:val="18"/>
                <w:szCs w:val="18"/>
                <w:highlight w:val="none"/>
              </w:rPr>
            </w:pPr>
            <w:r>
              <w:rPr>
                <w:b/>
                <w:color w:val="auto"/>
                <w:sz w:val="18"/>
                <w:szCs w:val="18"/>
                <w:highlight w:val="none"/>
              </w:rPr>
              <w:t>A</w:t>
            </w:r>
          </w:p>
        </w:tc>
        <w:tc>
          <w:tcPr>
            <w:tcW w:w="412" w:type="pct"/>
            <w:tcBorders>
              <w:left w:val="single" w:color="auto" w:sz="2" w:space="0"/>
              <w:bottom w:val="single" w:color="auto" w:sz="2" w:space="0"/>
              <w:right w:val="single" w:color="auto" w:sz="4" w:space="0"/>
            </w:tcBorders>
            <w:vAlign w:val="center"/>
          </w:tcPr>
          <w:p>
            <w:pPr>
              <w:widowControl/>
              <w:jc w:val="center"/>
              <w:rPr>
                <w:b/>
                <w:color w:val="auto"/>
                <w:sz w:val="18"/>
                <w:szCs w:val="18"/>
                <w:highlight w:val="none"/>
              </w:rPr>
            </w:pPr>
            <w:r>
              <w:rPr>
                <w:b/>
                <w:color w:val="auto"/>
                <w:sz w:val="18"/>
                <w:szCs w:val="18"/>
                <w:highlight w:val="none"/>
              </w:rPr>
              <w:t>B</w:t>
            </w:r>
          </w:p>
        </w:tc>
        <w:tc>
          <w:tcPr>
            <w:tcW w:w="342" w:type="pct"/>
            <w:tcBorders>
              <w:left w:val="single" w:color="auto" w:sz="2" w:space="0"/>
              <w:bottom w:val="single" w:color="auto" w:sz="2" w:space="0"/>
              <w:right w:val="single" w:color="auto" w:sz="2" w:space="0"/>
            </w:tcBorders>
            <w:vAlign w:val="center"/>
          </w:tcPr>
          <w:p>
            <w:pPr>
              <w:widowControl/>
              <w:jc w:val="center"/>
              <w:rPr>
                <w:b/>
                <w:color w:val="auto"/>
                <w:sz w:val="18"/>
                <w:szCs w:val="18"/>
                <w:highlight w:val="none"/>
              </w:rPr>
            </w:pPr>
            <w:r>
              <w:rPr>
                <w:b/>
                <w:color w:val="auto"/>
                <w:sz w:val="18"/>
                <w:szCs w:val="18"/>
                <w:highlight w:val="none"/>
              </w:rPr>
              <w:t>C</w:t>
            </w:r>
          </w:p>
        </w:tc>
        <w:tc>
          <w:tcPr>
            <w:tcW w:w="359" w:type="pct"/>
            <w:tcBorders>
              <w:left w:val="single" w:color="auto" w:sz="2" w:space="0"/>
              <w:bottom w:val="single" w:color="auto" w:sz="2" w:space="0"/>
              <w:right w:val="single" w:color="auto" w:sz="2" w:space="0"/>
            </w:tcBorders>
            <w:vAlign w:val="center"/>
          </w:tcPr>
          <w:p>
            <w:pPr>
              <w:widowControl/>
              <w:jc w:val="center"/>
              <w:rPr>
                <w:b/>
                <w:color w:val="auto"/>
                <w:sz w:val="18"/>
                <w:szCs w:val="18"/>
                <w:highlight w:val="none"/>
              </w:rPr>
            </w:pPr>
            <w:r>
              <w:rPr>
                <w:b/>
                <w:color w:val="auto"/>
                <w:sz w:val="18"/>
                <w:szCs w:val="18"/>
                <w:highlight w:val="none"/>
              </w:rPr>
              <w:t>D</w:t>
            </w:r>
          </w:p>
        </w:tc>
        <w:tc>
          <w:tcPr>
            <w:tcW w:w="464" w:type="pct"/>
            <w:vMerge w:val="continue"/>
            <w:tcBorders>
              <w:left w:val="single" w:color="auto" w:sz="2" w:space="0"/>
              <w:bottom w:val="single" w:color="auto" w:sz="2" w:space="0"/>
              <w:right w:val="single" w:color="auto" w:sz="2" w:space="0"/>
            </w:tcBorders>
          </w:tcPr>
          <w:p>
            <w:pPr>
              <w:widowControl/>
              <w:jc w:val="center"/>
              <w:rPr>
                <w:color w:val="auto"/>
                <w:sz w:val="18"/>
                <w:szCs w:val="18"/>
                <w:highlight w:val="none"/>
              </w:rPr>
            </w:pPr>
          </w:p>
        </w:tc>
        <w:tc>
          <w:tcPr>
            <w:tcW w:w="438" w:type="pct"/>
            <w:vMerge w:val="continue"/>
            <w:tcBorders>
              <w:left w:val="single" w:color="auto" w:sz="2" w:space="0"/>
              <w:bottom w:val="single" w:color="auto" w:sz="2" w:space="0"/>
              <w:right w:val="single" w:color="auto" w:sz="2" w:space="0"/>
            </w:tcBorders>
          </w:tcPr>
          <w:p>
            <w:pPr>
              <w:widowControl/>
              <w:jc w:val="center"/>
              <w:rPr>
                <w:color w:val="auto"/>
                <w:sz w:val="18"/>
                <w:szCs w:val="18"/>
                <w:highlight w:val="none"/>
              </w:rPr>
            </w:pPr>
          </w:p>
        </w:tc>
        <w:tc>
          <w:tcPr>
            <w:tcW w:w="460" w:type="pct"/>
            <w:vMerge w:val="continue"/>
            <w:tcBorders>
              <w:left w:val="single" w:color="auto" w:sz="2" w:space="0"/>
              <w:bottom w:val="single" w:color="auto" w:sz="2" w:space="0"/>
              <w:right w:val="single" w:color="auto" w:sz="4" w:space="0"/>
            </w:tcBorders>
            <w:vAlign w:val="center"/>
          </w:tcPr>
          <w:p>
            <w:pPr>
              <w:widowControl/>
              <w:jc w:val="center"/>
              <w:rPr>
                <w:color w:val="auto"/>
                <w:sz w:val="18"/>
                <w:szCs w:val="18"/>
                <w:highlight w:val="none"/>
              </w:rPr>
            </w:pPr>
          </w:p>
        </w:tc>
        <w:tc>
          <w:tcPr>
            <w:tcW w:w="442" w:type="pct"/>
            <w:vMerge w:val="continue"/>
            <w:tcBorders>
              <w:left w:val="single" w:color="auto" w:sz="2" w:space="0"/>
              <w:bottom w:val="single" w:color="auto" w:sz="2" w:space="0"/>
              <w:right w:val="single" w:color="auto" w:sz="2" w:space="0"/>
            </w:tcBorders>
            <w:vAlign w:val="center"/>
          </w:tcPr>
          <w:p>
            <w:pPr>
              <w:widowControl/>
              <w:jc w:val="center"/>
              <w:rPr>
                <w:color w:val="auto"/>
                <w:sz w:val="18"/>
                <w:szCs w:val="18"/>
                <w:highlight w:val="none"/>
              </w:rPr>
            </w:pPr>
          </w:p>
        </w:tc>
        <w:tc>
          <w:tcPr>
            <w:tcW w:w="442" w:type="pct"/>
            <w:vMerge w:val="continue"/>
            <w:tcBorders>
              <w:left w:val="single" w:color="auto" w:sz="2" w:space="0"/>
              <w:bottom w:val="single" w:color="auto" w:sz="2" w:space="0"/>
              <w:right w:val="single" w:color="auto" w:sz="2" w:space="0"/>
            </w:tcBorders>
            <w:vAlign w:val="center"/>
          </w:tcPr>
          <w:p>
            <w:pPr>
              <w:widowControl/>
              <w:jc w:val="center"/>
              <w:rPr>
                <w:color w:val="auto"/>
                <w:sz w:val="18"/>
                <w:szCs w:val="18"/>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51" w:hRule="atLeast"/>
          <w:jc w:val="center"/>
        </w:trPr>
        <w:tc>
          <w:tcPr>
            <w:tcW w:w="300" w:type="pct"/>
            <w:vMerge w:val="restart"/>
            <w:tcBorders>
              <w:top w:val="single" w:color="auto" w:sz="2" w:space="0"/>
              <w:left w:val="single" w:color="auto" w:sz="2" w:space="0"/>
              <w:right w:val="single" w:color="auto" w:sz="2" w:space="0"/>
            </w:tcBorders>
            <w:vAlign w:val="center"/>
          </w:tcPr>
          <w:p>
            <w:pPr>
              <w:widowControl/>
              <w:jc w:val="center"/>
              <w:rPr>
                <w:color w:val="auto"/>
                <w:sz w:val="18"/>
                <w:szCs w:val="18"/>
                <w:highlight w:val="none"/>
              </w:rPr>
            </w:pPr>
            <w:r>
              <w:rPr>
                <w:rFonts w:hint="eastAsia"/>
                <w:color w:val="auto"/>
                <w:sz w:val="18"/>
                <w:szCs w:val="18"/>
                <w:highlight w:val="none"/>
              </w:rPr>
              <w:t>生产车间</w:t>
            </w:r>
          </w:p>
        </w:tc>
        <w:tc>
          <w:tcPr>
            <w:tcW w:w="467" w:type="pct"/>
            <w:tcBorders>
              <w:top w:val="single" w:color="auto" w:sz="2" w:space="0"/>
              <w:left w:val="single" w:color="auto" w:sz="2" w:space="0"/>
              <w:bottom w:val="single" w:color="auto" w:sz="2" w:space="0"/>
              <w:right w:val="single" w:color="auto" w:sz="2" w:space="0"/>
            </w:tcBorders>
            <w:vAlign w:val="center"/>
          </w:tcPr>
          <w:p>
            <w:pPr>
              <w:widowControl/>
              <w:jc w:val="center"/>
              <w:rPr>
                <w:color w:val="auto"/>
                <w:sz w:val="18"/>
                <w:szCs w:val="18"/>
                <w:highlight w:val="none"/>
              </w:rPr>
            </w:pPr>
            <w:r>
              <w:rPr>
                <w:color w:val="auto"/>
                <w:sz w:val="18"/>
                <w:szCs w:val="18"/>
                <w:highlight w:val="none"/>
              </w:rPr>
              <w:t>非甲烷总烃</w:t>
            </w:r>
          </w:p>
        </w:tc>
        <w:tc>
          <w:tcPr>
            <w:tcW w:w="526" w:type="pct"/>
            <w:tcBorders>
              <w:top w:val="single" w:color="auto" w:sz="2" w:space="0"/>
              <w:left w:val="single" w:color="auto" w:sz="2" w:space="0"/>
              <w:bottom w:val="single" w:color="auto" w:sz="2" w:space="0"/>
              <w:right w:val="single" w:color="auto" w:sz="2" w:space="0"/>
            </w:tcBorders>
            <w:vAlign w:val="center"/>
          </w:tcPr>
          <w:p>
            <w:pPr>
              <w:widowControl/>
              <w:jc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rPr>
              <w:t>0.422</w:t>
            </w:r>
          </w:p>
        </w:tc>
        <w:tc>
          <w:tcPr>
            <w:tcW w:w="342" w:type="pct"/>
            <w:tcBorders>
              <w:top w:val="single" w:color="auto" w:sz="2" w:space="0"/>
              <w:left w:val="single" w:color="auto" w:sz="2" w:space="0"/>
              <w:bottom w:val="single" w:color="auto" w:sz="2" w:space="0"/>
              <w:right w:val="single" w:color="auto" w:sz="2"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470</w:t>
            </w:r>
          </w:p>
        </w:tc>
        <w:tc>
          <w:tcPr>
            <w:tcW w:w="412" w:type="pct"/>
            <w:tcBorders>
              <w:top w:val="single" w:color="auto" w:sz="2" w:space="0"/>
              <w:left w:val="single" w:color="auto" w:sz="2" w:space="0"/>
              <w:bottom w:val="single" w:color="auto" w:sz="2" w:space="0"/>
              <w:right w:val="single" w:color="auto" w:sz="4" w:space="0"/>
            </w:tcBorders>
            <w:vAlign w:val="center"/>
          </w:tcPr>
          <w:p>
            <w:pPr>
              <w:jc w:val="center"/>
              <w:rPr>
                <w:color w:val="auto"/>
                <w:sz w:val="18"/>
                <w:szCs w:val="18"/>
                <w:highlight w:val="none"/>
              </w:rPr>
            </w:pPr>
            <w:r>
              <w:rPr>
                <w:color w:val="auto"/>
                <w:sz w:val="18"/>
                <w:szCs w:val="18"/>
                <w:highlight w:val="none"/>
              </w:rPr>
              <w:t>0.021</w:t>
            </w:r>
          </w:p>
        </w:tc>
        <w:tc>
          <w:tcPr>
            <w:tcW w:w="342" w:type="pct"/>
            <w:tcBorders>
              <w:top w:val="single" w:color="auto" w:sz="2" w:space="0"/>
              <w:left w:val="single" w:color="auto" w:sz="2" w:space="0"/>
              <w:bottom w:val="single" w:color="auto" w:sz="2" w:space="0"/>
              <w:right w:val="single" w:color="auto" w:sz="2" w:space="0"/>
            </w:tcBorders>
            <w:vAlign w:val="center"/>
          </w:tcPr>
          <w:p>
            <w:pPr>
              <w:jc w:val="center"/>
              <w:rPr>
                <w:color w:val="auto"/>
                <w:sz w:val="18"/>
                <w:szCs w:val="18"/>
                <w:highlight w:val="none"/>
              </w:rPr>
            </w:pPr>
            <w:r>
              <w:rPr>
                <w:color w:val="auto"/>
                <w:sz w:val="18"/>
                <w:szCs w:val="18"/>
                <w:highlight w:val="none"/>
              </w:rPr>
              <w:t>1.85</w:t>
            </w:r>
          </w:p>
        </w:tc>
        <w:tc>
          <w:tcPr>
            <w:tcW w:w="359" w:type="pct"/>
            <w:tcBorders>
              <w:top w:val="single" w:color="auto" w:sz="2" w:space="0"/>
              <w:left w:val="single" w:color="auto" w:sz="2" w:space="0"/>
              <w:bottom w:val="single" w:color="auto" w:sz="2" w:space="0"/>
              <w:right w:val="single" w:color="auto" w:sz="2" w:space="0"/>
            </w:tcBorders>
            <w:vAlign w:val="center"/>
          </w:tcPr>
          <w:p>
            <w:pPr>
              <w:jc w:val="center"/>
              <w:rPr>
                <w:color w:val="auto"/>
                <w:sz w:val="18"/>
                <w:szCs w:val="18"/>
                <w:highlight w:val="none"/>
              </w:rPr>
            </w:pPr>
            <w:r>
              <w:rPr>
                <w:color w:val="auto"/>
                <w:sz w:val="18"/>
                <w:szCs w:val="18"/>
                <w:highlight w:val="none"/>
              </w:rPr>
              <w:t>0.84</w:t>
            </w:r>
          </w:p>
        </w:tc>
        <w:tc>
          <w:tcPr>
            <w:tcW w:w="464" w:type="pct"/>
            <w:tcBorders>
              <w:top w:val="single" w:color="auto" w:sz="2" w:space="0"/>
              <w:left w:val="single" w:color="auto" w:sz="2" w:space="0"/>
              <w:bottom w:val="single" w:color="auto" w:sz="2" w:space="0"/>
              <w:right w:val="single" w:color="auto" w:sz="2" w:space="0"/>
            </w:tcBorders>
            <w:vAlign w:val="center"/>
          </w:tcPr>
          <w:p>
            <w:pPr>
              <w:widowControl/>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500</w:t>
            </w:r>
          </w:p>
        </w:tc>
        <w:tc>
          <w:tcPr>
            <w:tcW w:w="438" w:type="pct"/>
            <w:tcBorders>
              <w:top w:val="single" w:color="auto" w:sz="2" w:space="0"/>
              <w:left w:val="single" w:color="auto" w:sz="2" w:space="0"/>
              <w:bottom w:val="single" w:color="auto" w:sz="2" w:space="0"/>
              <w:right w:val="single" w:color="auto" w:sz="2" w:space="0"/>
            </w:tcBorders>
            <w:vAlign w:val="center"/>
          </w:tcPr>
          <w:p>
            <w:pPr>
              <w:widowControl/>
              <w:jc w:val="center"/>
              <w:rPr>
                <w:color w:val="auto"/>
                <w:sz w:val="18"/>
                <w:szCs w:val="18"/>
                <w:highlight w:val="none"/>
              </w:rPr>
            </w:pPr>
            <w:r>
              <w:rPr>
                <w:color w:val="auto"/>
                <w:sz w:val="18"/>
                <w:szCs w:val="18"/>
                <w:highlight w:val="none"/>
              </w:rPr>
              <w:t>4</w:t>
            </w:r>
          </w:p>
        </w:tc>
        <w:tc>
          <w:tcPr>
            <w:tcW w:w="460" w:type="pct"/>
            <w:tcBorders>
              <w:top w:val="single" w:color="auto" w:sz="2" w:space="0"/>
              <w:left w:val="single" w:color="auto" w:sz="2" w:space="0"/>
              <w:bottom w:val="single" w:color="auto" w:sz="2" w:space="0"/>
              <w:right w:val="single" w:color="auto" w:sz="4" w:space="0"/>
            </w:tcBorders>
            <w:vAlign w:val="center"/>
          </w:tcPr>
          <w:p>
            <w:pPr>
              <w:widowControl/>
              <w:jc w:val="center"/>
              <w:rPr>
                <w:color w:val="auto"/>
                <w:sz w:val="18"/>
                <w:szCs w:val="18"/>
                <w:highlight w:val="none"/>
              </w:rPr>
            </w:pPr>
            <w:r>
              <w:rPr>
                <w:color w:val="auto"/>
                <w:sz w:val="18"/>
                <w:szCs w:val="18"/>
                <w:highlight w:val="none"/>
              </w:rPr>
              <w:t>3</w:t>
            </w:r>
          </w:p>
        </w:tc>
        <w:tc>
          <w:tcPr>
            <w:tcW w:w="442" w:type="pct"/>
            <w:tcBorders>
              <w:top w:val="single" w:color="auto" w:sz="2" w:space="0"/>
              <w:left w:val="single" w:color="auto" w:sz="2" w:space="0"/>
              <w:bottom w:val="single" w:color="auto" w:sz="2" w:space="0"/>
              <w:right w:val="single" w:color="auto" w:sz="2" w:space="0"/>
            </w:tcBorders>
            <w:vAlign w:val="center"/>
          </w:tcPr>
          <w:p>
            <w:pPr>
              <w:widowControl/>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11.328</w:t>
            </w:r>
          </w:p>
        </w:tc>
        <w:tc>
          <w:tcPr>
            <w:tcW w:w="442" w:type="pct"/>
            <w:tcBorders>
              <w:top w:val="single" w:color="auto" w:sz="2" w:space="0"/>
              <w:left w:val="single" w:color="auto" w:sz="2" w:space="0"/>
              <w:bottom w:val="single" w:color="auto" w:sz="2" w:space="0"/>
              <w:right w:val="single" w:color="auto" w:sz="2" w:space="0"/>
            </w:tcBorders>
            <w:vAlign w:val="center"/>
          </w:tcPr>
          <w:p>
            <w:pPr>
              <w:widowControl/>
              <w:jc w:val="center"/>
              <w:rPr>
                <w:color w:val="auto"/>
                <w:sz w:val="18"/>
                <w:szCs w:val="18"/>
                <w:highlight w:val="none"/>
              </w:rPr>
            </w:pPr>
            <w:r>
              <w:rPr>
                <w:color w:val="auto"/>
                <w:sz w:val="18"/>
                <w:szCs w:val="18"/>
                <w:highlight w:val="none"/>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51" w:hRule="atLeast"/>
          <w:jc w:val="center"/>
        </w:trPr>
        <w:tc>
          <w:tcPr>
            <w:tcW w:w="300" w:type="pct"/>
            <w:vMerge w:val="continue"/>
            <w:tcBorders>
              <w:left w:val="single" w:color="auto" w:sz="2" w:space="0"/>
              <w:bottom w:val="single" w:color="auto" w:sz="2" w:space="0"/>
              <w:right w:val="single" w:color="auto" w:sz="2" w:space="0"/>
            </w:tcBorders>
            <w:vAlign w:val="center"/>
          </w:tcPr>
          <w:p>
            <w:pPr>
              <w:widowControl/>
              <w:jc w:val="center"/>
              <w:rPr>
                <w:color w:val="auto"/>
                <w:sz w:val="18"/>
                <w:szCs w:val="18"/>
                <w:highlight w:val="none"/>
              </w:rPr>
            </w:pPr>
          </w:p>
        </w:tc>
        <w:tc>
          <w:tcPr>
            <w:tcW w:w="467" w:type="pct"/>
            <w:tcBorders>
              <w:top w:val="single" w:color="auto" w:sz="2" w:space="0"/>
              <w:left w:val="single" w:color="auto" w:sz="2" w:space="0"/>
              <w:bottom w:val="single" w:color="auto" w:sz="2" w:space="0"/>
              <w:right w:val="single" w:color="auto" w:sz="2" w:space="0"/>
            </w:tcBorders>
            <w:vAlign w:val="center"/>
          </w:tcPr>
          <w:p>
            <w:pPr>
              <w:widowControl/>
              <w:jc w:val="center"/>
              <w:rPr>
                <w:color w:val="auto"/>
                <w:sz w:val="18"/>
                <w:szCs w:val="18"/>
                <w:highlight w:val="none"/>
              </w:rPr>
            </w:pPr>
            <w:r>
              <w:rPr>
                <w:rFonts w:hint="eastAsia"/>
                <w:color w:val="auto"/>
                <w:sz w:val="18"/>
                <w:szCs w:val="18"/>
                <w:highlight w:val="none"/>
              </w:rPr>
              <w:t>颗粒物</w:t>
            </w:r>
          </w:p>
        </w:tc>
        <w:tc>
          <w:tcPr>
            <w:tcW w:w="526" w:type="pct"/>
            <w:tcBorders>
              <w:top w:val="single" w:color="auto" w:sz="2" w:space="0"/>
              <w:left w:val="single" w:color="auto" w:sz="2" w:space="0"/>
              <w:bottom w:val="single" w:color="auto" w:sz="2" w:space="0"/>
              <w:right w:val="single" w:color="auto" w:sz="2" w:space="0"/>
            </w:tcBorders>
            <w:vAlign w:val="center"/>
          </w:tcPr>
          <w:p>
            <w:pPr>
              <w:widowControl/>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0.1518</w:t>
            </w:r>
          </w:p>
        </w:tc>
        <w:tc>
          <w:tcPr>
            <w:tcW w:w="342" w:type="pct"/>
            <w:tcBorders>
              <w:top w:val="single" w:color="auto" w:sz="2" w:space="0"/>
              <w:left w:val="single" w:color="auto" w:sz="2" w:space="0"/>
              <w:right w:val="single" w:color="auto" w:sz="2"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470</w:t>
            </w:r>
          </w:p>
        </w:tc>
        <w:tc>
          <w:tcPr>
            <w:tcW w:w="412" w:type="pct"/>
            <w:tcBorders>
              <w:top w:val="single" w:color="auto" w:sz="2" w:space="0"/>
              <w:left w:val="single" w:color="auto" w:sz="2" w:space="0"/>
              <w:right w:val="single" w:color="auto" w:sz="4" w:space="0"/>
            </w:tcBorders>
            <w:vAlign w:val="center"/>
          </w:tcPr>
          <w:p>
            <w:pPr>
              <w:jc w:val="center"/>
              <w:rPr>
                <w:color w:val="auto"/>
                <w:sz w:val="18"/>
                <w:szCs w:val="18"/>
                <w:highlight w:val="none"/>
              </w:rPr>
            </w:pPr>
            <w:r>
              <w:rPr>
                <w:color w:val="auto"/>
                <w:sz w:val="18"/>
                <w:szCs w:val="18"/>
                <w:highlight w:val="none"/>
              </w:rPr>
              <w:t>0.021</w:t>
            </w:r>
          </w:p>
        </w:tc>
        <w:tc>
          <w:tcPr>
            <w:tcW w:w="342" w:type="pct"/>
            <w:tcBorders>
              <w:top w:val="single" w:color="auto" w:sz="2" w:space="0"/>
              <w:left w:val="single" w:color="auto" w:sz="2" w:space="0"/>
              <w:right w:val="single" w:color="auto" w:sz="2" w:space="0"/>
            </w:tcBorders>
            <w:vAlign w:val="center"/>
          </w:tcPr>
          <w:p>
            <w:pPr>
              <w:jc w:val="center"/>
              <w:rPr>
                <w:color w:val="auto"/>
                <w:sz w:val="18"/>
                <w:szCs w:val="18"/>
                <w:highlight w:val="none"/>
              </w:rPr>
            </w:pPr>
            <w:r>
              <w:rPr>
                <w:color w:val="auto"/>
                <w:sz w:val="18"/>
                <w:szCs w:val="18"/>
                <w:highlight w:val="none"/>
              </w:rPr>
              <w:t>1.85</w:t>
            </w:r>
          </w:p>
        </w:tc>
        <w:tc>
          <w:tcPr>
            <w:tcW w:w="359" w:type="pct"/>
            <w:tcBorders>
              <w:top w:val="single" w:color="auto" w:sz="2" w:space="0"/>
              <w:left w:val="single" w:color="auto" w:sz="2" w:space="0"/>
              <w:right w:val="single" w:color="auto" w:sz="2" w:space="0"/>
            </w:tcBorders>
            <w:vAlign w:val="center"/>
          </w:tcPr>
          <w:p>
            <w:pPr>
              <w:jc w:val="center"/>
              <w:rPr>
                <w:color w:val="auto"/>
                <w:sz w:val="18"/>
                <w:szCs w:val="18"/>
                <w:highlight w:val="none"/>
              </w:rPr>
            </w:pPr>
            <w:r>
              <w:rPr>
                <w:color w:val="auto"/>
                <w:sz w:val="18"/>
                <w:szCs w:val="18"/>
                <w:highlight w:val="none"/>
              </w:rPr>
              <w:t>0.84</w:t>
            </w:r>
          </w:p>
        </w:tc>
        <w:tc>
          <w:tcPr>
            <w:tcW w:w="464" w:type="pct"/>
            <w:tcBorders>
              <w:top w:val="single" w:color="auto" w:sz="2" w:space="0"/>
              <w:left w:val="single" w:color="auto" w:sz="2" w:space="0"/>
              <w:right w:val="single" w:color="auto" w:sz="2" w:space="0"/>
            </w:tcBorders>
            <w:vAlign w:val="center"/>
          </w:tcPr>
          <w:p>
            <w:pPr>
              <w:widowControl/>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500</w:t>
            </w:r>
          </w:p>
        </w:tc>
        <w:tc>
          <w:tcPr>
            <w:tcW w:w="438" w:type="pct"/>
            <w:tcBorders>
              <w:top w:val="single" w:color="auto" w:sz="2" w:space="0"/>
              <w:left w:val="single" w:color="auto" w:sz="2" w:space="0"/>
              <w:right w:val="single" w:color="auto" w:sz="2" w:space="0"/>
            </w:tcBorders>
            <w:vAlign w:val="center"/>
          </w:tcPr>
          <w:p>
            <w:pPr>
              <w:widowControl/>
              <w:jc w:val="center"/>
              <w:rPr>
                <w:color w:val="auto"/>
                <w:sz w:val="18"/>
                <w:szCs w:val="18"/>
                <w:highlight w:val="none"/>
              </w:rPr>
            </w:pPr>
            <w:r>
              <w:rPr>
                <w:rFonts w:hint="eastAsia"/>
                <w:color w:val="auto"/>
                <w:sz w:val="18"/>
                <w:szCs w:val="18"/>
                <w:highlight w:val="none"/>
              </w:rPr>
              <w:t>0.9</w:t>
            </w:r>
          </w:p>
        </w:tc>
        <w:tc>
          <w:tcPr>
            <w:tcW w:w="460" w:type="pct"/>
            <w:tcBorders>
              <w:top w:val="single" w:color="auto" w:sz="2" w:space="0"/>
              <w:left w:val="single" w:color="auto" w:sz="2" w:space="0"/>
              <w:right w:val="single" w:color="auto" w:sz="4" w:space="0"/>
            </w:tcBorders>
            <w:vAlign w:val="center"/>
          </w:tcPr>
          <w:p>
            <w:pPr>
              <w:widowControl/>
              <w:jc w:val="center"/>
              <w:rPr>
                <w:color w:val="auto"/>
                <w:sz w:val="18"/>
                <w:szCs w:val="18"/>
                <w:highlight w:val="none"/>
              </w:rPr>
            </w:pPr>
            <w:r>
              <w:rPr>
                <w:rFonts w:hint="eastAsia"/>
                <w:color w:val="auto"/>
                <w:sz w:val="18"/>
                <w:szCs w:val="18"/>
                <w:highlight w:val="none"/>
              </w:rPr>
              <w:t>3</w:t>
            </w:r>
          </w:p>
        </w:tc>
        <w:tc>
          <w:tcPr>
            <w:tcW w:w="442" w:type="pct"/>
            <w:tcBorders>
              <w:top w:val="single" w:color="auto" w:sz="2" w:space="0"/>
              <w:left w:val="single" w:color="auto" w:sz="2" w:space="0"/>
              <w:bottom w:val="single" w:color="auto" w:sz="2" w:space="0"/>
              <w:right w:val="single" w:color="auto" w:sz="2" w:space="0"/>
            </w:tcBorders>
            <w:vAlign w:val="center"/>
          </w:tcPr>
          <w:p>
            <w:pPr>
              <w:widowControl/>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19.0</w:t>
            </w:r>
          </w:p>
        </w:tc>
        <w:tc>
          <w:tcPr>
            <w:tcW w:w="442" w:type="pct"/>
            <w:tcBorders>
              <w:top w:val="single" w:color="auto" w:sz="2" w:space="0"/>
              <w:left w:val="single" w:color="auto" w:sz="2" w:space="0"/>
              <w:bottom w:val="single" w:color="auto" w:sz="2" w:space="0"/>
              <w:right w:val="single" w:color="auto" w:sz="2" w:space="0"/>
            </w:tcBorders>
            <w:vAlign w:val="center"/>
          </w:tcPr>
          <w:p>
            <w:pPr>
              <w:widowControl/>
              <w:jc w:val="center"/>
              <w:rPr>
                <w:color w:val="auto"/>
                <w:sz w:val="18"/>
                <w:szCs w:val="18"/>
                <w:highlight w:val="none"/>
              </w:rPr>
            </w:pPr>
            <w:r>
              <w:rPr>
                <w:rFonts w:hint="eastAsia"/>
                <w:color w:val="auto"/>
                <w:sz w:val="18"/>
                <w:szCs w:val="18"/>
                <w:highlight w:val="none"/>
              </w:rPr>
              <w:t>50</w:t>
            </w:r>
          </w:p>
        </w:tc>
      </w:tr>
    </w:tbl>
    <w:p>
      <w:pPr>
        <w:spacing w:line="360" w:lineRule="auto"/>
        <w:ind w:firstLine="496" w:firstLineChars="200"/>
        <w:rPr>
          <w:color w:val="auto"/>
          <w:spacing w:val="4"/>
          <w:sz w:val="24"/>
          <w:highlight w:val="none"/>
        </w:rPr>
      </w:pPr>
    </w:p>
    <w:p>
      <w:pPr>
        <w:spacing w:line="360" w:lineRule="auto"/>
        <w:ind w:firstLine="496" w:firstLineChars="200"/>
        <w:rPr>
          <w:rFonts w:hint="default"/>
          <w:color w:val="auto"/>
          <w:spacing w:val="4"/>
          <w:sz w:val="24"/>
          <w:highlight w:val="none"/>
          <w:lang w:val="en-US" w:eastAsia="zh-CN"/>
        </w:rPr>
      </w:pPr>
      <w:r>
        <w:rPr>
          <w:rFonts w:hint="eastAsia"/>
          <w:color w:val="auto"/>
          <w:spacing w:val="4"/>
          <w:sz w:val="24"/>
          <w:highlight w:val="none"/>
        </w:rPr>
        <w:t>根据《大气有害物质无组织排放卫生防护距离推导技术导则》（GB/T39499-2020）6.1.1条：“卫生防护距离初值小于50m时，极差为50m。如计算初值小于50m，卫生防护距离终值取50m。”及6.2条：“当企业某生产单元的无组织排放存在多种特征大气有害物质时，如果分别推导出的卫生防护距离初值在同一级别时，则</w:t>
      </w:r>
      <w:r>
        <w:rPr>
          <w:rFonts w:hint="eastAsia"/>
          <w:color w:val="auto"/>
          <w:spacing w:val="4"/>
          <w:sz w:val="24"/>
          <w:highlight w:val="none"/>
          <w:lang w:eastAsia="zh-CN"/>
        </w:rPr>
        <w:t>该</w:t>
      </w:r>
      <w:r>
        <w:rPr>
          <w:rFonts w:hint="eastAsia"/>
          <w:color w:val="auto"/>
          <w:spacing w:val="4"/>
          <w:sz w:val="24"/>
          <w:highlight w:val="none"/>
        </w:rPr>
        <w:t>企业的卫生防护距离终值应提高一级”，确定本项目提级后应在厂房外设置100m的卫生防护距离终值，防护范围：距离生产车间边界100m范围内不得有居民区、学校等环境敏感目标。</w:t>
      </w:r>
      <w:r>
        <w:rPr>
          <w:color w:val="auto"/>
          <w:spacing w:val="4"/>
          <w:sz w:val="24"/>
          <w:highlight w:val="none"/>
        </w:rPr>
        <w:t>从周围环境状况来看，项目</w:t>
      </w:r>
      <w:r>
        <w:rPr>
          <w:rFonts w:hint="eastAsia"/>
          <w:color w:val="auto"/>
          <w:spacing w:val="4"/>
          <w:sz w:val="24"/>
          <w:highlight w:val="none"/>
        </w:rPr>
        <w:t>拟设的卫生防护距离</w:t>
      </w:r>
      <w:r>
        <w:rPr>
          <w:color w:val="auto"/>
          <w:spacing w:val="4"/>
          <w:sz w:val="24"/>
          <w:highlight w:val="none"/>
        </w:rPr>
        <w:t>范围内</w:t>
      </w:r>
      <w:r>
        <w:rPr>
          <w:rFonts w:hint="eastAsia"/>
          <w:color w:val="auto"/>
          <w:spacing w:val="4"/>
          <w:sz w:val="24"/>
          <w:highlight w:val="none"/>
          <w:lang w:val="en-US" w:eastAsia="zh-CN"/>
        </w:rPr>
        <w:t>有1户三月三村散户，位于生产车间东侧70m处，该散户为村民自建房，主要用于仓储，无居住功能；项目卫生防护距离范围内无居民区、学校、医院等敏感点。</w:t>
      </w:r>
    </w:p>
    <w:p>
      <w:pPr>
        <w:spacing w:line="360" w:lineRule="auto"/>
        <w:ind w:firstLine="480" w:firstLineChars="200"/>
        <w:rPr>
          <w:b/>
          <w:bCs/>
          <w:color w:val="auto"/>
          <w:sz w:val="24"/>
          <w:highlight w:val="none"/>
        </w:rPr>
      </w:pPr>
      <w:r>
        <w:rPr>
          <w:color w:val="auto"/>
          <w:sz w:val="24"/>
          <w:highlight w:val="none"/>
        </w:rPr>
        <w:t>建设单位应当上报有关部门，在以后的规划中，项目卫生防护距离范围内不建设</w:t>
      </w:r>
      <w:r>
        <w:rPr>
          <w:rFonts w:hint="eastAsia"/>
          <w:color w:val="auto"/>
          <w:sz w:val="24"/>
          <w:highlight w:val="none"/>
          <w:lang w:val="en-US" w:eastAsia="zh-CN"/>
        </w:rPr>
        <w:t>居民区</w:t>
      </w:r>
      <w:r>
        <w:rPr>
          <w:color w:val="auto"/>
          <w:sz w:val="24"/>
          <w:highlight w:val="none"/>
        </w:rPr>
        <w:t>、医院、学校及办公区等环境敏感点。</w:t>
      </w:r>
    </w:p>
    <w:p>
      <w:pPr>
        <w:tabs>
          <w:tab w:val="left" w:pos="2292"/>
        </w:tabs>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lang w:val="en-US" w:eastAsia="zh-CN"/>
        </w:rPr>
        <w:t>6</w:t>
      </w:r>
      <w:r>
        <w:rPr>
          <w:b/>
          <w:bCs/>
          <w:color w:val="auto"/>
          <w:sz w:val="24"/>
          <w:highlight w:val="none"/>
        </w:rPr>
        <w:t>）小结</w:t>
      </w:r>
    </w:p>
    <w:p>
      <w:pPr>
        <w:spacing w:line="360" w:lineRule="auto"/>
        <w:ind w:firstLine="480"/>
        <w:rPr>
          <w:color w:val="auto"/>
          <w:sz w:val="24"/>
          <w:highlight w:val="none"/>
        </w:rPr>
      </w:pPr>
      <w:r>
        <w:rPr>
          <w:color w:val="auto"/>
          <w:sz w:val="24"/>
          <w:highlight w:val="none"/>
        </w:rPr>
        <w:t>根据上述分析，项目废气排放会对环境有一定的影响，但影响较小，在项目下风向评价范围内无超标点，项目废气对大气环境的影响在可接受范围内。项目大气环境影响评价自查表见表5.2-</w:t>
      </w:r>
      <w:r>
        <w:rPr>
          <w:rFonts w:hint="eastAsia"/>
          <w:color w:val="auto"/>
          <w:sz w:val="24"/>
          <w:highlight w:val="none"/>
        </w:rPr>
        <w:t>11</w:t>
      </w:r>
      <w:r>
        <w:rPr>
          <w:color w:val="auto"/>
          <w:sz w:val="24"/>
          <w:highlight w:val="none"/>
        </w:rPr>
        <w:t>所示。</w:t>
      </w:r>
    </w:p>
    <w:p>
      <w:pPr>
        <w:pStyle w:val="528"/>
        <w:adjustRightInd/>
        <w:rPr>
          <w:color w:val="auto"/>
          <w:highlight w:val="none"/>
        </w:rPr>
      </w:pPr>
      <w:r>
        <w:rPr>
          <w:color w:val="auto"/>
          <w:highlight w:val="none"/>
        </w:rPr>
        <w:t>表5.2-</w:t>
      </w:r>
      <w:r>
        <w:rPr>
          <w:rFonts w:hint="eastAsia"/>
          <w:color w:val="auto"/>
          <w:highlight w:val="none"/>
        </w:rPr>
        <w:t>11</w:t>
      </w:r>
      <w:r>
        <w:rPr>
          <w:color w:val="auto"/>
          <w:highlight w:val="none"/>
        </w:rPr>
        <w:t xml:space="preserve">  建设项目环境影响评价自查表</w:t>
      </w:r>
    </w:p>
    <w:tbl>
      <w:tblPr>
        <w:tblStyle w:val="55"/>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11"/>
        <w:gridCol w:w="1414"/>
        <w:gridCol w:w="764"/>
        <w:gridCol w:w="723"/>
        <w:gridCol w:w="904"/>
        <w:gridCol w:w="704"/>
        <w:gridCol w:w="591"/>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gridSpan w:val="2"/>
            <w:vAlign w:val="center"/>
          </w:tcPr>
          <w:p>
            <w:pPr>
              <w:spacing w:line="240" w:lineRule="auto"/>
              <w:jc w:val="center"/>
              <w:rPr>
                <w:b/>
                <w:bCs/>
                <w:color w:val="auto"/>
                <w:szCs w:val="21"/>
                <w:highlight w:val="none"/>
              </w:rPr>
            </w:pPr>
            <w:r>
              <w:rPr>
                <w:b/>
                <w:bCs/>
                <w:color w:val="auto"/>
                <w:szCs w:val="21"/>
                <w:highlight w:val="none"/>
              </w:rPr>
              <w:t>工作内容</w:t>
            </w:r>
          </w:p>
        </w:tc>
        <w:tc>
          <w:tcPr>
            <w:tcW w:w="6480" w:type="dxa"/>
            <w:gridSpan w:val="7"/>
            <w:vAlign w:val="center"/>
          </w:tcPr>
          <w:p>
            <w:pPr>
              <w:spacing w:line="240" w:lineRule="auto"/>
              <w:jc w:val="center"/>
              <w:rPr>
                <w:b/>
                <w:bCs/>
                <w:color w:val="auto"/>
                <w:szCs w:val="21"/>
                <w:highlight w:val="none"/>
              </w:rPr>
            </w:pPr>
            <w:r>
              <w:rPr>
                <w:b/>
                <w:bCs/>
                <w:color w:val="auto"/>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restart"/>
            <w:vAlign w:val="center"/>
          </w:tcPr>
          <w:p>
            <w:pPr>
              <w:spacing w:line="240" w:lineRule="auto"/>
              <w:jc w:val="center"/>
              <w:rPr>
                <w:color w:val="auto"/>
                <w:szCs w:val="21"/>
                <w:highlight w:val="none"/>
              </w:rPr>
            </w:pPr>
            <w:r>
              <w:rPr>
                <w:color w:val="auto"/>
                <w:szCs w:val="21"/>
                <w:highlight w:val="none"/>
              </w:rPr>
              <w:t>评价等级与范围</w:t>
            </w:r>
          </w:p>
        </w:tc>
        <w:tc>
          <w:tcPr>
            <w:tcW w:w="1311" w:type="dxa"/>
            <w:vAlign w:val="center"/>
          </w:tcPr>
          <w:p>
            <w:pPr>
              <w:spacing w:line="240" w:lineRule="auto"/>
              <w:jc w:val="center"/>
              <w:rPr>
                <w:color w:val="auto"/>
                <w:szCs w:val="21"/>
                <w:highlight w:val="none"/>
              </w:rPr>
            </w:pPr>
            <w:r>
              <w:rPr>
                <w:color w:val="auto"/>
                <w:szCs w:val="21"/>
                <w:highlight w:val="none"/>
              </w:rPr>
              <w:t>评价等级</w:t>
            </w:r>
          </w:p>
        </w:tc>
        <w:tc>
          <w:tcPr>
            <w:tcW w:w="2178" w:type="dxa"/>
            <w:gridSpan w:val="2"/>
            <w:vAlign w:val="center"/>
          </w:tcPr>
          <w:p>
            <w:pPr>
              <w:spacing w:line="240" w:lineRule="auto"/>
              <w:jc w:val="center"/>
              <w:rPr>
                <w:color w:val="auto"/>
                <w:szCs w:val="21"/>
                <w:highlight w:val="none"/>
              </w:rPr>
            </w:pPr>
            <w:r>
              <w:rPr>
                <w:color w:val="auto"/>
                <w:szCs w:val="21"/>
                <w:highlight w:val="none"/>
              </w:rPr>
              <w:t>一级□</w:t>
            </w:r>
          </w:p>
        </w:tc>
        <w:tc>
          <w:tcPr>
            <w:tcW w:w="2331" w:type="dxa"/>
            <w:gridSpan w:val="3"/>
            <w:vAlign w:val="center"/>
          </w:tcPr>
          <w:p>
            <w:pPr>
              <w:spacing w:line="240" w:lineRule="auto"/>
              <w:jc w:val="center"/>
              <w:rPr>
                <w:color w:val="auto"/>
                <w:szCs w:val="21"/>
                <w:highlight w:val="none"/>
              </w:rPr>
            </w:pPr>
            <w:r>
              <w:rPr>
                <w:color w:val="auto"/>
                <w:szCs w:val="21"/>
                <w:highlight w:val="none"/>
              </w:rPr>
              <w:t>二级</w:t>
            </w:r>
            <w:r>
              <w:rPr>
                <w:color w:val="auto"/>
                <w:szCs w:val="21"/>
                <w:highlight w:val="none"/>
              </w:rPr>
              <w:sym w:font="Wingdings" w:char="00FE"/>
            </w:r>
          </w:p>
        </w:tc>
        <w:tc>
          <w:tcPr>
            <w:tcW w:w="1971" w:type="dxa"/>
            <w:gridSpan w:val="2"/>
            <w:vAlign w:val="center"/>
          </w:tcPr>
          <w:p>
            <w:pPr>
              <w:spacing w:line="240" w:lineRule="auto"/>
              <w:jc w:val="center"/>
              <w:rPr>
                <w:color w:val="auto"/>
                <w:szCs w:val="21"/>
                <w:highlight w:val="none"/>
              </w:rPr>
            </w:pPr>
            <w:r>
              <w:rPr>
                <w:color w:val="auto"/>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评价范围</w:t>
            </w:r>
          </w:p>
        </w:tc>
        <w:tc>
          <w:tcPr>
            <w:tcW w:w="2178" w:type="dxa"/>
            <w:gridSpan w:val="2"/>
            <w:vAlign w:val="center"/>
          </w:tcPr>
          <w:p>
            <w:pPr>
              <w:spacing w:line="240" w:lineRule="auto"/>
              <w:jc w:val="center"/>
              <w:rPr>
                <w:color w:val="auto"/>
                <w:szCs w:val="21"/>
                <w:highlight w:val="none"/>
              </w:rPr>
            </w:pPr>
            <w:r>
              <w:rPr>
                <w:color w:val="auto"/>
                <w:szCs w:val="21"/>
                <w:highlight w:val="none"/>
              </w:rPr>
              <w:t>边长=50km□</w:t>
            </w:r>
          </w:p>
        </w:tc>
        <w:tc>
          <w:tcPr>
            <w:tcW w:w="2331" w:type="dxa"/>
            <w:gridSpan w:val="3"/>
            <w:vAlign w:val="center"/>
          </w:tcPr>
          <w:p>
            <w:pPr>
              <w:spacing w:line="240" w:lineRule="auto"/>
              <w:jc w:val="center"/>
              <w:rPr>
                <w:color w:val="auto"/>
                <w:szCs w:val="21"/>
                <w:highlight w:val="none"/>
              </w:rPr>
            </w:pPr>
            <w:r>
              <w:rPr>
                <w:color w:val="auto"/>
                <w:szCs w:val="21"/>
                <w:highlight w:val="none"/>
              </w:rPr>
              <w:t>边长5~50km□</w:t>
            </w:r>
          </w:p>
        </w:tc>
        <w:tc>
          <w:tcPr>
            <w:tcW w:w="1971" w:type="dxa"/>
            <w:gridSpan w:val="2"/>
            <w:vAlign w:val="center"/>
          </w:tcPr>
          <w:p>
            <w:pPr>
              <w:spacing w:line="240" w:lineRule="auto"/>
              <w:jc w:val="center"/>
              <w:rPr>
                <w:color w:val="auto"/>
                <w:szCs w:val="21"/>
                <w:highlight w:val="none"/>
              </w:rPr>
            </w:pPr>
            <w:r>
              <w:rPr>
                <w:color w:val="auto"/>
                <w:szCs w:val="21"/>
                <w:highlight w:val="none"/>
              </w:rPr>
              <w:t>边长=5km</w:t>
            </w:r>
            <w:r>
              <w:rPr>
                <w:color w:val="auto"/>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restart"/>
            <w:vAlign w:val="center"/>
          </w:tcPr>
          <w:p>
            <w:pPr>
              <w:spacing w:line="240" w:lineRule="auto"/>
              <w:jc w:val="center"/>
              <w:rPr>
                <w:color w:val="auto"/>
                <w:szCs w:val="21"/>
                <w:highlight w:val="none"/>
              </w:rPr>
            </w:pPr>
            <w:r>
              <w:rPr>
                <w:color w:val="auto"/>
                <w:szCs w:val="21"/>
                <w:highlight w:val="none"/>
              </w:rPr>
              <w:t>评价因子</w:t>
            </w:r>
          </w:p>
        </w:tc>
        <w:tc>
          <w:tcPr>
            <w:tcW w:w="1311" w:type="dxa"/>
            <w:vAlign w:val="center"/>
          </w:tcPr>
          <w:p>
            <w:pPr>
              <w:spacing w:line="240" w:lineRule="auto"/>
              <w:jc w:val="center"/>
              <w:rPr>
                <w:color w:val="auto"/>
                <w:szCs w:val="21"/>
                <w:highlight w:val="none"/>
              </w:rPr>
            </w:pPr>
            <w:r>
              <w:rPr>
                <w:color w:val="auto"/>
                <w:szCs w:val="21"/>
                <w:highlight w:val="none"/>
              </w:rPr>
              <w:t>SO</w:t>
            </w:r>
            <w:r>
              <w:rPr>
                <w:color w:val="auto"/>
                <w:szCs w:val="21"/>
                <w:highlight w:val="none"/>
                <w:vertAlign w:val="subscript"/>
              </w:rPr>
              <w:t>2</w:t>
            </w:r>
            <w:r>
              <w:rPr>
                <w:color w:val="auto"/>
                <w:szCs w:val="21"/>
                <w:highlight w:val="none"/>
              </w:rPr>
              <w:t>+N0x</w:t>
            </w:r>
          </w:p>
          <w:p>
            <w:pPr>
              <w:spacing w:line="240" w:lineRule="auto"/>
              <w:jc w:val="center"/>
              <w:rPr>
                <w:color w:val="auto"/>
                <w:szCs w:val="21"/>
                <w:highlight w:val="none"/>
              </w:rPr>
            </w:pPr>
            <w:r>
              <w:rPr>
                <w:color w:val="auto"/>
                <w:szCs w:val="21"/>
                <w:highlight w:val="none"/>
              </w:rPr>
              <w:t>排放量</w:t>
            </w:r>
          </w:p>
        </w:tc>
        <w:tc>
          <w:tcPr>
            <w:tcW w:w="2178" w:type="dxa"/>
            <w:gridSpan w:val="2"/>
            <w:vAlign w:val="center"/>
          </w:tcPr>
          <w:p>
            <w:pPr>
              <w:spacing w:line="240" w:lineRule="auto"/>
              <w:jc w:val="center"/>
              <w:rPr>
                <w:color w:val="auto"/>
                <w:szCs w:val="21"/>
                <w:highlight w:val="none"/>
              </w:rPr>
            </w:pPr>
            <w:r>
              <w:rPr>
                <w:color w:val="auto"/>
                <w:szCs w:val="21"/>
                <w:highlight w:val="none"/>
              </w:rPr>
              <w:t>≥2000t/a□</w:t>
            </w:r>
          </w:p>
        </w:tc>
        <w:tc>
          <w:tcPr>
            <w:tcW w:w="2331" w:type="dxa"/>
            <w:gridSpan w:val="3"/>
            <w:vAlign w:val="center"/>
          </w:tcPr>
          <w:p>
            <w:pPr>
              <w:spacing w:line="240" w:lineRule="auto"/>
              <w:jc w:val="center"/>
              <w:rPr>
                <w:color w:val="auto"/>
                <w:szCs w:val="21"/>
                <w:highlight w:val="none"/>
              </w:rPr>
            </w:pPr>
            <w:r>
              <w:rPr>
                <w:color w:val="auto"/>
                <w:szCs w:val="21"/>
                <w:highlight w:val="none"/>
              </w:rPr>
              <w:t>500~2000t/a□</w:t>
            </w:r>
          </w:p>
        </w:tc>
        <w:tc>
          <w:tcPr>
            <w:tcW w:w="1971" w:type="dxa"/>
            <w:gridSpan w:val="2"/>
            <w:vAlign w:val="center"/>
          </w:tcPr>
          <w:p>
            <w:pPr>
              <w:spacing w:line="240" w:lineRule="auto"/>
              <w:jc w:val="center"/>
              <w:rPr>
                <w:color w:val="auto"/>
                <w:szCs w:val="21"/>
                <w:highlight w:val="none"/>
              </w:rPr>
            </w:pPr>
            <w:r>
              <w:rPr>
                <w:color w:val="auto"/>
                <w:szCs w:val="21"/>
                <w:highlight w:val="none"/>
              </w:rPr>
              <w:t>小于500t/a</w:t>
            </w:r>
            <w:r>
              <w:rPr>
                <w:color w:val="auto"/>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评价因子</w:t>
            </w:r>
          </w:p>
        </w:tc>
        <w:tc>
          <w:tcPr>
            <w:tcW w:w="3805" w:type="dxa"/>
            <w:gridSpan w:val="4"/>
            <w:vAlign w:val="center"/>
          </w:tcPr>
          <w:p>
            <w:pPr>
              <w:spacing w:line="240" w:lineRule="auto"/>
              <w:jc w:val="center"/>
              <w:rPr>
                <w:color w:val="auto"/>
                <w:szCs w:val="21"/>
                <w:highlight w:val="none"/>
              </w:rPr>
            </w:pPr>
            <w:r>
              <w:rPr>
                <w:color w:val="auto"/>
                <w:szCs w:val="21"/>
                <w:highlight w:val="none"/>
              </w:rPr>
              <w:t>基本污染物（SO</w:t>
            </w:r>
            <w:r>
              <w:rPr>
                <w:color w:val="auto"/>
                <w:szCs w:val="21"/>
                <w:highlight w:val="none"/>
                <w:vertAlign w:val="subscript"/>
              </w:rPr>
              <w:t>2</w:t>
            </w:r>
            <w:r>
              <w:rPr>
                <w:color w:val="auto"/>
                <w:szCs w:val="21"/>
                <w:highlight w:val="none"/>
              </w:rPr>
              <w:t>、NO</w:t>
            </w:r>
            <w:r>
              <w:rPr>
                <w:color w:val="auto"/>
                <w:szCs w:val="21"/>
                <w:highlight w:val="none"/>
                <w:vertAlign w:val="subscript"/>
              </w:rPr>
              <w:t>2</w:t>
            </w:r>
            <w:r>
              <w:rPr>
                <w:color w:val="auto"/>
                <w:szCs w:val="21"/>
                <w:highlight w:val="none"/>
              </w:rPr>
              <w:t>、PM</w:t>
            </w:r>
            <w:r>
              <w:rPr>
                <w:color w:val="auto"/>
                <w:szCs w:val="21"/>
                <w:highlight w:val="none"/>
                <w:vertAlign w:val="subscript"/>
              </w:rPr>
              <w:t>10</w:t>
            </w:r>
            <w:r>
              <w:rPr>
                <w:color w:val="auto"/>
                <w:szCs w:val="21"/>
                <w:highlight w:val="none"/>
              </w:rPr>
              <w:t>、PM</w:t>
            </w:r>
            <w:r>
              <w:rPr>
                <w:color w:val="auto"/>
                <w:szCs w:val="21"/>
                <w:highlight w:val="none"/>
                <w:vertAlign w:val="subscript"/>
              </w:rPr>
              <w:t>2.5</w:t>
            </w:r>
            <w:r>
              <w:rPr>
                <w:color w:val="auto"/>
                <w:szCs w:val="21"/>
                <w:highlight w:val="none"/>
              </w:rPr>
              <w:t>、CO、O</w:t>
            </w:r>
            <w:r>
              <w:rPr>
                <w:color w:val="auto"/>
                <w:szCs w:val="21"/>
                <w:highlight w:val="none"/>
                <w:vertAlign w:val="subscript"/>
              </w:rPr>
              <w:t>3</w:t>
            </w:r>
            <w:r>
              <w:rPr>
                <w:color w:val="auto"/>
                <w:szCs w:val="21"/>
                <w:highlight w:val="none"/>
              </w:rPr>
              <w:t>）</w:t>
            </w:r>
          </w:p>
          <w:p>
            <w:pPr>
              <w:spacing w:line="240" w:lineRule="auto"/>
              <w:jc w:val="center"/>
              <w:rPr>
                <w:color w:val="auto"/>
                <w:szCs w:val="21"/>
                <w:highlight w:val="none"/>
              </w:rPr>
            </w:pPr>
            <w:r>
              <w:rPr>
                <w:color w:val="auto"/>
                <w:szCs w:val="21"/>
                <w:highlight w:val="none"/>
              </w:rPr>
              <w:t>其他污染物（TSP、非甲烷总烃）</w:t>
            </w:r>
          </w:p>
        </w:tc>
        <w:tc>
          <w:tcPr>
            <w:tcW w:w="2675" w:type="dxa"/>
            <w:gridSpan w:val="3"/>
            <w:vAlign w:val="center"/>
          </w:tcPr>
          <w:p>
            <w:pPr>
              <w:spacing w:line="240" w:lineRule="auto"/>
              <w:jc w:val="center"/>
              <w:rPr>
                <w:color w:val="auto"/>
                <w:szCs w:val="21"/>
                <w:highlight w:val="none"/>
              </w:rPr>
            </w:pPr>
            <w:r>
              <w:rPr>
                <w:color w:val="auto"/>
                <w:szCs w:val="21"/>
                <w:highlight w:val="none"/>
              </w:rPr>
              <w:t>包括二次PM</w:t>
            </w:r>
            <w:r>
              <w:rPr>
                <w:color w:val="auto"/>
                <w:szCs w:val="21"/>
                <w:highlight w:val="none"/>
                <w:vertAlign w:val="subscript"/>
              </w:rPr>
              <w:t>2.</w:t>
            </w:r>
            <w:r>
              <w:rPr>
                <w:color w:val="auto"/>
                <w:szCs w:val="21"/>
                <w:highlight w:val="none"/>
              </w:rPr>
              <w:t>□</w:t>
            </w:r>
          </w:p>
          <w:p>
            <w:pPr>
              <w:spacing w:line="240" w:lineRule="auto"/>
              <w:jc w:val="center"/>
              <w:rPr>
                <w:color w:val="auto"/>
                <w:szCs w:val="21"/>
                <w:highlight w:val="none"/>
              </w:rPr>
            </w:pPr>
            <w:r>
              <w:rPr>
                <w:color w:val="auto"/>
                <w:szCs w:val="21"/>
                <w:highlight w:val="none"/>
              </w:rPr>
              <w:t>不包括二次PM</w:t>
            </w:r>
            <w:r>
              <w:rPr>
                <w:color w:val="auto"/>
                <w:szCs w:val="21"/>
                <w:highlight w:val="none"/>
                <w:vertAlign w:val="subscript"/>
              </w:rPr>
              <w:t>2.5</w:t>
            </w:r>
            <w:r>
              <w:rPr>
                <w:color w:val="auto"/>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spacing w:line="240" w:lineRule="auto"/>
              <w:jc w:val="center"/>
              <w:rPr>
                <w:color w:val="auto"/>
                <w:szCs w:val="21"/>
                <w:highlight w:val="none"/>
              </w:rPr>
            </w:pPr>
            <w:r>
              <w:rPr>
                <w:color w:val="auto"/>
                <w:szCs w:val="21"/>
                <w:highlight w:val="none"/>
              </w:rPr>
              <w:t>评价标准</w:t>
            </w:r>
          </w:p>
        </w:tc>
        <w:tc>
          <w:tcPr>
            <w:tcW w:w="1311" w:type="dxa"/>
            <w:vAlign w:val="center"/>
          </w:tcPr>
          <w:p>
            <w:pPr>
              <w:spacing w:line="240" w:lineRule="auto"/>
              <w:jc w:val="center"/>
              <w:rPr>
                <w:color w:val="auto"/>
                <w:szCs w:val="21"/>
                <w:highlight w:val="none"/>
              </w:rPr>
            </w:pPr>
            <w:r>
              <w:rPr>
                <w:color w:val="auto"/>
                <w:szCs w:val="21"/>
                <w:highlight w:val="none"/>
              </w:rPr>
              <w:t>评价标准</w:t>
            </w:r>
          </w:p>
        </w:tc>
        <w:tc>
          <w:tcPr>
            <w:tcW w:w="1414" w:type="dxa"/>
            <w:vAlign w:val="center"/>
          </w:tcPr>
          <w:p>
            <w:pPr>
              <w:spacing w:line="240" w:lineRule="auto"/>
              <w:jc w:val="center"/>
              <w:rPr>
                <w:color w:val="auto"/>
                <w:szCs w:val="21"/>
                <w:highlight w:val="none"/>
              </w:rPr>
            </w:pPr>
            <w:r>
              <w:rPr>
                <w:color w:val="auto"/>
                <w:szCs w:val="21"/>
                <w:highlight w:val="none"/>
              </w:rPr>
              <w:t>国家标准</w:t>
            </w:r>
            <w:r>
              <w:rPr>
                <w:color w:val="auto"/>
                <w:szCs w:val="21"/>
                <w:highlight w:val="none"/>
              </w:rPr>
              <w:sym w:font="Wingdings" w:char="00FE"/>
            </w:r>
          </w:p>
        </w:tc>
        <w:tc>
          <w:tcPr>
            <w:tcW w:w="1487" w:type="dxa"/>
            <w:gridSpan w:val="2"/>
            <w:vAlign w:val="center"/>
          </w:tcPr>
          <w:p>
            <w:pPr>
              <w:spacing w:line="240" w:lineRule="auto"/>
              <w:jc w:val="center"/>
              <w:rPr>
                <w:color w:val="auto"/>
                <w:szCs w:val="21"/>
                <w:highlight w:val="none"/>
              </w:rPr>
            </w:pPr>
            <w:r>
              <w:rPr>
                <w:color w:val="auto"/>
                <w:szCs w:val="21"/>
                <w:highlight w:val="none"/>
              </w:rPr>
              <w:t>地方标准□</w:t>
            </w:r>
          </w:p>
        </w:tc>
        <w:tc>
          <w:tcPr>
            <w:tcW w:w="1608" w:type="dxa"/>
            <w:gridSpan w:val="2"/>
            <w:vAlign w:val="center"/>
          </w:tcPr>
          <w:p>
            <w:pPr>
              <w:spacing w:line="240" w:lineRule="auto"/>
              <w:jc w:val="center"/>
              <w:rPr>
                <w:color w:val="auto"/>
                <w:szCs w:val="21"/>
                <w:highlight w:val="none"/>
              </w:rPr>
            </w:pPr>
            <w:r>
              <w:rPr>
                <w:color w:val="auto"/>
                <w:szCs w:val="21"/>
                <w:highlight w:val="none"/>
              </w:rPr>
              <w:t>附录D□</w:t>
            </w:r>
          </w:p>
        </w:tc>
        <w:tc>
          <w:tcPr>
            <w:tcW w:w="1971" w:type="dxa"/>
            <w:gridSpan w:val="2"/>
            <w:vAlign w:val="center"/>
          </w:tcPr>
          <w:p>
            <w:pPr>
              <w:spacing w:line="240" w:lineRule="auto"/>
              <w:jc w:val="center"/>
              <w:rPr>
                <w:color w:val="auto"/>
                <w:szCs w:val="21"/>
                <w:highlight w:val="none"/>
              </w:rPr>
            </w:pPr>
            <w:r>
              <w:rPr>
                <w:color w:val="auto"/>
                <w:szCs w:val="21"/>
                <w:highlight w:val="none"/>
              </w:rPr>
              <w:t>其他标准</w:t>
            </w:r>
            <w:r>
              <w:rPr>
                <w:color w:val="auto"/>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restart"/>
            <w:vAlign w:val="center"/>
          </w:tcPr>
          <w:p>
            <w:pPr>
              <w:spacing w:line="240" w:lineRule="auto"/>
              <w:jc w:val="center"/>
              <w:rPr>
                <w:color w:val="auto"/>
                <w:szCs w:val="21"/>
                <w:highlight w:val="none"/>
              </w:rPr>
            </w:pPr>
            <w:r>
              <w:rPr>
                <w:color w:val="auto"/>
                <w:szCs w:val="21"/>
                <w:highlight w:val="none"/>
              </w:rPr>
              <w:t>现状评价</w:t>
            </w:r>
          </w:p>
        </w:tc>
        <w:tc>
          <w:tcPr>
            <w:tcW w:w="1311" w:type="dxa"/>
            <w:vAlign w:val="center"/>
          </w:tcPr>
          <w:p>
            <w:pPr>
              <w:spacing w:line="240" w:lineRule="auto"/>
              <w:jc w:val="center"/>
              <w:rPr>
                <w:color w:val="auto"/>
                <w:szCs w:val="21"/>
                <w:highlight w:val="none"/>
              </w:rPr>
            </w:pPr>
            <w:r>
              <w:rPr>
                <w:color w:val="auto"/>
                <w:szCs w:val="21"/>
                <w:highlight w:val="none"/>
              </w:rPr>
              <w:t>环境功能区</w:t>
            </w:r>
          </w:p>
        </w:tc>
        <w:tc>
          <w:tcPr>
            <w:tcW w:w="2178" w:type="dxa"/>
            <w:gridSpan w:val="2"/>
            <w:vAlign w:val="center"/>
          </w:tcPr>
          <w:p>
            <w:pPr>
              <w:spacing w:line="240" w:lineRule="auto"/>
              <w:jc w:val="center"/>
              <w:rPr>
                <w:color w:val="auto"/>
                <w:szCs w:val="21"/>
                <w:highlight w:val="none"/>
              </w:rPr>
            </w:pPr>
            <w:r>
              <w:rPr>
                <w:color w:val="auto"/>
                <w:szCs w:val="21"/>
                <w:highlight w:val="none"/>
              </w:rPr>
              <w:t>一类区□</w:t>
            </w:r>
          </w:p>
        </w:tc>
        <w:tc>
          <w:tcPr>
            <w:tcW w:w="2331" w:type="dxa"/>
            <w:gridSpan w:val="3"/>
            <w:vAlign w:val="center"/>
          </w:tcPr>
          <w:p>
            <w:pPr>
              <w:spacing w:line="240" w:lineRule="auto"/>
              <w:jc w:val="center"/>
              <w:rPr>
                <w:color w:val="auto"/>
                <w:szCs w:val="21"/>
                <w:highlight w:val="none"/>
              </w:rPr>
            </w:pPr>
            <w:r>
              <w:rPr>
                <w:color w:val="auto"/>
                <w:szCs w:val="21"/>
                <w:highlight w:val="none"/>
              </w:rPr>
              <w:t>二类区</w:t>
            </w:r>
            <w:r>
              <w:rPr>
                <w:color w:val="auto"/>
                <w:szCs w:val="21"/>
                <w:highlight w:val="none"/>
              </w:rPr>
              <w:sym w:font="Wingdings" w:char="00FE"/>
            </w:r>
          </w:p>
        </w:tc>
        <w:tc>
          <w:tcPr>
            <w:tcW w:w="1971" w:type="dxa"/>
            <w:gridSpan w:val="2"/>
            <w:vAlign w:val="center"/>
          </w:tcPr>
          <w:p>
            <w:pPr>
              <w:spacing w:line="240" w:lineRule="auto"/>
              <w:jc w:val="center"/>
              <w:rPr>
                <w:color w:val="auto"/>
                <w:szCs w:val="21"/>
                <w:highlight w:val="none"/>
              </w:rPr>
            </w:pPr>
            <w:r>
              <w:rPr>
                <w:color w:val="auto"/>
                <w:szCs w:val="21"/>
                <w:highlight w:val="none"/>
              </w:rPr>
              <w:t>三类区□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评价基准年</w:t>
            </w:r>
          </w:p>
        </w:tc>
        <w:tc>
          <w:tcPr>
            <w:tcW w:w="6480" w:type="dxa"/>
            <w:gridSpan w:val="7"/>
            <w:vAlign w:val="center"/>
          </w:tcPr>
          <w:p>
            <w:pPr>
              <w:spacing w:line="240" w:lineRule="auto"/>
              <w:jc w:val="center"/>
              <w:rPr>
                <w:color w:val="auto"/>
                <w:szCs w:val="21"/>
                <w:highlight w:val="none"/>
              </w:rPr>
            </w:pPr>
            <w:r>
              <w:rPr>
                <w:color w:val="auto"/>
                <w:szCs w:val="21"/>
                <w:highlight w:val="none"/>
              </w:rPr>
              <w:t>（20</w:t>
            </w:r>
            <w:r>
              <w:rPr>
                <w:rFonts w:hint="eastAsia"/>
                <w:color w:val="auto"/>
                <w:szCs w:val="21"/>
                <w:highlight w:val="none"/>
              </w:rPr>
              <w:t>2</w:t>
            </w:r>
            <w:r>
              <w:rPr>
                <w:rFonts w:hint="eastAsia"/>
                <w:color w:val="auto"/>
                <w:szCs w:val="21"/>
                <w:highlight w:val="none"/>
                <w:lang w:val="en-US" w:eastAsia="zh-CN"/>
              </w:rPr>
              <w:t>2</w:t>
            </w:r>
            <w:r>
              <w:rPr>
                <w:color w:val="auto"/>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环境空气质量现状调查数据来源</w:t>
            </w:r>
          </w:p>
        </w:tc>
        <w:tc>
          <w:tcPr>
            <w:tcW w:w="2178" w:type="dxa"/>
            <w:gridSpan w:val="2"/>
            <w:vAlign w:val="center"/>
          </w:tcPr>
          <w:p>
            <w:pPr>
              <w:spacing w:line="240" w:lineRule="auto"/>
              <w:jc w:val="center"/>
              <w:rPr>
                <w:color w:val="auto"/>
                <w:szCs w:val="21"/>
                <w:highlight w:val="none"/>
              </w:rPr>
            </w:pPr>
            <w:r>
              <w:rPr>
                <w:color w:val="auto"/>
                <w:szCs w:val="21"/>
                <w:highlight w:val="none"/>
              </w:rPr>
              <w:t>长期例行监测数据□</w:t>
            </w:r>
          </w:p>
        </w:tc>
        <w:tc>
          <w:tcPr>
            <w:tcW w:w="2331" w:type="dxa"/>
            <w:gridSpan w:val="3"/>
            <w:vAlign w:val="center"/>
          </w:tcPr>
          <w:p>
            <w:pPr>
              <w:spacing w:line="240" w:lineRule="auto"/>
              <w:jc w:val="center"/>
              <w:rPr>
                <w:color w:val="auto"/>
                <w:szCs w:val="21"/>
                <w:highlight w:val="none"/>
              </w:rPr>
            </w:pPr>
            <w:r>
              <w:rPr>
                <w:color w:val="auto"/>
                <w:szCs w:val="21"/>
                <w:highlight w:val="none"/>
              </w:rPr>
              <w:t>主管部门发布的数据</w:t>
            </w:r>
            <w:r>
              <w:rPr>
                <w:color w:val="auto"/>
                <w:szCs w:val="21"/>
                <w:highlight w:val="none"/>
              </w:rPr>
              <w:sym w:font="Wingdings" w:char="00FE"/>
            </w:r>
          </w:p>
        </w:tc>
        <w:tc>
          <w:tcPr>
            <w:tcW w:w="1971" w:type="dxa"/>
            <w:gridSpan w:val="2"/>
            <w:vAlign w:val="center"/>
          </w:tcPr>
          <w:p>
            <w:pPr>
              <w:spacing w:line="240" w:lineRule="auto"/>
              <w:jc w:val="center"/>
              <w:rPr>
                <w:color w:val="auto"/>
                <w:szCs w:val="21"/>
                <w:highlight w:val="none"/>
              </w:rPr>
            </w:pPr>
            <w:r>
              <w:rPr>
                <w:color w:val="auto"/>
                <w:szCs w:val="21"/>
                <w:highlight w:val="none"/>
              </w:rPr>
              <w:t>现状补充监测</w:t>
            </w:r>
            <w:r>
              <w:rPr>
                <w:color w:val="auto"/>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现状评价</w:t>
            </w:r>
          </w:p>
        </w:tc>
        <w:tc>
          <w:tcPr>
            <w:tcW w:w="2901" w:type="dxa"/>
            <w:gridSpan w:val="3"/>
            <w:vAlign w:val="center"/>
          </w:tcPr>
          <w:p>
            <w:pPr>
              <w:spacing w:line="240" w:lineRule="auto"/>
              <w:jc w:val="center"/>
              <w:rPr>
                <w:color w:val="auto"/>
                <w:szCs w:val="21"/>
                <w:highlight w:val="none"/>
              </w:rPr>
            </w:pPr>
            <w:r>
              <w:rPr>
                <w:color w:val="auto"/>
                <w:szCs w:val="21"/>
                <w:highlight w:val="none"/>
              </w:rPr>
              <w:t>达标区</w:t>
            </w:r>
            <w:r>
              <w:rPr>
                <w:color w:val="auto"/>
                <w:szCs w:val="21"/>
                <w:highlight w:val="none"/>
              </w:rPr>
              <w:sym w:font="Wingdings" w:char="00FE"/>
            </w:r>
          </w:p>
        </w:tc>
        <w:tc>
          <w:tcPr>
            <w:tcW w:w="3579" w:type="dxa"/>
            <w:gridSpan w:val="4"/>
            <w:vAlign w:val="center"/>
          </w:tcPr>
          <w:p>
            <w:pPr>
              <w:spacing w:line="240" w:lineRule="auto"/>
              <w:jc w:val="center"/>
              <w:rPr>
                <w:color w:val="auto"/>
                <w:szCs w:val="21"/>
                <w:highlight w:val="none"/>
              </w:rPr>
            </w:pPr>
            <w:r>
              <w:rPr>
                <w:color w:val="auto"/>
                <w:szCs w:val="21"/>
                <w:highlight w:val="none"/>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spacing w:line="240" w:lineRule="auto"/>
              <w:jc w:val="center"/>
              <w:rPr>
                <w:color w:val="auto"/>
                <w:szCs w:val="21"/>
                <w:highlight w:val="none"/>
              </w:rPr>
            </w:pPr>
            <w:r>
              <w:rPr>
                <w:color w:val="auto"/>
                <w:szCs w:val="21"/>
                <w:highlight w:val="none"/>
              </w:rPr>
              <w:t>污染源调查</w:t>
            </w:r>
          </w:p>
        </w:tc>
        <w:tc>
          <w:tcPr>
            <w:tcW w:w="1311" w:type="dxa"/>
            <w:vAlign w:val="center"/>
          </w:tcPr>
          <w:p>
            <w:pPr>
              <w:spacing w:line="240" w:lineRule="auto"/>
              <w:jc w:val="center"/>
              <w:rPr>
                <w:color w:val="auto"/>
                <w:szCs w:val="21"/>
                <w:highlight w:val="none"/>
              </w:rPr>
            </w:pPr>
            <w:r>
              <w:rPr>
                <w:color w:val="auto"/>
                <w:szCs w:val="21"/>
                <w:highlight w:val="none"/>
              </w:rPr>
              <w:t>调查内容</w:t>
            </w:r>
          </w:p>
        </w:tc>
        <w:tc>
          <w:tcPr>
            <w:tcW w:w="2178" w:type="dxa"/>
            <w:gridSpan w:val="2"/>
            <w:vAlign w:val="center"/>
          </w:tcPr>
          <w:p>
            <w:pPr>
              <w:pStyle w:val="526"/>
              <w:spacing w:line="240" w:lineRule="auto"/>
              <w:rPr>
                <w:color w:val="auto"/>
                <w:w w:val="99"/>
                <w:sz w:val="21"/>
                <w:highlight w:val="none"/>
                <w:lang w:eastAsia="zh-CN"/>
              </w:rPr>
            </w:pPr>
            <w:r>
              <w:rPr>
                <w:color w:val="auto"/>
                <w:sz w:val="21"/>
                <w:highlight w:val="none"/>
                <w:lang w:eastAsia="zh-CN"/>
              </w:rPr>
              <w:t>本项目正常排放源</w:t>
            </w:r>
            <w:r>
              <w:rPr>
                <w:color w:val="auto"/>
                <w:sz w:val="21"/>
                <w:highlight w:val="none"/>
              </w:rPr>
              <w:sym w:font="Wingdings" w:char="00FE"/>
            </w:r>
          </w:p>
          <w:p>
            <w:pPr>
              <w:spacing w:line="240" w:lineRule="auto"/>
              <w:rPr>
                <w:color w:val="auto"/>
                <w:w w:val="99"/>
                <w:szCs w:val="21"/>
                <w:highlight w:val="none"/>
              </w:rPr>
            </w:pPr>
            <w:r>
              <w:rPr>
                <w:color w:val="auto"/>
                <w:szCs w:val="21"/>
                <w:highlight w:val="none"/>
              </w:rPr>
              <w:t>本项目非正常排放源</w:t>
            </w:r>
            <w:r>
              <w:rPr>
                <w:color w:val="auto"/>
                <w:szCs w:val="21"/>
                <w:highlight w:val="none"/>
              </w:rPr>
              <w:sym w:font="Wingdings" w:char="00FE"/>
            </w:r>
          </w:p>
          <w:p>
            <w:pPr>
              <w:spacing w:line="240" w:lineRule="auto"/>
              <w:rPr>
                <w:color w:val="auto"/>
                <w:szCs w:val="21"/>
                <w:highlight w:val="none"/>
              </w:rPr>
            </w:pPr>
            <w:r>
              <w:rPr>
                <w:color w:val="auto"/>
                <w:szCs w:val="21"/>
                <w:highlight w:val="none"/>
              </w:rPr>
              <w:t>现有污染源□</w:t>
            </w:r>
          </w:p>
        </w:tc>
        <w:tc>
          <w:tcPr>
            <w:tcW w:w="723" w:type="dxa"/>
            <w:vAlign w:val="center"/>
          </w:tcPr>
          <w:p>
            <w:pPr>
              <w:spacing w:line="240" w:lineRule="auto"/>
              <w:jc w:val="center"/>
              <w:rPr>
                <w:color w:val="auto"/>
                <w:szCs w:val="21"/>
                <w:highlight w:val="none"/>
              </w:rPr>
            </w:pPr>
            <w:r>
              <w:rPr>
                <w:color w:val="auto"/>
                <w:szCs w:val="21"/>
                <w:highlight w:val="none"/>
              </w:rPr>
              <w:t>拟替代的污染源□</w:t>
            </w:r>
          </w:p>
        </w:tc>
        <w:tc>
          <w:tcPr>
            <w:tcW w:w="2199" w:type="dxa"/>
            <w:gridSpan w:val="3"/>
            <w:vAlign w:val="center"/>
          </w:tcPr>
          <w:p>
            <w:pPr>
              <w:spacing w:line="240" w:lineRule="auto"/>
              <w:jc w:val="center"/>
              <w:rPr>
                <w:color w:val="auto"/>
                <w:szCs w:val="21"/>
                <w:highlight w:val="none"/>
              </w:rPr>
            </w:pPr>
            <w:r>
              <w:rPr>
                <w:color w:val="auto"/>
                <w:szCs w:val="21"/>
                <w:highlight w:val="none"/>
              </w:rPr>
              <w:t>其他在建、拟建项目污染源□</w:t>
            </w:r>
          </w:p>
        </w:tc>
        <w:tc>
          <w:tcPr>
            <w:tcW w:w="1380" w:type="dxa"/>
            <w:vAlign w:val="center"/>
          </w:tcPr>
          <w:p>
            <w:pPr>
              <w:spacing w:line="240" w:lineRule="auto"/>
              <w:jc w:val="center"/>
              <w:rPr>
                <w:color w:val="auto"/>
                <w:szCs w:val="21"/>
                <w:highlight w:val="none"/>
              </w:rPr>
            </w:pPr>
            <w:r>
              <w:rPr>
                <w:color w:val="auto"/>
                <w:szCs w:val="21"/>
                <w:highlight w:val="none"/>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spacing w:line="240" w:lineRule="auto"/>
              <w:jc w:val="center"/>
              <w:rPr>
                <w:color w:val="auto"/>
                <w:szCs w:val="21"/>
                <w:highlight w:val="none"/>
              </w:rPr>
            </w:pPr>
            <w:r>
              <w:rPr>
                <w:color w:val="auto"/>
                <w:szCs w:val="21"/>
                <w:highlight w:val="none"/>
              </w:rPr>
              <w:t>大气环境影响预测与评价</w:t>
            </w:r>
          </w:p>
        </w:tc>
        <w:tc>
          <w:tcPr>
            <w:tcW w:w="7791" w:type="dxa"/>
            <w:gridSpan w:val="8"/>
            <w:vAlign w:val="center"/>
          </w:tcPr>
          <w:p>
            <w:pPr>
              <w:spacing w:line="240" w:lineRule="auto"/>
              <w:jc w:val="center"/>
              <w:rPr>
                <w:color w:val="auto"/>
                <w:szCs w:val="21"/>
                <w:highlight w:val="none"/>
              </w:rPr>
            </w:pPr>
            <w:r>
              <w:rPr>
                <w:color w:val="auto"/>
                <w:szCs w:val="21"/>
                <w:highlight w:val="none"/>
              </w:rPr>
              <w:t>项目评价等级为二级，不进行大气环境影响预测与评价。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restart"/>
            <w:vAlign w:val="center"/>
          </w:tcPr>
          <w:p>
            <w:pPr>
              <w:spacing w:line="240" w:lineRule="auto"/>
              <w:jc w:val="center"/>
              <w:rPr>
                <w:color w:val="auto"/>
                <w:szCs w:val="21"/>
                <w:highlight w:val="none"/>
              </w:rPr>
            </w:pPr>
            <w:r>
              <w:rPr>
                <w:color w:val="auto"/>
                <w:szCs w:val="21"/>
                <w:highlight w:val="none"/>
              </w:rPr>
              <w:t>环境监测计划</w:t>
            </w:r>
          </w:p>
        </w:tc>
        <w:tc>
          <w:tcPr>
            <w:tcW w:w="1311" w:type="dxa"/>
            <w:vAlign w:val="center"/>
          </w:tcPr>
          <w:p>
            <w:pPr>
              <w:spacing w:line="240" w:lineRule="auto"/>
              <w:jc w:val="center"/>
              <w:rPr>
                <w:color w:val="auto"/>
                <w:szCs w:val="21"/>
                <w:highlight w:val="none"/>
              </w:rPr>
            </w:pPr>
            <w:r>
              <w:rPr>
                <w:color w:val="auto"/>
                <w:szCs w:val="21"/>
                <w:highlight w:val="none"/>
              </w:rPr>
              <w:t>污染源</w:t>
            </w:r>
          </w:p>
          <w:p>
            <w:pPr>
              <w:spacing w:line="240" w:lineRule="auto"/>
              <w:jc w:val="center"/>
              <w:rPr>
                <w:color w:val="auto"/>
                <w:szCs w:val="21"/>
                <w:highlight w:val="none"/>
              </w:rPr>
            </w:pPr>
            <w:r>
              <w:rPr>
                <w:color w:val="auto"/>
                <w:szCs w:val="21"/>
                <w:highlight w:val="none"/>
              </w:rPr>
              <w:t>监测</w:t>
            </w:r>
          </w:p>
        </w:tc>
        <w:tc>
          <w:tcPr>
            <w:tcW w:w="2178" w:type="dxa"/>
            <w:gridSpan w:val="2"/>
            <w:vAlign w:val="center"/>
          </w:tcPr>
          <w:p>
            <w:pPr>
              <w:spacing w:line="240" w:lineRule="auto"/>
              <w:jc w:val="center"/>
              <w:rPr>
                <w:color w:val="auto"/>
                <w:szCs w:val="21"/>
                <w:highlight w:val="none"/>
              </w:rPr>
            </w:pPr>
            <w:r>
              <w:rPr>
                <w:color w:val="auto"/>
                <w:szCs w:val="21"/>
                <w:highlight w:val="none"/>
              </w:rPr>
              <w:t>监测因子（TSP、</w:t>
            </w:r>
            <w:r>
              <w:rPr>
                <w:rFonts w:hint="eastAsia"/>
                <w:color w:val="auto"/>
                <w:szCs w:val="21"/>
                <w:highlight w:val="none"/>
              </w:rPr>
              <w:t>非甲烷总烃</w:t>
            </w:r>
            <w:r>
              <w:rPr>
                <w:color w:val="auto"/>
                <w:szCs w:val="21"/>
                <w:highlight w:val="none"/>
              </w:rPr>
              <w:t>）</w:t>
            </w:r>
          </w:p>
        </w:tc>
        <w:tc>
          <w:tcPr>
            <w:tcW w:w="2331" w:type="dxa"/>
            <w:gridSpan w:val="3"/>
            <w:vAlign w:val="center"/>
          </w:tcPr>
          <w:p>
            <w:pPr>
              <w:spacing w:line="240" w:lineRule="auto"/>
              <w:jc w:val="center"/>
              <w:rPr>
                <w:color w:val="auto"/>
                <w:szCs w:val="21"/>
                <w:highlight w:val="none"/>
              </w:rPr>
            </w:pPr>
            <w:r>
              <w:rPr>
                <w:color w:val="auto"/>
                <w:szCs w:val="21"/>
                <w:highlight w:val="none"/>
              </w:rPr>
              <w:t>有组织废气监测</w:t>
            </w:r>
            <w:r>
              <w:rPr>
                <w:color w:val="auto"/>
                <w:szCs w:val="21"/>
                <w:highlight w:val="none"/>
              </w:rPr>
              <w:sym w:font="Wingdings" w:char="00FE"/>
            </w:r>
          </w:p>
          <w:p>
            <w:pPr>
              <w:spacing w:line="240" w:lineRule="auto"/>
              <w:jc w:val="center"/>
              <w:rPr>
                <w:color w:val="auto"/>
                <w:szCs w:val="21"/>
                <w:highlight w:val="none"/>
              </w:rPr>
            </w:pPr>
            <w:r>
              <w:rPr>
                <w:color w:val="auto"/>
                <w:szCs w:val="21"/>
                <w:highlight w:val="none"/>
              </w:rPr>
              <w:t>无组织废气监测</w:t>
            </w:r>
            <w:r>
              <w:rPr>
                <w:color w:val="auto"/>
                <w:szCs w:val="21"/>
                <w:highlight w:val="none"/>
              </w:rPr>
              <w:sym w:font="Wingdings" w:char="00FE"/>
            </w:r>
          </w:p>
        </w:tc>
        <w:tc>
          <w:tcPr>
            <w:tcW w:w="1971" w:type="dxa"/>
            <w:gridSpan w:val="2"/>
            <w:vAlign w:val="center"/>
          </w:tcPr>
          <w:p>
            <w:pPr>
              <w:spacing w:line="240" w:lineRule="auto"/>
              <w:jc w:val="center"/>
              <w:rPr>
                <w:color w:val="auto"/>
                <w:szCs w:val="21"/>
                <w:highlight w:val="none"/>
              </w:rPr>
            </w:pPr>
            <w:r>
              <w:rPr>
                <w:color w:val="auto"/>
                <w:szCs w:val="21"/>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环境质量</w:t>
            </w:r>
          </w:p>
          <w:p>
            <w:pPr>
              <w:spacing w:line="240" w:lineRule="auto"/>
              <w:jc w:val="center"/>
              <w:rPr>
                <w:color w:val="auto"/>
                <w:szCs w:val="21"/>
                <w:highlight w:val="none"/>
              </w:rPr>
            </w:pPr>
            <w:r>
              <w:rPr>
                <w:color w:val="auto"/>
                <w:szCs w:val="21"/>
                <w:highlight w:val="none"/>
              </w:rPr>
              <w:t>监测</w:t>
            </w:r>
          </w:p>
        </w:tc>
        <w:tc>
          <w:tcPr>
            <w:tcW w:w="2178" w:type="dxa"/>
            <w:gridSpan w:val="2"/>
            <w:vAlign w:val="center"/>
          </w:tcPr>
          <w:p>
            <w:pPr>
              <w:spacing w:line="240" w:lineRule="auto"/>
              <w:jc w:val="center"/>
              <w:rPr>
                <w:color w:val="auto"/>
                <w:szCs w:val="21"/>
                <w:highlight w:val="none"/>
              </w:rPr>
            </w:pPr>
            <w:r>
              <w:rPr>
                <w:color w:val="auto"/>
                <w:szCs w:val="21"/>
                <w:highlight w:val="none"/>
              </w:rPr>
              <w:t>监测因子（）</w:t>
            </w:r>
          </w:p>
        </w:tc>
        <w:tc>
          <w:tcPr>
            <w:tcW w:w="2331" w:type="dxa"/>
            <w:gridSpan w:val="3"/>
            <w:vAlign w:val="center"/>
          </w:tcPr>
          <w:p>
            <w:pPr>
              <w:spacing w:line="240" w:lineRule="auto"/>
              <w:jc w:val="center"/>
              <w:rPr>
                <w:color w:val="auto"/>
                <w:szCs w:val="21"/>
                <w:highlight w:val="none"/>
              </w:rPr>
            </w:pPr>
            <w:r>
              <w:rPr>
                <w:color w:val="auto"/>
                <w:szCs w:val="21"/>
                <w:highlight w:val="none"/>
              </w:rPr>
              <w:t>监测点位数（）</w:t>
            </w:r>
          </w:p>
        </w:tc>
        <w:tc>
          <w:tcPr>
            <w:tcW w:w="1971" w:type="dxa"/>
            <w:gridSpan w:val="2"/>
            <w:vAlign w:val="center"/>
          </w:tcPr>
          <w:p>
            <w:pPr>
              <w:spacing w:line="240" w:lineRule="auto"/>
              <w:jc w:val="center"/>
              <w:rPr>
                <w:color w:val="auto"/>
                <w:szCs w:val="21"/>
                <w:highlight w:val="none"/>
              </w:rPr>
            </w:pPr>
            <w:r>
              <w:rPr>
                <w:color w:val="auto"/>
                <w:szCs w:val="21"/>
                <w:highlight w:val="none"/>
              </w:rPr>
              <w:t>无监测</w:t>
            </w:r>
            <w:r>
              <w:rPr>
                <w:color w:val="auto"/>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restart"/>
            <w:vAlign w:val="center"/>
          </w:tcPr>
          <w:p>
            <w:pPr>
              <w:spacing w:line="240" w:lineRule="auto"/>
              <w:jc w:val="center"/>
              <w:rPr>
                <w:color w:val="auto"/>
                <w:szCs w:val="21"/>
                <w:highlight w:val="none"/>
              </w:rPr>
            </w:pPr>
            <w:r>
              <w:rPr>
                <w:color w:val="auto"/>
                <w:szCs w:val="21"/>
                <w:highlight w:val="none"/>
              </w:rPr>
              <w:t>评价结论</w:t>
            </w:r>
          </w:p>
        </w:tc>
        <w:tc>
          <w:tcPr>
            <w:tcW w:w="1311" w:type="dxa"/>
            <w:vAlign w:val="center"/>
          </w:tcPr>
          <w:p>
            <w:pPr>
              <w:spacing w:line="240" w:lineRule="auto"/>
              <w:jc w:val="center"/>
              <w:rPr>
                <w:color w:val="auto"/>
                <w:szCs w:val="21"/>
                <w:highlight w:val="none"/>
              </w:rPr>
            </w:pPr>
            <w:r>
              <w:rPr>
                <w:color w:val="auto"/>
                <w:szCs w:val="21"/>
                <w:highlight w:val="none"/>
              </w:rPr>
              <w:t>环境影响</w:t>
            </w:r>
          </w:p>
        </w:tc>
        <w:tc>
          <w:tcPr>
            <w:tcW w:w="6480" w:type="dxa"/>
            <w:gridSpan w:val="7"/>
            <w:vAlign w:val="center"/>
          </w:tcPr>
          <w:p>
            <w:pPr>
              <w:spacing w:line="240" w:lineRule="auto"/>
              <w:jc w:val="center"/>
              <w:rPr>
                <w:color w:val="auto"/>
                <w:szCs w:val="21"/>
                <w:highlight w:val="none"/>
              </w:rPr>
            </w:pPr>
            <w:r>
              <w:rPr>
                <w:color w:val="auto"/>
                <w:szCs w:val="21"/>
                <w:highlight w:val="none"/>
              </w:rPr>
              <w:t>可以接受</w:t>
            </w:r>
            <w:r>
              <w:rPr>
                <w:color w:val="auto"/>
                <w:szCs w:val="21"/>
                <w:highlight w:val="none"/>
              </w:rPr>
              <w:sym w:font="Wingdings" w:char="00FE"/>
            </w:r>
            <w:r>
              <w:rPr>
                <w:color w:val="auto"/>
                <w:szCs w:val="21"/>
                <w:highlight w:val="none"/>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大气环境</w:t>
            </w:r>
          </w:p>
          <w:p>
            <w:pPr>
              <w:spacing w:line="240" w:lineRule="auto"/>
              <w:jc w:val="center"/>
              <w:rPr>
                <w:color w:val="auto"/>
                <w:szCs w:val="21"/>
                <w:highlight w:val="none"/>
              </w:rPr>
            </w:pPr>
            <w:r>
              <w:rPr>
                <w:color w:val="auto"/>
                <w:szCs w:val="21"/>
                <w:highlight w:val="none"/>
              </w:rPr>
              <w:t>防护距离</w:t>
            </w:r>
          </w:p>
        </w:tc>
        <w:tc>
          <w:tcPr>
            <w:tcW w:w="6480" w:type="dxa"/>
            <w:gridSpan w:val="7"/>
            <w:vAlign w:val="center"/>
          </w:tcPr>
          <w:p>
            <w:pPr>
              <w:spacing w:line="240" w:lineRule="auto"/>
              <w:jc w:val="center"/>
              <w:rPr>
                <w:color w:val="auto"/>
                <w:szCs w:val="21"/>
                <w:highlight w:val="none"/>
              </w:rPr>
            </w:pPr>
            <w:r>
              <w:rPr>
                <w:color w:val="auto"/>
                <w:szCs w:val="21"/>
                <w:highlight w:val="none"/>
              </w:rPr>
              <w:t>不设大气防护距离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240" w:lineRule="auto"/>
              <w:jc w:val="center"/>
              <w:rPr>
                <w:color w:val="auto"/>
                <w:szCs w:val="21"/>
                <w:highlight w:val="none"/>
              </w:rPr>
            </w:pPr>
          </w:p>
        </w:tc>
        <w:tc>
          <w:tcPr>
            <w:tcW w:w="1311" w:type="dxa"/>
            <w:vAlign w:val="center"/>
          </w:tcPr>
          <w:p>
            <w:pPr>
              <w:spacing w:line="240" w:lineRule="auto"/>
              <w:jc w:val="center"/>
              <w:rPr>
                <w:color w:val="auto"/>
                <w:szCs w:val="21"/>
                <w:highlight w:val="none"/>
              </w:rPr>
            </w:pPr>
            <w:r>
              <w:rPr>
                <w:color w:val="auto"/>
                <w:szCs w:val="21"/>
                <w:highlight w:val="none"/>
              </w:rPr>
              <w:t>污染源年排放量</w:t>
            </w:r>
          </w:p>
        </w:tc>
        <w:tc>
          <w:tcPr>
            <w:tcW w:w="1414" w:type="dxa"/>
            <w:vAlign w:val="center"/>
          </w:tcPr>
          <w:p>
            <w:pPr>
              <w:spacing w:line="240" w:lineRule="auto"/>
              <w:jc w:val="center"/>
              <w:rPr>
                <w:color w:val="auto"/>
                <w:szCs w:val="21"/>
                <w:highlight w:val="none"/>
              </w:rPr>
            </w:pPr>
            <w:r>
              <w:rPr>
                <w:color w:val="auto"/>
                <w:szCs w:val="21"/>
                <w:highlight w:val="none"/>
              </w:rPr>
              <w:t>SO</w:t>
            </w:r>
            <w:r>
              <w:rPr>
                <w:color w:val="auto"/>
                <w:szCs w:val="21"/>
                <w:highlight w:val="none"/>
                <w:vertAlign w:val="subscript"/>
              </w:rPr>
              <w:t>2</w:t>
            </w:r>
            <w:r>
              <w:rPr>
                <w:color w:val="auto"/>
                <w:szCs w:val="21"/>
                <w:highlight w:val="none"/>
              </w:rPr>
              <w:t>：</w:t>
            </w:r>
          </w:p>
          <w:p>
            <w:pPr>
              <w:spacing w:line="240" w:lineRule="auto"/>
              <w:jc w:val="center"/>
              <w:rPr>
                <w:color w:val="auto"/>
                <w:szCs w:val="21"/>
                <w:highlight w:val="none"/>
              </w:rPr>
            </w:pPr>
            <w:r>
              <w:rPr>
                <w:color w:val="auto"/>
                <w:szCs w:val="21"/>
                <w:highlight w:val="none"/>
              </w:rPr>
              <w:t>（0）t/a</w:t>
            </w:r>
          </w:p>
        </w:tc>
        <w:tc>
          <w:tcPr>
            <w:tcW w:w="1487" w:type="dxa"/>
            <w:gridSpan w:val="2"/>
            <w:vAlign w:val="center"/>
          </w:tcPr>
          <w:p>
            <w:pPr>
              <w:spacing w:line="240" w:lineRule="auto"/>
              <w:jc w:val="center"/>
              <w:rPr>
                <w:color w:val="auto"/>
                <w:szCs w:val="21"/>
                <w:highlight w:val="none"/>
              </w:rPr>
            </w:pPr>
            <w:r>
              <w:rPr>
                <w:color w:val="auto"/>
                <w:szCs w:val="21"/>
                <w:highlight w:val="none"/>
              </w:rPr>
              <w:t>NOx：</w:t>
            </w:r>
          </w:p>
          <w:p>
            <w:pPr>
              <w:spacing w:line="240" w:lineRule="auto"/>
              <w:jc w:val="center"/>
              <w:rPr>
                <w:color w:val="auto"/>
                <w:szCs w:val="21"/>
                <w:highlight w:val="none"/>
              </w:rPr>
            </w:pPr>
            <w:r>
              <w:rPr>
                <w:color w:val="auto"/>
                <w:szCs w:val="21"/>
                <w:highlight w:val="none"/>
              </w:rPr>
              <w:t>（0）t/a</w:t>
            </w:r>
          </w:p>
        </w:tc>
        <w:tc>
          <w:tcPr>
            <w:tcW w:w="1608" w:type="dxa"/>
            <w:gridSpan w:val="2"/>
            <w:vAlign w:val="center"/>
          </w:tcPr>
          <w:p>
            <w:pPr>
              <w:pStyle w:val="526"/>
              <w:spacing w:line="240" w:lineRule="auto"/>
              <w:jc w:val="center"/>
              <w:rPr>
                <w:color w:val="auto"/>
                <w:spacing w:val="-113"/>
                <w:sz w:val="21"/>
                <w:highlight w:val="none"/>
              </w:rPr>
            </w:pPr>
            <w:r>
              <w:rPr>
                <w:color w:val="auto"/>
                <w:sz w:val="21"/>
                <w:highlight w:val="none"/>
              </w:rPr>
              <w:t>颗粒</w:t>
            </w:r>
            <w:r>
              <w:rPr>
                <w:color w:val="auto"/>
                <w:spacing w:val="1"/>
                <w:sz w:val="21"/>
                <w:highlight w:val="none"/>
              </w:rPr>
              <w:t>物</w:t>
            </w:r>
            <w:r>
              <w:rPr>
                <w:color w:val="auto"/>
                <w:spacing w:val="-113"/>
                <w:sz w:val="21"/>
                <w:highlight w:val="none"/>
              </w:rPr>
              <w:t>：</w:t>
            </w:r>
          </w:p>
          <w:p>
            <w:pPr>
              <w:pStyle w:val="526"/>
              <w:spacing w:line="240" w:lineRule="auto"/>
              <w:jc w:val="center"/>
              <w:rPr>
                <w:color w:val="auto"/>
                <w:sz w:val="21"/>
                <w:highlight w:val="none"/>
              </w:rPr>
            </w:pPr>
            <w:r>
              <w:rPr>
                <w:color w:val="auto"/>
                <w:sz w:val="21"/>
                <w:highlight w:val="none"/>
              </w:rPr>
              <w:t>（</w:t>
            </w:r>
            <w:r>
              <w:rPr>
                <w:rFonts w:hint="eastAsia"/>
                <w:color w:val="auto"/>
                <w:sz w:val="21"/>
                <w:highlight w:val="none"/>
                <w:lang w:val="en-US" w:eastAsia="zh-CN"/>
              </w:rPr>
              <w:t>0.06324</w:t>
            </w:r>
            <w:r>
              <w:rPr>
                <w:color w:val="auto"/>
                <w:sz w:val="21"/>
                <w:highlight w:val="none"/>
              </w:rPr>
              <w:t>）t/a</w:t>
            </w:r>
          </w:p>
        </w:tc>
        <w:tc>
          <w:tcPr>
            <w:tcW w:w="1971" w:type="dxa"/>
            <w:gridSpan w:val="2"/>
            <w:vAlign w:val="center"/>
          </w:tcPr>
          <w:p>
            <w:pPr>
              <w:pStyle w:val="526"/>
              <w:spacing w:line="240" w:lineRule="auto"/>
              <w:jc w:val="center"/>
              <w:rPr>
                <w:color w:val="auto"/>
                <w:spacing w:val="-113"/>
                <w:sz w:val="21"/>
                <w:highlight w:val="none"/>
              </w:rPr>
            </w:pPr>
            <w:r>
              <w:rPr>
                <w:rFonts w:hint="eastAsia"/>
                <w:color w:val="auto"/>
                <w:spacing w:val="1"/>
                <w:position w:val="-2"/>
                <w:sz w:val="21"/>
                <w:highlight w:val="none"/>
                <w:lang w:val="en-US" w:eastAsia="zh-CN"/>
              </w:rPr>
              <w:t>非甲烷总烃</w:t>
            </w:r>
            <w:r>
              <w:rPr>
                <w:color w:val="auto"/>
                <w:spacing w:val="-113"/>
                <w:sz w:val="21"/>
                <w:highlight w:val="none"/>
              </w:rPr>
              <w:t>：</w:t>
            </w:r>
          </w:p>
          <w:p>
            <w:pPr>
              <w:pStyle w:val="526"/>
              <w:spacing w:line="240" w:lineRule="auto"/>
              <w:jc w:val="center"/>
              <w:rPr>
                <w:color w:val="auto"/>
                <w:sz w:val="21"/>
                <w:highlight w:val="none"/>
              </w:rPr>
            </w:pPr>
            <w:r>
              <w:rPr>
                <w:color w:val="auto"/>
                <w:sz w:val="21"/>
                <w:highlight w:val="none"/>
              </w:rPr>
              <w:t>（</w:t>
            </w:r>
            <w:r>
              <w:rPr>
                <w:rFonts w:hint="eastAsia"/>
                <w:color w:val="auto"/>
                <w:sz w:val="21"/>
                <w:highlight w:val="none"/>
                <w:lang w:val="en-US" w:eastAsia="zh-CN"/>
              </w:rPr>
              <w:t>0.945</w:t>
            </w:r>
            <w:r>
              <w:rPr>
                <w:color w:val="auto"/>
                <w:sz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6" w:type="dxa"/>
            <w:gridSpan w:val="9"/>
            <w:vAlign w:val="center"/>
          </w:tcPr>
          <w:p>
            <w:pPr>
              <w:spacing w:line="240" w:lineRule="auto"/>
              <w:rPr>
                <w:color w:val="auto"/>
                <w:szCs w:val="21"/>
                <w:highlight w:val="none"/>
              </w:rPr>
            </w:pPr>
            <w:r>
              <w:rPr>
                <w:color w:val="auto"/>
                <w:szCs w:val="21"/>
                <w:highlight w:val="none"/>
              </w:rPr>
              <w:t>注：“□”为勾选项，填“√”；“（）”为内容填写项</w:t>
            </w:r>
          </w:p>
        </w:tc>
      </w:tr>
    </w:tbl>
    <w:p>
      <w:pPr>
        <w:keepNext/>
        <w:keepLines/>
        <w:spacing w:line="360" w:lineRule="auto"/>
        <w:outlineLvl w:val="2"/>
        <w:rPr>
          <w:b/>
          <w:bCs/>
          <w:color w:val="auto"/>
          <w:sz w:val="24"/>
          <w:highlight w:val="none"/>
        </w:rPr>
      </w:pPr>
      <w:bookmarkStart w:id="578" w:name="_Toc75908713"/>
      <w:bookmarkStart w:id="579" w:name="_Toc1783"/>
      <w:r>
        <w:rPr>
          <w:b/>
          <w:bCs/>
          <w:color w:val="auto"/>
          <w:sz w:val="24"/>
          <w:highlight w:val="none"/>
        </w:rPr>
        <w:t>5.2.2运营期地表水环境影响分析</w:t>
      </w:r>
      <w:bookmarkEnd w:id="578"/>
      <w:bookmarkEnd w:id="579"/>
    </w:p>
    <w:p>
      <w:pPr>
        <w:spacing w:line="360" w:lineRule="auto"/>
        <w:ind w:firstLine="460" w:firstLineChars="192"/>
        <w:rPr>
          <w:color w:val="auto"/>
          <w:sz w:val="24"/>
          <w:highlight w:val="none"/>
        </w:rPr>
      </w:pPr>
      <w:bookmarkStart w:id="580" w:name="_Toc75908714"/>
      <w:r>
        <w:rPr>
          <w:color w:val="auto"/>
          <w:sz w:val="24"/>
          <w:highlight w:val="none"/>
          <w:lang w:val="zh-CN"/>
        </w:rPr>
        <w:t>根据《环境影响评价技术导则</w:t>
      </w:r>
      <w:r>
        <w:rPr>
          <w:color w:val="auto"/>
          <w:sz w:val="24"/>
          <w:highlight w:val="none"/>
        </w:rPr>
        <w:t xml:space="preserve"> </w:t>
      </w:r>
      <w:r>
        <w:rPr>
          <w:color w:val="auto"/>
          <w:sz w:val="24"/>
          <w:highlight w:val="none"/>
          <w:lang w:val="zh-CN"/>
        </w:rPr>
        <w:t>地表水环境》（HJ2.3-2018）中5.2.2.2规定，建设项目生产工艺中有废水产生，但作为回水利用，不排放到外环境的，按三级B评价</w:t>
      </w:r>
      <w:r>
        <w:rPr>
          <w:color w:val="auto"/>
          <w:sz w:val="24"/>
          <w:highlight w:val="none"/>
        </w:rPr>
        <w:t>。因此判定本项目地表水环境影响评价等级为三级B，无需考虑评价时期，也可不进行水环境影响预测，进行水污染控制和水环境影响减缓措施有效性评价。</w:t>
      </w:r>
    </w:p>
    <w:p>
      <w:pPr>
        <w:spacing w:line="360" w:lineRule="auto"/>
        <w:rPr>
          <w:rFonts w:hint="eastAsia"/>
          <w:b/>
          <w:bCs/>
          <w:color w:val="auto"/>
          <w:sz w:val="24"/>
          <w:highlight w:val="none"/>
          <w:lang w:val="en-US" w:eastAsia="zh-CN"/>
        </w:rPr>
      </w:pPr>
      <w:bookmarkStart w:id="581" w:name="_Toc13825"/>
      <w:r>
        <w:rPr>
          <w:b/>
          <w:bCs/>
          <w:color w:val="auto"/>
          <w:sz w:val="24"/>
          <w:highlight w:val="none"/>
        </w:rPr>
        <w:t>5.2.2.1</w:t>
      </w:r>
      <w:r>
        <w:rPr>
          <w:rFonts w:hint="eastAsia"/>
          <w:b/>
          <w:bCs/>
          <w:color w:val="auto"/>
          <w:sz w:val="24"/>
          <w:highlight w:val="none"/>
          <w:lang w:val="en-US" w:eastAsia="zh-CN"/>
        </w:rPr>
        <w:t>项目废水产生情况</w:t>
      </w:r>
    </w:p>
    <w:p>
      <w:pPr>
        <w:spacing w:line="360" w:lineRule="auto"/>
        <w:ind w:firstLine="460" w:firstLineChars="192"/>
        <w:rPr>
          <w:rFonts w:hint="default"/>
          <w:color w:val="auto"/>
          <w:sz w:val="24"/>
          <w:highlight w:val="none"/>
          <w:lang w:val="en-US" w:eastAsia="zh-CN"/>
        </w:rPr>
      </w:pPr>
      <w:r>
        <w:rPr>
          <w:rFonts w:hint="eastAsia"/>
          <w:color w:val="auto"/>
          <w:sz w:val="24"/>
          <w:highlight w:val="none"/>
          <w:lang w:val="en-US" w:eastAsia="zh-CN"/>
        </w:rPr>
        <w:t>本项目运营期废水主要为冷却废水、地面清洁废水、员工生活污水，根据工程分析可知，本项目冷却废水产生量为30.8m</w:t>
      </w:r>
      <w:r>
        <w:rPr>
          <w:rFonts w:hint="eastAsia"/>
          <w:color w:val="auto"/>
          <w:sz w:val="24"/>
          <w:highlight w:val="none"/>
          <w:vertAlign w:val="superscript"/>
          <w:lang w:val="en-US" w:eastAsia="zh-CN"/>
        </w:rPr>
        <w:t>3</w:t>
      </w:r>
      <w:r>
        <w:rPr>
          <w:rFonts w:hint="eastAsia"/>
          <w:color w:val="auto"/>
          <w:sz w:val="24"/>
          <w:highlight w:val="none"/>
          <w:lang w:val="en-US" w:eastAsia="zh-CN"/>
        </w:rPr>
        <w:t>/d，9250m</w:t>
      </w:r>
      <w:r>
        <w:rPr>
          <w:rFonts w:hint="eastAsia"/>
          <w:color w:val="auto"/>
          <w:sz w:val="24"/>
          <w:highlight w:val="none"/>
          <w:vertAlign w:val="superscript"/>
          <w:lang w:val="en-US" w:eastAsia="zh-CN"/>
        </w:rPr>
        <w:t>3</w:t>
      </w:r>
      <w:r>
        <w:rPr>
          <w:rFonts w:hint="eastAsia"/>
          <w:color w:val="auto"/>
          <w:sz w:val="24"/>
          <w:highlight w:val="none"/>
          <w:lang w:val="en-US" w:eastAsia="zh-CN"/>
        </w:rPr>
        <w:t>/a；地面清洁废水产生量为0.18m</w:t>
      </w:r>
      <w:r>
        <w:rPr>
          <w:rFonts w:hint="eastAsia"/>
          <w:color w:val="auto"/>
          <w:sz w:val="24"/>
          <w:highlight w:val="none"/>
          <w:vertAlign w:val="superscript"/>
          <w:lang w:val="en-US" w:eastAsia="zh-CN"/>
        </w:rPr>
        <w:t>3</w:t>
      </w:r>
      <w:r>
        <w:rPr>
          <w:rFonts w:hint="eastAsia"/>
          <w:color w:val="auto"/>
          <w:sz w:val="24"/>
          <w:highlight w:val="none"/>
          <w:lang w:val="en-US" w:eastAsia="zh-CN"/>
        </w:rPr>
        <w:t>/d，54m</w:t>
      </w:r>
      <w:r>
        <w:rPr>
          <w:rFonts w:hint="eastAsia"/>
          <w:color w:val="auto"/>
          <w:sz w:val="24"/>
          <w:highlight w:val="none"/>
          <w:vertAlign w:val="superscript"/>
          <w:lang w:val="en-US" w:eastAsia="zh-CN"/>
        </w:rPr>
        <w:t>3</w:t>
      </w:r>
      <w:r>
        <w:rPr>
          <w:rFonts w:hint="eastAsia"/>
          <w:color w:val="auto"/>
          <w:sz w:val="24"/>
          <w:highlight w:val="none"/>
          <w:lang w:val="en-US" w:eastAsia="zh-CN"/>
        </w:rPr>
        <w:t>/a；员工生活污水产量为0.1992m</w:t>
      </w:r>
      <w:r>
        <w:rPr>
          <w:rFonts w:hint="eastAsia"/>
          <w:color w:val="auto"/>
          <w:sz w:val="24"/>
          <w:highlight w:val="none"/>
          <w:vertAlign w:val="superscript"/>
          <w:lang w:val="en-US" w:eastAsia="zh-CN"/>
        </w:rPr>
        <w:t>3</w:t>
      </w:r>
      <w:r>
        <w:rPr>
          <w:rFonts w:hint="eastAsia"/>
          <w:color w:val="auto"/>
          <w:sz w:val="24"/>
          <w:highlight w:val="none"/>
          <w:lang w:val="en-US" w:eastAsia="zh-CN"/>
        </w:rPr>
        <w:t>/d，59.76m</w:t>
      </w:r>
      <w:r>
        <w:rPr>
          <w:rFonts w:hint="eastAsia"/>
          <w:color w:val="auto"/>
          <w:sz w:val="24"/>
          <w:highlight w:val="none"/>
          <w:vertAlign w:val="superscript"/>
          <w:lang w:val="en-US" w:eastAsia="zh-CN"/>
        </w:rPr>
        <w:t>3</w:t>
      </w:r>
      <w:r>
        <w:rPr>
          <w:rFonts w:hint="eastAsia"/>
          <w:color w:val="auto"/>
          <w:sz w:val="24"/>
          <w:highlight w:val="none"/>
          <w:lang w:val="en-US" w:eastAsia="zh-CN"/>
        </w:rPr>
        <w:t>/a。</w:t>
      </w:r>
    </w:p>
    <w:p>
      <w:pPr>
        <w:spacing w:line="360" w:lineRule="auto"/>
        <w:rPr>
          <w:b/>
          <w:bCs/>
          <w:color w:val="auto"/>
          <w:sz w:val="24"/>
          <w:highlight w:val="none"/>
          <w:lang w:val="zh-CN"/>
        </w:rPr>
      </w:pPr>
      <w:r>
        <w:rPr>
          <w:rFonts w:hint="eastAsia"/>
          <w:b/>
          <w:bCs/>
          <w:color w:val="auto"/>
          <w:sz w:val="24"/>
          <w:highlight w:val="none"/>
          <w:lang w:val="en-US" w:eastAsia="zh-CN"/>
        </w:rPr>
        <w:t>5.2.2.2</w:t>
      </w:r>
      <w:r>
        <w:rPr>
          <w:b/>
          <w:bCs/>
          <w:color w:val="auto"/>
          <w:sz w:val="24"/>
          <w:highlight w:val="none"/>
          <w:lang w:val="zh-CN"/>
        </w:rPr>
        <w:t>项目废水去向</w:t>
      </w:r>
      <w:bookmarkEnd w:id="581"/>
    </w:p>
    <w:p>
      <w:pPr>
        <w:spacing w:line="360" w:lineRule="auto"/>
        <w:ind w:firstLine="460" w:firstLineChars="192"/>
        <w:rPr>
          <w:color w:val="auto"/>
          <w:sz w:val="24"/>
          <w:highlight w:val="none"/>
        </w:rPr>
      </w:pPr>
      <w:r>
        <w:rPr>
          <w:color w:val="auto"/>
          <w:sz w:val="24"/>
          <w:highlight w:val="none"/>
        </w:rPr>
        <w:t>根据工程分析可知，项目产生废水为生产废水和生活污水。</w:t>
      </w:r>
    </w:p>
    <w:p>
      <w:pPr>
        <w:pStyle w:val="537"/>
        <w:rPr>
          <w:rFonts w:cs="Times New Roman"/>
          <w:color w:val="auto"/>
          <w:szCs w:val="24"/>
          <w:highlight w:val="none"/>
        </w:rPr>
      </w:pPr>
      <w:r>
        <w:rPr>
          <w:rFonts w:cs="Times New Roman"/>
          <w:color w:val="auto"/>
          <w:szCs w:val="24"/>
          <w:highlight w:val="none"/>
        </w:rPr>
        <w:t>项目采取“雨污分流、清污分流”的排水体制，雨水通过雨水沟汇集后自流到</w:t>
      </w:r>
      <w:r>
        <w:rPr>
          <w:rFonts w:hint="eastAsia" w:cs="Times New Roman"/>
          <w:color w:val="auto"/>
          <w:szCs w:val="24"/>
          <w:highlight w:val="none"/>
          <w:lang w:val="en-US" w:eastAsia="zh-CN"/>
        </w:rPr>
        <w:t>附近沟渠</w:t>
      </w:r>
      <w:r>
        <w:rPr>
          <w:rFonts w:cs="Times New Roman"/>
          <w:color w:val="auto"/>
          <w:szCs w:val="24"/>
          <w:highlight w:val="none"/>
        </w:rPr>
        <w:t>。运营期废水主要为生产废水及生活污水。</w:t>
      </w:r>
    </w:p>
    <w:p>
      <w:pPr>
        <w:pStyle w:val="537"/>
        <w:rPr>
          <w:rFonts w:cs="Times New Roman"/>
          <w:color w:val="auto"/>
          <w:szCs w:val="24"/>
          <w:highlight w:val="none"/>
        </w:rPr>
      </w:pPr>
      <w:r>
        <w:rPr>
          <w:rFonts w:cs="Times New Roman"/>
          <w:color w:val="auto"/>
          <w:szCs w:val="24"/>
          <w:highlight w:val="none"/>
        </w:rPr>
        <w:t>项目</w:t>
      </w:r>
      <w:r>
        <w:rPr>
          <w:rFonts w:hint="eastAsia" w:cs="Times New Roman"/>
          <w:color w:val="auto"/>
          <w:szCs w:val="24"/>
          <w:highlight w:val="none"/>
          <w:lang w:val="en-US" w:eastAsia="zh-CN"/>
        </w:rPr>
        <w:t>生产过程中</w:t>
      </w:r>
      <w:r>
        <w:rPr>
          <w:color w:val="auto"/>
          <w:sz w:val="24"/>
          <w:highlight w:val="none"/>
        </w:rPr>
        <w:t>冷却水通过冷却</w:t>
      </w:r>
      <w:r>
        <w:rPr>
          <w:rFonts w:hint="eastAsia"/>
          <w:color w:val="auto"/>
          <w:sz w:val="24"/>
          <w:highlight w:val="none"/>
        </w:rPr>
        <w:t>水池</w:t>
      </w:r>
      <w:r>
        <w:rPr>
          <w:color w:val="auto"/>
          <w:sz w:val="24"/>
          <w:highlight w:val="none"/>
        </w:rPr>
        <w:t>收集后，全部循环使用不外排</w:t>
      </w:r>
      <w:r>
        <w:rPr>
          <w:rFonts w:hint="eastAsia" w:cs="Times New Roman"/>
          <w:color w:val="auto"/>
          <w:szCs w:val="24"/>
          <w:highlight w:val="none"/>
          <w:lang w:val="en-US" w:eastAsia="zh-CN"/>
        </w:rPr>
        <w:t>；地面清洁废水与生活污水一起经化粪池收集处理后，由建设单位定期清运至寻甸县水质净化厂处理。</w:t>
      </w:r>
    </w:p>
    <w:p>
      <w:pPr>
        <w:spacing w:line="360" w:lineRule="auto"/>
        <w:rPr>
          <w:rFonts w:hint="default" w:eastAsia="宋体"/>
          <w:b/>
          <w:bCs/>
          <w:color w:val="auto"/>
          <w:sz w:val="24"/>
          <w:highlight w:val="none"/>
          <w:lang w:val="en-US" w:eastAsia="zh-CN"/>
        </w:rPr>
      </w:pPr>
      <w:bookmarkStart w:id="582" w:name="_Toc29427"/>
      <w:r>
        <w:rPr>
          <w:b/>
          <w:bCs/>
          <w:color w:val="auto"/>
          <w:sz w:val="24"/>
          <w:highlight w:val="none"/>
        </w:rPr>
        <w:t>5.2.2.</w:t>
      </w:r>
      <w:r>
        <w:rPr>
          <w:rFonts w:hint="eastAsia"/>
          <w:b/>
          <w:bCs/>
          <w:color w:val="auto"/>
          <w:sz w:val="24"/>
          <w:highlight w:val="none"/>
          <w:lang w:val="en-US" w:eastAsia="zh-CN"/>
        </w:rPr>
        <w:t>3</w:t>
      </w:r>
      <w:bookmarkEnd w:id="582"/>
      <w:r>
        <w:rPr>
          <w:rFonts w:hint="eastAsia"/>
          <w:b/>
          <w:bCs/>
          <w:color w:val="auto"/>
          <w:sz w:val="24"/>
          <w:highlight w:val="none"/>
          <w:lang w:val="en-US" w:eastAsia="zh-CN"/>
        </w:rPr>
        <w:t>水污染控制和水环境影响减缓措施的有效性评价</w:t>
      </w:r>
    </w:p>
    <w:p>
      <w:pPr>
        <w:spacing w:line="360" w:lineRule="auto"/>
        <w:ind w:firstLine="463" w:firstLineChars="192"/>
        <w:rPr>
          <w:rFonts w:hint="default" w:eastAsia="宋体"/>
          <w:b/>
          <w:bCs/>
          <w:color w:val="auto"/>
          <w:sz w:val="24"/>
          <w:highlight w:val="none"/>
          <w:lang w:val="en-US" w:eastAsia="zh-CN"/>
        </w:rPr>
      </w:pPr>
      <w:r>
        <w:rPr>
          <w:rFonts w:hint="eastAsia"/>
          <w:b/>
          <w:bCs/>
          <w:color w:val="auto"/>
          <w:sz w:val="24"/>
          <w:highlight w:val="none"/>
        </w:rPr>
        <w:t>1、</w:t>
      </w:r>
      <w:r>
        <w:rPr>
          <w:rFonts w:hint="eastAsia"/>
          <w:b/>
          <w:bCs/>
          <w:color w:val="auto"/>
          <w:sz w:val="24"/>
          <w:highlight w:val="none"/>
          <w:lang w:val="en-US" w:eastAsia="zh-CN"/>
        </w:rPr>
        <w:t>化粪池处理设施可行性分析</w:t>
      </w:r>
    </w:p>
    <w:p>
      <w:pPr>
        <w:spacing w:line="360" w:lineRule="auto"/>
        <w:ind w:firstLine="460" w:firstLineChars="192"/>
        <w:rPr>
          <w:color w:val="auto"/>
          <w:sz w:val="24"/>
          <w:highlight w:val="none"/>
        </w:rPr>
      </w:pPr>
      <w:r>
        <w:rPr>
          <w:color w:val="auto"/>
          <w:sz w:val="24"/>
          <w:highlight w:val="none"/>
        </w:rPr>
        <w:t>根据《建筑</w:t>
      </w:r>
      <w:r>
        <w:rPr>
          <w:color w:val="auto"/>
          <w:spacing w:val="-4"/>
          <w:sz w:val="24"/>
          <w:highlight w:val="none"/>
        </w:rPr>
        <w:t>给排水设计规范》（</w:t>
      </w:r>
      <w:r>
        <w:rPr>
          <w:color w:val="auto"/>
          <w:sz w:val="24"/>
          <w:highlight w:val="none"/>
        </w:rPr>
        <w:t>GB50015-</w:t>
      </w:r>
      <w:r>
        <w:rPr>
          <w:rFonts w:hint="eastAsia"/>
          <w:color w:val="auto"/>
          <w:sz w:val="24"/>
          <w:highlight w:val="none"/>
        </w:rPr>
        <w:t>2019</w:t>
      </w:r>
      <w:r>
        <w:rPr>
          <w:color w:val="auto"/>
          <w:spacing w:val="-4"/>
          <w:sz w:val="24"/>
          <w:highlight w:val="none"/>
        </w:rPr>
        <w:t>），</w:t>
      </w:r>
      <w:r>
        <w:rPr>
          <w:color w:val="auto"/>
          <w:kern w:val="0"/>
          <w:sz w:val="24"/>
          <w:highlight w:val="none"/>
        </w:rPr>
        <w:t>化粪池总容积应满足废水停留时间12-24小时的要求，并做好防渗处理，化粪池宜建在便于机动车清掏的位置。项目租用</w:t>
      </w:r>
      <w:r>
        <w:rPr>
          <w:rFonts w:hint="eastAsia"/>
          <w:color w:val="auto"/>
          <w:kern w:val="0"/>
          <w:sz w:val="24"/>
          <w:highlight w:val="none"/>
          <w:lang w:val="en-US" w:eastAsia="zh-CN"/>
        </w:rPr>
        <w:t>寻甸回族彝族自治县原三月三铸造厂已建厂房，原三月三铸造厂内</w:t>
      </w:r>
      <w:r>
        <w:rPr>
          <w:color w:val="auto"/>
          <w:kern w:val="0"/>
          <w:sz w:val="24"/>
          <w:highlight w:val="none"/>
        </w:rPr>
        <w:t>已</w:t>
      </w:r>
      <w:r>
        <w:rPr>
          <w:color w:val="auto"/>
          <w:sz w:val="24"/>
          <w:highlight w:val="none"/>
          <w:lang w:val="zh-CN"/>
        </w:rPr>
        <w:t>设置</w:t>
      </w:r>
      <w:r>
        <w:rPr>
          <w:color w:val="auto"/>
          <w:sz w:val="24"/>
          <w:highlight w:val="none"/>
        </w:rPr>
        <w:t>1</w:t>
      </w:r>
      <w:r>
        <w:rPr>
          <w:color w:val="auto"/>
          <w:sz w:val="24"/>
          <w:highlight w:val="none"/>
          <w:lang w:val="zh-CN"/>
        </w:rPr>
        <w:t>个</w:t>
      </w:r>
      <w:r>
        <w:rPr>
          <w:color w:val="auto"/>
          <w:sz w:val="24"/>
          <w:highlight w:val="none"/>
        </w:rPr>
        <w:t>容积为</w:t>
      </w:r>
      <w:r>
        <w:rPr>
          <w:rFonts w:hint="eastAsia"/>
          <w:color w:val="auto"/>
          <w:sz w:val="24"/>
          <w:highlight w:val="none"/>
          <w:lang w:val="en-US" w:eastAsia="zh-CN"/>
        </w:rPr>
        <w:t>27</w:t>
      </w:r>
      <w:r>
        <w:rPr>
          <w:color w:val="auto"/>
          <w:sz w:val="24"/>
          <w:highlight w:val="none"/>
        </w:rPr>
        <w:t>m</w:t>
      </w:r>
      <w:r>
        <w:rPr>
          <w:color w:val="auto"/>
          <w:sz w:val="24"/>
          <w:highlight w:val="none"/>
          <w:vertAlign w:val="superscript"/>
        </w:rPr>
        <w:t>3</w:t>
      </w:r>
      <w:r>
        <w:rPr>
          <w:color w:val="auto"/>
          <w:sz w:val="24"/>
          <w:highlight w:val="none"/>
        </w:rPr>
        <w:t>的</w:t>
      </w:r>
      <w:r>
        <w:rPr>
          <w:color w:val="auto"/>
          <w:sz w:val="24"/>
          <w:highlight w:val="none"/>
          <w:lang w:val="zh-CN"/>
        </w:rPr>
        <w:t>化粪池</w:t>
      </w:r>
      <w:r>
        <w:rPr>
          <w:color w:val="auto"/>
          <w:sz w:val="24"/>
          <w:highlight w:val="none"/>
        </w:rPr>
        <w:t>，</w:t>
      </w:r>
      <w:r>
        <w:rPr>
          <w:color w:val="auto"/>
          <w:sz w:val="24"/>
          <w:highlight w:val="none"/>
          <w:lang w:val="zh-CN"/>
        </w:rPr>
        <w:t>对项目区</w:t>
      </w:r>
      <w:r>
        <w:rPr>
          <w:color w:val="auto"/>
          <w:sz w:val="24"/>
          <w:highlight w:val="none"/>
        </w:rPr>
        <w:t>生活废水</w:t>
      </w:r>
      <w:r>
        <w:rPr>
          <w:rFonts w:hint="eastAsia"/>
          <w:color w:val="auto"/>
          <w:sz w:val="24"/>
          <w:highlight w:val="none"/>
          <w:lang w:val="en-US" w:eastAsia="zh-CN"/>
        </w:rPr>
        <w:t>及地面清洗废水进行</w:t>
      </w:r>
      <w:r>
        <w:rPr>
          <w:color w:val="auto"/>
          <w:sz w:val="24"/>
          <w:highlight w:val="none"/>
        </w:rPr>
        <w:t>收集暂存</w:t>
      </w:r>
      <w:r>
        <w:rPr>
          <w:color w:val="auto"/>
          <w:sz w:val="24"/>
          <w:highlight w:val="none"/>
          <w:lang w:val="zh-CN"/>
        </w:rPr>
        <w:t>。</w:t>
      </w:r>
    </w:p>
    <w:p>
      <w:pPr>
        <w:adjustRightInd w:val="0"/>
        <w:snapToGrid w:val="0"/>
        <w:spacing w:line="360" w:lineRule="auto"/>
        <w:ind w:firstLine="480" w:firstLineChars="200"/>
        <w:rPr>
          <w:color w:val="auto"/>
          <w:sz w:val="24"/>
          <w:highlight w:val="none"/>
        </w:rPr>
      </w:pPr>
      <w:r>
        <w:rPr>
          <w:color w:val="auto"/>
          <w:sz w:val="24"/>
          <w:highlight w:val="none"/>
        </w:rPr>
        <w:t>根据工程分析，</w:t>
      </w:r>
      <w:r>
        <w:rPr>
          <w:rFonts w:hint="eastAsia"/>
          <w:color w:val="auto"/>
          <w:sz w:val="24"/>
          <w:highlight w:val="none"/>
        </w:rPr>
        <w:t>本项目运营过程中</w:t>
      </w:r>
      <w:r>
        <w:rPr>
          <w:color w:val="auto"/>
          <w:sz w:val="24"/>
          <w:highlight w:val="none"/>
        </w:rPr>
        <w:t>产生生活废水量为</w:t>
      </w:r>
      <w:r>
        <w:rPr>
          <w:rFonts w:hint="eastAsia"/>
          <w:color w:val="auto"/>
          <w:sz w:val="24"/>
          <w:highlight w:val="none"/>
          <w:lang w:val="en-US" w:eastAsia="zh-CN"/>
        </w:rPr>
        <w:t>0.1992</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d，地面清洗废水产生量为0.18m</w:t>
      </w:r>
      <w:r>
        <w:rPr>
          <w:rFonts w:hint="eastAsia"/>
          <w:color w:val="auto"/>
          <w:sz w:val="24"/>
          <w:highlight w:val="none"/>
          <w:vertAlign w:val="superscript"/>
          <w:lang w:val="en-US" w:eastAsia="zh-CN"/>
        </w:rPr>
        <w:t>3</w:t>
      </w:r>
      <w:r>
        <w:rPr>
          <w:rFonts w:hint="eastAsia"/>
          <w:color w:val="auto"/>
          <w:sz w:val="24"/>
          <w:highlight w:val="none"/>
          <w:lang w:val="en-US" w:eastAsia="zh-CN"/>
        </w:rPr>
        <w:t>/d，废水总量为0.3792m</w:t>
      </w:r>
      <w:r>
        <w:rPr>
          <w:rFonts w:hint="eastAsia"/>
          <w:color w:val="auto"/>
          <w:sz w:val="24"/>
          <w:highlight w:val="none"/>
          <w:vertAlign w:val="superscript"/>
          <w:lang w:val="en-US" w:eastAsia="zh-CN"/>
        </w:rPr>
        <w:t>3</w:t>
      </w:r>
      <w:r>
        <w:rPr>
          <w:rFonts w:hint="eastAsia"/>
          <w:color w:val="auto"/>
          <w:sz w:val="24"/>
          <w:highlight w:val="none"/>
          <w:lang w:val="en-US" w:eastAsia="zh-CN"/>
        </w:rPr>
        <w:t>/d；</w:t>
      </w:r>
      <w:r>
        <w:rPr>
          <w:color w:val="auto"/>
          <w:sz w:val="24"/>
          <w:highlight w:val="none"/>
        </w:rPr>
        <w:t>生活污水</w:t>
      </w:r>
      <w:r>
        <w:rPr>
          <w:rFonts w:hint="eastAsia"/>
          <w:color w:val="auto"/>
          <w:sz w:val="24"/>
          <w:highlight w:val="none"/>
          <w:lang w:val="en-US" w:eastAsia="zh-CN"/>
        </w:rPr>
        <w:t>及地面清洗废水</w:t>
      </w:r>
      <w:r>
        <w:rPr>
          <w:color w:val="auto"/>
          <w:sz w:val="24"/>
          <w:highlight w:val="none"/>
        </w:rPr>
        <w:t>排入</w:t>
      </w:r>
      <w:r>
        <w:rPr>
          <w:rFonts w:hint="eastAsia"/>
          <w:color w:val="auto"/>
          <w:sz w:val="24"/>
          <w:highlight w:val="none"/>
          <w:lang w:val="en-US" w:eastAsia="zh-CN"/>
        </w:rPr>
        <w:t>原三月三铸造厂已建</w:t>
      </w:r>
      <w:r>
        <w:rPr>
          <w:color w:val="auto"/>
          <w:sz w:val="24"/>
          <w:highlight w:val="none"/>
        </w:rPr>
        <w:t>化粪池处理后，</w:t>
      </w:r>
      <w:r>
        <w:rPr>
          <w:rFonts w:hint="eastAsia"/>
          <w:color w:val="auto"/>
          <w:sz w:val="24"/>
          <w:highlight w:val="none"/>
          <w:lang w:val="en-US" w:eastAsia="zh-CN"/>
        </w:rPr>
        <w:t>由建设单位定期清运至寻甸县水质净化厂。</w:t>
      </w:r>
      <w:r>
        <w:rPr>
          <w:color w:val="auto"/>
          <w:sz w:val="24"/>
          <w:highlight w:val="none"/>
          <w:lang w:val="zh-CN"/>
        </w:rPr>
        <w:t>现有</w:t>
      </w:r>
      <w:r>
        <w:rPr>
          <w:rFonts w:hint="eastAsia"/>
          <w:color w:val="auto"/>
          <w:sz w:val="24"/>
          <w:highlight w:val="none"/>
          <w:lang w:val="en-US" w:eastAsia="zh-CN"/>
        </w:rPr>
        <w:t>27</w:t>
      </w:r>
      <w:r>
        <w:rPr>
          <w:color w:val="auto"/>
          <w:sz w:val="24"/>
          <w:highlight w:val="none"/>
        </w:rPr>
        <w:t>m</w:t>
      </w:r>
      <w:r>
        <w:rPr>
          <w:color w:val="auto"/>
          <w:sz w:val="24"/>
          <w:highlight w:val="none"/>
          <w:vertAlign w:val="superscript"/>
        </w:rPr>
        <w:t>3</w:t>
      </w:r>
      <w:r>
        <w:rPr>
          <w:color w:val="auto"/>
          <w:sz w:val="24"/>
          <w:highlight w:val="none"/>
          <w:lang w:val="zh-CN"/>
        </w:rPr>
        <w:t>化粪池能够</w:t>
      </w:r>
      <w:r>
        <w:rPr>
          <w:color w:val="auto"/>
          <w:sz w:val="24"/>
          <w:highlight w:val="none"/>
        </w:rPr>
        <w:t>满足污水在池内停留时间12h-24h要求</w:t>
      </w:r>
      <w:r>
        <w:rPr>
          <w:color w:val="auto"/>
          <w:sz w:val="24"/>
          <w:highlight w:val="none"/>
          <w:lang w:val="zh-CN"/>
        </w:rPr>
        <w:t>，能够保证废水的去除率，</w:t>
      </w:r>
      <w:r>
        <w:rPr>
          <w:color w:val="auto"/>
          <w:kern w:val="0"/>
          <w:sz w:val="24"/>
          <w:highlight w:val="none"/>
        </w:rPr>
        <w:t>熟化效果较好；此外，</w:t>
      </w:r>
      <w:r>
        <w:rPr>
          <w:color w:val="auto"/>
          <w:sz w:val="24"/>
          <w:highlight w:val="none"/>
        </w:rPr>
        <w:t>经查阅资料，化粪池CODcr去除效率约</w:t>
      </w:r>
      <w:r>
        <w:rPr>
          <w:rFonts w:hint="eastAsia"/>
          <w:color w:val="auto"/>
          <w:sz w:val="24"/>
          <w:highlight w:val="none"/>
          <w:lang w:val="en-US" w:eastAsia="zh-CN"/>
        </w:rPr>
        <w:t>2</w:t>
      </w:r>
      <w:r>
        <w:rPr>
          <w:color w:val="auto"/>
          <w:sz w:val="24"/>
          <w:highlight w:val="none"/>
        </w:rPr>
        <w:t>5%、BOD</w:t>
      </w:r>
      <w:r>
        <w:rPr>
          <w:color w:val="auto"/>
          <w:sz w:val="24"/>
          <w:highlight w:val="none"/>
          <w:vertAlign w:val="subscript"/>
        </w:rPr>
        <w:t>5</w:t>
      </w:r>
      <w:r>
        <w:rPr>
          <w:color w:val="auto"/>
          <w:sz w:val="24"/>
          <w:highlight w:val="none"/>
        </w:rPr>
        <w:t>去除效率约1</w:t>
      </w:r>
      <w:r>
        <w:rPr>
          <w:rFonts w:hint="eastAsia"/>
          <w:color w:val="auto"/>
          <w:sz w:val="24"/>
          <w:highlight w:val="none"/>
          <w:lang w:val="en-US" w:eastAsia="zh-CN"/>
        </w:rPr>
        <w:t>0</w:t>
      </w:r>
      <w:r>
        <w:rPr>
          <w:color w:val="auto"/>
          <w:sz w:val="24"/>
          <w:highlight w:val="none"/>
        </w:rPr>
        <w:t>%、悬浮物去除效率约</w:t>
      </w:r>
      <w:r>
        <w:rPr>
          <w:rFonts w:hint="eastAsia"/>
          <w:color w:val="auto"/>
          <w:sz w:val="24"/>
          <w:highlight w:val="none"/>
          <w:lang w:val="en-US" w:eastAsia="zh-CN"/>
        </w:rPr>
        <w:t>55</w:t>
      </w:r>
      <w:r>
        <w:rPr>
          <w:color w:val="auto"/>
          <w:sz w:val="24"/>
          <w:highlight w:val="none"/>
        </w:rPr>
        <w:t>%，对</w:t>
      </w:r>
      <w:r>
        <w:rPr>
          <w:color w:val="auto"/>
          <w:spacing w:val="-2"/>
          <w:sz w:val="24"/>
          <w:highlight w:val="none"/>
          <w:lang w:val="zh-CN"/>
        </w:rPr>
        <w:t>NH</w:t>
      </w:r>
      <w:r>
        <w:rPr>
          <w:color w:val="auto"/>
          <w:spacing w:val="-2"/>
          <w:sz w:val="24"/>
          <w:highlight w:val="none"/>
          <w:vertAlign w:val="subscript"/>
          <w:lang w:val="zh-CN"/>
        </w:rPr>
        <w:t>3</w:t>
      </w:r>
      <w:r>
        <w:rPr>
          <w:color w:val="auto"/>
          <w:spacing w:val="-2"/>
          <w:sz w:val="24"/>
          <w:highlight w:val="none"/>
          <w:lang w:val="zh-CN"/>
        </w:rPr>
        <w:t>-N</w:t>
      </w:r>
      <w:r>
        <w:rPr>
          <w:rFonts w:hint="eastAsia"/>
          <w:color w:val="auto"/>
          <w:spacing w:val="-2"/>
          <w:sz w:val="24"/>
          <w:highlight w:val="none"/>
          <w:lang w:val="zh-CN"/>
        </w:rPr>
        <w:t>、</w:t>
      </w:r>
      <w:r>
        <w:rPr>
          <w:rFonts w:hint="eastAsia"/>
          <w:color w:val="auto"/>
          <w:spacing w:val="-2"/>
          <w:sz w:val="24"/>
          <w:highlight w:val="none"/>
          <w:lang w:val="en-US" w:eastAsia="zh-CN"/>
        </w:rPr>
        <w:t>总磷</w:t>
      </w:r>
      <w:r>
        <w:rPr>
          <w:color w:val="auto"/>
          <w:sz w:val="24"/>
          <w:highlight w:val="none"/>
        </w:rPr>
        <w:t>几乎没有去除能力，</w:t>
      </w:r>
      <w:r>
        <w:rPr>
          <w:rFonts w:hint="eastAsia"/>
          <w:color w:val="auto"/>
          <w:sz w:val="24"/>
          <w:highlight w:val="none"/>
        </w:rPr>
        <w:t>根据化粪池生活废水水质出口经验值，化粪池出口水质各污染物浓度均可以达到《污水排入城镇下水道水质标准》（GB/T31962-2015）表1（</w:t>
      </w:r>
      <w:r>
        <w:rPr>
          <w:rFonts w:hint="eastAsia"/>
          <w:color w:val="auto"/>
          <w:sz w:val="24"/>
          <w:highlight w:val="none"/>
          <w:lang w:val="en-US" w:eastAsia="zh-CN"/>
        </w:rPr>
        <w:t>B</w:t>
      </w:r>
      <w:r>
        <w:rPr>
          <w:rFonts w:hint="eastAsia"/>
          <w:color w:val="auto"/>
          <w:sz w:val="24"/>
          <w:highlight w:val="none"/>
        </w:rPr>
        <w:t>）级标准</w:t>
      </w:r>
      <w:r>
        <w:rPr>
          <w:rFonts w:hint="eastAsia"/>
          <w:color w:val="auto"/>
          <w:sz w:val="24"/>
          <w:highlight w:val="none"/>
          <w:lang w:val="en-US" w:eastAsia="zh-CN"/>
        </w:rPr>
        <w:t>及</w:t>
      </w:r>
      <w:r>
        <w:rPr>
          <w:rFonts w:hint="eastAsia" w:cs="Times New Roman"/>
          <w:color w:val="auto"/>
          <w:sz w:val="24"/>
          <w:szCs w:val="24"/>
          <w:highlight w:val="none"/>
          <w:vertAlign w:val="baseline"/>
          <w:lang w:val="en-US" w:eastAsia="zh-CN"/>
        </w:rPr>
        <w:t>生活废水委托处理合同商定的排放协议标准</w:t>
      </w:r>
      <w:r>
        <w:rPr>
          <w:rFonts w:hint="eastAsia"/>
          <w:color w:val="auto"/>
          <w:sz w:val="24"/>
          <w:highlight w:val="none"/>
        </w:rPr>
        <w:t>要求，因此，项目生活废水</w:t>
      </w:r>
      <w:r>
        <w:rPr>
          <w:rFonts w:hint="eastAsia"/>
          <w:color w:val="auto"/>
          <w:sz w:val="24"/>
          <w:highlight w:val="none"/>
          <w:lang w:val="en-US" w:eastAsia="zh-CN"/>
        </w:rPr>
        <w:t>和地面清洗废水依托已有27m</w:t>
      </w:r>
      <w:r>
        <w:rPr>
          <w:rFonts w:hint="eastAsia"/>
          <w:color w:val="auto"/>
          <w:sz w:val="24"/>
          <w:highlight w:val="none"/>
          <w:vertAlign w:val="superscript"/>
          <w:lang w:val="en-US" w:eastAsia="zh-CN"/>
        </w:rPr>
        <w:t>3</w:t>
      </w:r>
      <w:r>
        <w:rPr>
          <w:rFonts w:hint="eastAsia"/>
          <w:color w:val="auto"/>
          <w:sz w:val="24"/>
          <w:highlight w:val="none"/>
          <w:lang w:val="en-US" w:eastAsia="zh-CN"/>
        </w:rPr>
        <w:t>的</w:t>
      </w:r>
      <w:r>
        <w:rPr>
          <w:rFonts w:hint="eastAsia"/>
          <w:color w:val="auto"/>
          <w:sz w:val="24"/>
          <w:highlight w:val="none"/>
        </w:rPr>
        <w:t>化粪池进行处理</w:t>
      </w:r>
      <w:r>
        <w:rPr>
          <w:rFonts w:hint="eastAsia"/>
          <w:color w:val="auto"/>
          <w:sz w:val="24"/>
          <w:highlight w:val="none"/>
          <w:lang w:val="en-US" w:eastAsia="zh-CN"/>
        </w:rPr>
        <w:t>是</w:t>
      </w:r>
      <w:r>
        <w:rPr>
          <w:rFonts w:hint="eastAsia"/>
          <w:color w:val="auto"/>
          <w:sz w:val="24"/>
          <w:highlight w:val="none"/>
        </w:rPr>
        <w:t>可行的。</w:t>
      </w:r>
    </w:p>
    <w:p>
      <w:pPr>
        <w:spacing w:line="360" w:lineRule="auto"/>
        <w:ind w:firstLine="482" w:firstLineChars="200"/>
        <w:rPr>
          <w:b/>
          <w:bCs/>
          <w:color w:val="auto"/>
          <w:kern w:val="0"/>
          <w:sz w:val="24"/>
          <w:szCs w:val="20"/>
          <w:highlight w:val="none"/>
        </w:rPr>
      </w:pPr>
      <w:r>
        <w:rPr>
          <w:rFonts w:hint="eastAsia"/>
          <w:b/>
          <w:bCs/>
          <w:color w:val="auto"/>
          <w:kern w:val="0"/>
          <w:sz w:val="24"/>
          <w:szCs w:val="20"/>
          <w:highlight w:val="none"/>
        </w:rPr>
        <w:t>2</w:t>
      </w:r>
      <w:r>
        <w:rPr>
          <w:b/>
          <w:bCs/>
          <w:color w:val="auto"/>
          <w:kern w:val="0"/>
          <w:sz w:val="24"/>
          <w:szCs w:val="20"/>
          <w:highlight w:val="none"/>
        </w:rPr>
        <w:t>、</w:t>
      </w:r>
      <w:r>
        <w:rPr>
          <w:rFonts w:hint="eastAsia"/>
          <w:b/>
          <w:bCs/>
          <w:color w:val="auto"/>
          <w:kern w:val="0"/>
          <w:sz w:val="24"/>
          <w:szCs w:val="20"/>
          <w:highlight w:val="none"/>
          <w:lang w:val="en-US" w:eastAsia="zh-CN"/>
        </w:rPr>
        <w:t>项目废水</w:t>
      </w:r>
      <w:r>
        <w:rPr>
          <w:b/>
          <w:bCs/>
          <w:color w:val="auto"/>
          <w:kern w:val="0"/>
          <w:sz w:val="24"/>
          <w:szCs w:val="20"/>
          <w:highlight w:val="none"/>
        </w:rPr>
        <w:t>不外排可行性分析</w:t>
      </w:r>
    </w:p>
    <w:p>
      <w:pPr>
        <w:spacing w:line="360" w:lineRule="auto"/>
        <w:ind w:firstLine="480" w:firstLineChars="200"/>
        <w:rPr>
          <w:rFonts w:hint="eastAsia"/>
          <w:color w:val="auto"/>
          <w:sz w:val="24"/>
          <w:highlight w:val="none"/>
          <w:lang w:val="en-US" w:eastAsia="zh-CN"/>
        </w:rPr>
      </w:pPr>
      <w:r>
        <w:rPr>
          <w:color w:val="auto"/>
          <w:sz w:val="24"/>
          <w:highlight w:val="none"/>
        </w:rPr>
        <w:t>根据化粪池处理效率进行分析，</w:t>
      </w:r>
      <w:r>
        <w:rPr>
          <w:rFonts w:hint="eastAsia"/>
          <w:color w:val="auto"/>
          <w:sz w:val="24"/>
          <w:highlight w:val="none"/>
          <w:lang w:val="en-US" w:eastAsia="zh-CN"/>
        </w:rPr>
        <w:t>化粪池生活废水出口水质各污染物浓度为：</w:t>
      </w:r>
      <w:r>
        <w:rPr>
          <w:rFonts w:hint="eastAsia"/>
          <w:color w:val="auto"/>
          <w:sz w:val="24"/>
          <w:highlight w:val="none"/>
        </w:rPr>
        <w:t>COD</w:t>
      </w:r>
      <w:r>
        <w:rPr>
          <w:rFonts w:hint="eastAsia"/>
          <w:color w:val="auto"/>
          <w:sz w:val="24"/>
          <w:highlight w:val="none"/>
          <w:vertAlign w:val="subscript"/>
        </w:rPr>
        <w:t>cr</w:t>
      </w:r>
      <w:r>
        <w:rPr>
          <w:rFonts w:hint="eastAsia"/>
          <w:color w:val="auto"/>
          <w:sz w:val="24"/>
          <w:highlight w:val="none"/>
        </w:rPr>
        <w:t>：300mg/L、BOD</w:t>
      </w:r>
      <w:r>
        <w:rPr>
          <w:rFonts w:hint="eastAsia"/>
          <w:color w:val="auto"/>
          <w:sz w:val="24"/>
          <w:highlight w:val="none"/>
          <w:vertAlign w:val="subscript"/>
        </w:rPr>
        <w:t>5</w:t>
      </w:r>
      <w:r>
        <w:rPr>
          <w:rFonts w:hint="eastAsia"/>
          <w:color w:val="auto"/>
          <w:sz w:val="24"/>
          <w:highlight w:val="none"/>
        </w:rPr>
        <w:t>：180mg/L、SS：100mg/L、NH</w:t>
      </w:r>
      <w:r>
        <w:rPr>
          <w:rFonts w:hint="eastAsia"/>
          <w:color w:val="auto"/>
          <w:sz w:val="24"/>
          <w:highlight w:val="none"/>
          <w:vertAlign w:val="subscript"/>
        </w:rPr>
        <w:t>3</w:t>
      </w:r>
      <w:r>
        <w:rPr>
          <w:rFonts w:hint="eastAsia"/>
          <w:color w:val="auto"/>
          <w:sz w:val="24"/>
          <w:highlight w:val="none"/>
        </w:rPr>
        <w:t>-N：25mg/L</w:t>
      </w:r>
      <w:r>
        <w:rPr>
          <w:rFonts w:hint="eastAsia"/>
          <w:color w:val="auto"/>
          <w:sz w:val="24"/>
          <w:highlight w:val="none"/>
          <w:lang w:eastAsia="zh-CN"/>
        </w:rPr>
        <w:t>、</w:t>
      </w:r>
      <w:r>
        <w:rPr>
          <w:rFonts w:hint="eastAsia"/>
          <w:color w:val="auto"/>
          <w:sz w:val="24"/>
          <w:highlight w:val="none"/>
          <w:lang w:val="en-US" w:eastAsia="zh-CN"/>
        </w:rPr>
        <w:t>总磷：4.28mg/L</w:t>
      </w:r>
      <w:r>
        <w:rPr>
          <w:rFonts w:hint="eastAsia"/>
          <w:color w:val="auto"/>
          <w:sz w:val="24"/>
          <w:highlight w:val="none"/>
        </w:rPr>
        <w:t>，可以达到《污水排入城镇下水道水质标准》（GB/T31962-2015）表1（</w:t>
      </w:r>
      <w:r>
        <w:rPr>
          <w:rFonts w:hint="eastAsia"/>
          <w:color w:val="auto"/>
          <w:sz w:val="24"/>
          <w:highlight w:val="none"/>
          <w:lang w:val="en-US" w:eastAsia="zh-CN"/>
        </w:rPr>
        <w:t>B</w:t>
      </w:r>
      <w:r>
        <w:rPr>
          <w:rFonts w:hint="eastAsia"/>
          <w:color w:val="auto"/>
          <w:sz w:val="24"/>
          <w:highlight w:val="none"/>
        </w:rPr>
        <w:t>）级标准</w:t>
      </w:r>
      <w:r>
        <w:rPr>
          <w:rFonts w:hint="eastAsia"/>
          <w:color w:val="auto"/>
          <w:sz w:val="24"/>
          <w:highlight w:val="none"/>
          <w:lang w:val="en-US" w:eastAsia="zh-CN"/>
        </w:rPr>
        <w:t>及</w:t>
      </w:r>
      <w:r>
        <w:rPr>
          <w:rFonts w:hint="eastAsia" w:cs="Times New Roman"/>
          <w:color w:val="auto"/>
          <w:sz w:val="24"/>
          <w:szCs w:val="24"/>
          <w:highlight w:val="none"/>
          <w:vertAlign w:val="baseline"/>
          <w:lang w:val="en-US" w:eastAsia="zh-CN"/>
        </w:rPr>
        <w:t>生活废水委托处理合同商定的排放协议标准</w:t>
      </w:r>
      <w:r>
        <w:rPr>
          <w:rFonts w:hint="eastAsia"/>
          <w:color w:val="auto"/>
          <w:sz w:val="24"/>
          <w:highlight w:val="none"/>
        </w:rPr>
        <w:t>，各污染物排放量为CODcr：</w:t>
      </w:r>
      <w:r>
        <w:rPr>
          <w:rFonts w:hint="eastAsia"/>
          <w:color w:val="auto"/>
          <w:sz w:val="24"/>
          <w:highlight w:val="none"/>
          <w:lang w:val="en-US" w:eastAsia="zh-CN"/>
        </w:rPr>
        <w:t>0.114</w:t>
      </w:r>
      <w:r>
        <w:rPr>
          <w:rFonts w:hint="eastAsia"/>
          <w:color w:val="auto"/>
          <w:sz w:val="24"/>
          <w:highlight w:val="none"/>
        </w:rPr>
        <w:t>kg/d、</w:t>
      </w:r>
      <w:r>
        <w:rPr>
          <w:rFonts w:hint="eastAsia"/>
          <w:color w:val="auto"/>
          <w:sz w:val="24"/>
          <w:highlight w:val="none"/>
          <w:lang w:val="en-US" w:eastAsia="zh-CN"/>
        </w:rPr>
        <w:t>0.034</w:t>
      </w:r>
      <w:r>
        <w:rPr>
          <w:rFonts w:hint="eastAsia"/>
          <w:color w:val="auto"/>
          <w:sz w:val="24"/>
          <w:highlight w:val="none"/>
        </w:rPr>
        <w:t>t/a；BOD</w:t>
      </w:r>
      <w:r>
        <w:rPr>
          <w:rFonts w:hint="eastAsia"/>
          <w:color w:val="auto"/>
          <w:sz w:val="24"/>
          <w:highlight w:val="none"/>
          <w:vertAlign w:val="subscript"/>
        </w:rPr>
        <w:t>5</w:t>
      </w:r>
      <w:r>
        <w:rPr>
          <w:rFonts w:hint="eastAsia"/>
          <w:color w:val="auto"/>
          <w:sz w:val="24"/>
          <w:highlight w:val="none"/>
        </w:rPr>
        <w:t>：</w:t>
      </w:r>
      <w:r>
        <w:rPr>
          <w:rFonts w:hint="eastAsia"/>
          <w:color w:val="auto"/>
          <w:sz w:val="24"/>
          <w:highlight w:val="none"/>
          <w:lang w:val="en-US" w:eastAsia="zh-CN"/>
        </w:rPr>
        <w:t>0.068</w:t>
      </w:r>
      <w:r>
        <w:rPr>
          <w:rFonts w:hint="eastAsia"/>
          <w:color w:val="auto"/>
          <w:sz w:val="24"/>
          <w:highlight w:val="none"/>
        </w:rPr>
        <w:t>kg/d、</w:t>
      </w:r>
      <w:r>
        <w:rPr>
          <w:rFonts w:hint="eastAsia"/>
          <w:color w:val="auto"/>
          <w:sz w:val="24"/>
          <w:highlight w:val="none"/>
          <w:lang w:val="en-US" w:eastAsia="zh-CN"/>
        </w:rPr>
        <w:t>0.0205</w:t>
      </w:r>
      <w:r>
        <w:rPr>
          <w:rFonts w:hint="eastAsia"/>
          <w:color w:val="auto"/>
          <w:sz w:val="24"/>
          <w:highlight w:val="none"/>
        </w:rPr>
        <w:t>t/a；SS：</w:t>
      </w:r>
      <w:r>
        <w:rPr>
          <w:rFonts w:hint="eastAsia"/>
          <w:color w:val="auto"/>
          <w:sz w:val="24"/>
          <w:highlight w:val="none"/>
          <w:lang w:val="en-US" w:eastAsia="zh-CN"/>
        </w:rPr>
        <w:t>0.038</w:t>
      </w:r>
      <w:r>
        <w:rPr>
          <w:rFonts w:hint="eastAsia"/>
          <w:color w:val="auto"/>
          <w:sz w:val="24"/>
          <w:highlight w:val="none"/>
        </w:rPr>
        <w:t>kg/d、</w:t>
      </w:r>
      <w:r>
        <w:rPr>
          <w:rFonts w:hint="eastAsia"/>
          <w:color w:val="auto"/>
          <w:sz w:val="24"/>
          <w:highlight w:val="none"/>
          <w:lang w:val="en-US" w:eastAsia="zh-CN"/>
        </w:rPr>
        <w:t>0.0114</w:t>
      </w:r>
      <w:r>
        <w:rPr>
          <w:rFonts w:hint="eastAsia"/>
          <w:color w:val="auto"/>
          <w:sz w:val="24"/>
          <w:highlight w:val="none"/>
        </w:rPr>
        <w:t>t/a；NH3-N：</w:t>
      </w:r>
      <w:r>
        <w:rPr>
          <w:rFonts w:hint="eastAsia"/>
          <w:color w:val="auto"/>
          <w:sz w:val="24"/>
          <w:highlight w:val="none"/>
          <w:lang w:val="en-US" w:eastAsia="zh-CN"/>
        </w:rPr>
        <w:t>0.0095</w:t>
      </w:r>
      <w:r>
        <w:rPr>
          <w:rFonts w:hint="eastAsia"/>
          <w:color w:val="auto"/>
          <w:sz w:val="24"/>
          <w:highlight w:val="none"/>
        </w:rPr>
        <w:t>kg/d、</w:t>
      </w:r>
      <w:r>
        <w:rPr>
          <w:rFonts w:hint="eastAsia"/>
          <w:color w:val="auto"/>
          <w:sz w:val="24"/>
          <w:highlight w:val="none"/>
          <w:lang w:val="en-US" w:eastAsia="zh-CN"/>
        </w:rPr>
        <w:t>0.0028</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总磷：0.00083kg/d、0.00025t/a</w:t>
      </w:r>
      <w:r>
        <w:rPr>
          <w:rFonts w:hint="eastAsia"/>
          <w:color w:val="auto"/>
          <w:sz w:val="24"/>
          <w:highlight w:val="none"/>
        </w:rPr>
        <w:t>；</w:t>
      </w:r>
      <w:r>
        <w:rPr>
          <w:rFonts w:hint="eastAsia"/>
          <w:color w:val="auto"/>
          <w:sz w:val="24"/>
          <w:highlight w:val="none"/>
          <w:lang w:val="en-US" w:eastAsia="zh-CN"/>
        </w:rPr>
        <w:t>项目区内已有一个容积为27m</w:t>
      </w:r>
      <w:r>
        <w:rPr>
          <w:rFonts w:hint="eastAsia"/>
          <w:color w:val="auto"/>
          <w:sz w:val="24"/>
          <w:highlight w:val="none"/>
          <w:vertAlign w:val="superscript"/>
          <w:lang w:val="en-US" w:eastAsia="zh-CN"/>
        </w:rPr>
        <w:t>3</w:t>
      </w:r>
      <w:r>
        <w:rPr>
          <w:rFonts w:hint="eastAsia"/>
          <w:color w:val="auto"/>
          <w:sz w:val="24"/>
          <w:highlight w:val="none"/>
          <w:lang w:val="en-US" w:eastAsia="zh-CN"/>
        </w:rPr>
        <w:t>的化粪池，本项目依托原有的化粪池即可，化粪池的容积可保障生活污水在化粪池内停留时间不小于24h，可满足停留要求，此外，由于化粪池容积较大，可收集约59d的生活污水，能够保证在连续降雨期间生活污水不外溢，本环评要求建设单位至少每月清运一次化粪池内生活污水，生活污水由建设单位自行清运至寻甸县水质净化厂。</w:t>
      </w:r>
    </w:p>
    <w:p>
      <w:pPr>
        <w:spacing w:line="360" w:lineRule="auto"/>
        <w:ind w:firstLine="480" w:firstLineChars="200"/>
        <w:rPr>
          <w:rFonts w:hint="eastAsia"/>
          <w:color w:val="auto"/>
          <w:sz w:val="24"/>
          <w:highlight w:val="none"/>
          <w:lang w:val="en-US" w:eastAsia="zh-CN"/>
        </w:rPr>
      </w:pPr>
      <w:r>
        <w:rPr>
          <w:rFonts w:hint="eastAsia" w:ascii="Times New Roman" w:hAnsi="Times New Roman"/>
          <w:color w:val="auto"/>
          <w:sz w:val="24"/>
          <w:highlight w:val="none"/>
          <w:lang w:eastAsia="zh-CN"/>
        </w:rPr>
        <w:t>寻甸县</w:t>
      </w:r>
      <w:r>
        <w:rPr>
          <w:rFonts w:hint="eastAsia"/>
          <w:color w:val="auto"/>
          <w:sz w:val="24"/>
          <w:highlight w:val="none"/>
          <w:lang w:eastAsia="zh-CN"/>
        </w:rPr>
        <w:t>水质净化厂</w:t>
      </w:r>
      <w:r>
        <w:rPr>
          <w:rFonts w:hint="eastAsia" w:ascii="Times New Roman" w:hAnsi="Times New Roman"/>
          <w:color w:val="auto"/>
          <w:sz w:val="24"/>
          <w:highlight w:val="none"/>
        </w:rPr>
        <w:t>是以BOT模式投资建设，厂址位于寻甸县城东边月秀路15号，目前</w:t>
      </w:r>
      <w:r>
        <w:rPr>
          <w:rFonts w:hint="eastAsia" w:ascii="Times New Roman" w:hAnsi="Times New Roman"/>
          <w:color w:val="auto"/>
          <w:sz w:val="24"/>
          <w:highlight w:val="none"/>
          <w:lang w:eastAsia="zh-CN"/>
        </w:rPr>
        <w:t>寻甸县</w:t>
      </w:r>
      <w:r>
        <w:rPr>
          <w:rFonts w:hint="eastAsia"/>
          <w:color w:val="auto"/>
          <w:sz w:val="24"/>
          <w:highlight w:val="none"/>
          <w:lang w:eastAsia="zh-CN"/>
        </w:rPr>
        <w:t>水质净化厂</w:t>
      </w:r>
      <w:r>
        <w:rPr>
          <w:rFonts w:hint="eastAsia" w:ascii="Times New Roman" w:hAnsi="Times New Roman"/>
          <w:color w:val="auto"/>
          <w:sz w:val="24"/>
          <w:highlight w:val="none"/>
        </w:rPr>
        <w:t>一期处理规模</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1.2万m³/d，最大处理量</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1.5万m³/d，二期工程处理规模2.4万m³/d，污水处理工艺采用“预处理+A</w:t>
      </w:r>
      <w:r>
        <w:rPr>
          <w:rFonts w:hint="eastAsia" w:ascii="Times New Roman" w:hAnsi="Times New Roman"/>
          <w:color w:val="auto"/>
          <w:sz w:val="24"/>
          <w:highlight w:val="none"/>
          <w:vertAlign w:val="superscript"/>
        </w:rPr>
        <w:t>2</w:t>
      </w:r>
      <w:r>
        <w:rPr>
          <w:rFonts w:hint="eastAsia" w:ascii="Times New Roman" w:hAnsi="Times New Roman"/>
          <w:color w:val="auto"/>
          <w:sz w:val="24"/>
          <w:highlight w:val="none"/>
        </w:rPr>
        <w:t>/O型SBR工艺+V型滤池+紫外线消毒”工艺</w:t>
      </w:r>
      <w:r>
        <w:rPr>
          <w:rFonts w:hint="eastAsia"/>
          <w:color w:val="auto"/>
          <w:sz w:val="24"/>
          <w:highlight w:val="none"/>
          <w:lang w:eastAsia="zh-CN"/>
        </w:rPr>
        <w:t>，</w:t>
      </w:r>
      <w:r>
        <w:rPr>
          <w:rFonts w:hint="eastAsia" w:ascii="Times New Roman" w:hAnsi="Times New Roman"/>
          <w:color w:val="auto"/>
          <w:sz w:val="24"/>
          <w:highlight w:val="none"/>
          <w:lang w:eastAsia="zh-CN"/>
        </w:rPr>
        <w:t>寻甸县</w:t>
      </w:r>
      <w:r>
        <w:rPr>
          <w:rFonts w:hint="eastAsia"/>
          <w:color w:val="auto"/>
          <w:sz w:val="24"/>
          <w:highlight w:val="none"/>
          <w:lang w:eastAsia="zh-CN"/>
        </w:rPr>
        <w:t>水质净化厂</w:t>
      </w:r>
      <w:r>
        <w:rPr>
          <w:rFonts w:hint="eastAsia"/>
          <w:color w:val="auto"/>
          <w:sz w:val="24"/>
          <w:highlight w:val="none"/>
          <w:lang w:val="en-US" w:eastAsia="zh-CN"/>
        </w:rPr>
        <w:t>污水纳管标准为</w:t>
      </w:r>
      <w:r>
        <w:rPr>
          <w:rFonts w:hint="default" w:ascii="Times New Roman" w:hAnsi="Times New Roman" w:cs="Times New Roman"/>
          <w:color w:val="auto"/>
          <w:sz w:val="24"/>
          <w:szCs w:val="24"/>
          <w:highlight w:val="none"/>
          <w:lang w:eastAsia="zh-CN"/>
        </w:rPr>
        <w:t>《污水排入城镇下水道水质标准</w:t>
      </w:r>
      <w:r>
        <w:rPr>
          <w:rFonts w:hint="default" w:ascii="Times New Roman" w:hAnsi="Times New Roman" w:cs="Times New Roman"/>
          <w:color w:val="auto"/>
          <w:sz w:val="24"/>
          <w:szCs w:val="24"/>
          <w:highlight w:val="none"/>
        </w:rPr>
        <w:t>》（GB</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31962</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1中</w:t>
      </w:r>
      <w:r>
        <w:rPr>
          <w:rFonts w:hint="eastAsia" w:cs="Times New Roman"/>
          <w:color w:val="auto"/>
          <w:sz w:val="24"/>
          <w:szCs w:val="24"/>
          <w:highlight w:val="none"/>
          <w:lang w:val="en-US" w:eastAsia="zh-CN"/>
        </w:rPr>
        <w:t>B</w:t>
      </w:r>
      <w:r>
        <w:rPr>
          <w:rFonts w:hint="default" w:ascii="Times New Roman" w:hAnsi="Times New Roman" w:cs="Times New Roman"/>
          <w:color w:val="auto"/>
          <w:sz w:val="24"/>
          <w:szCs w:val="24"/>
          <w:highlight w:val="none"/>
          <w:lang w:val="en-US" w:eastAsia="zh-CN"/>
        </w:rPr>
        <w:t>级标准</w:t>
      </w:r>
      <w:r>
        <w:rPr>
          <w:rFonts w:hint="eastAsia"/>
          <w:color w:val="auto"/>
          <w:spacing w:val="-4"/>
          <w:sz w:val="24"/>
          <w:szCs w:val="24"/>
          <w:highlight w:val="none"/>
          <w:lang w:val="en-US" w:eastAsia="zh-CN"/>
        </w:rPr>
        <w:t>及</w:t>
      </w:r>
      <w:r>
        <w:rPr>
          <w:rFonts w:hint="eastAsia" w:cs="Times New Roman"/>
          <w:color w:val="auto"/>
          <w:sz w:val="24"/>
          <w:szCs w:val="24"/>
          <w:highlight w:val="none"/>
          <w:vertAlign w:val="baseline"/>
          <w:lang w:val="en-US" w:eastAsia="zh-CN"/>
        </w:rPr>
        <w:t>生活废水委托处理合同商定的排放协议标准</w:t>
      </w:r>
      <w:r>
        <w:rPr>
          <w:rFonts w:hint="eastAsia" w:ascii="Times New Roman" w:hAnsi="Times New Roman" w:cs="Times New Roman"/>
          <w:color w:val="auto"/>
          <w:sz w:val="24"/>
          <w:szCs w:val="24"/>
          <w:highlight w:val="none"/>
          <w:lang w:val="en-US" w:eastAsia="zh-CN"/>
        </w:rPr>
        <w:t>，</w:t>
      </w:r>
      <w:r>
        <w:rPr>
          <w:rFonts w:hint="eastAsia" w:ascii="Times New Roman" w:hAnsi="Times New Roman"/>
          <w:color w:val="auto"/>
          <w:sz w:val="24"/>
          <w:highlight w:val="none"/>
        </w:rPr>
        <w:t>出水水质达到《城镇</w:t>
      </w:r>
      <w:r>
        <w:rPr>
          <w:rFonts w:hint="eastAsia"/>
          <w:color w:val="auto"/>
          <w:sz w:val="24"/>
          <w:highlight w:val="none"/>
          <w:lang w:eastAsia="zh-CN"/>
        </w:rPr>
        <w:t>水质净化厂</w:t>
      </w:r>
      <w:r>
        <w:rPr>
          <w:rFonts w:hint="eastAsia" w:ascii="Times New Roman" w:hAnsi="Times New Roman"/>
          <w:color w:val="auto"/>
          <w:sz w:val="24"/>
          <w:highlight w:val="none"/>
        </w:rPr>
        <w:t>污染物排放标准》（GB18918-2002）中的一级A标</w:t>
      </w:r>
      <w:r>
        <w:rPr>
          <w:rFonts w:hint="eastAsia"/>
          <w:color w:val="auto"/>
          <w:sz w:val="24"/>
          <w:highlight w:val="none"/>
          <w:lang w:eastAsia="zh-CN"/>
        </w:rPr>
        <w:t>，处理达标后尾水排入牛栏江支流四清河，2.5km后由左岸入老河，2.25km后由右岸入前进河，400m汇入牛栏江。</w:t>
      </w:r>
      <w:r>
        <w:rPr>
          <w:rFonts w:hint="eastAsia" w:ascii="Times New Roman" w:hAnsi="Times New Roman"/>
          <w:color w:val="auto"/>
          <w:sz w:val="24"/>
          <w:highlight w:val="none"/>
          <w:lang w:val="en-US" w:eastAsia="zh-CN"/>
        </w:rPr>
        <w:t>寻甸县污水收集管网及污水处理站已建设完成，并投入使用，</w:t>
      </w:r>
      <w:r>
        <w:rPr>
          <w:rFonts w:hint="eastAsia" w:ascii="Times New Roman" w:hAnsi="Times New Roman"/>
          <w:color w:val="auto"/>
          <w:sz w:val="24"/>
          <w:highlight w:val="none"/>
        </w:rPr>
        <w:t>2021年共处理水量575.7434万吨，日均处理水量1.5774万吨，日最高处理量为2.3437万吨。</w:t>
      </w:r>
      <w:r>
        <w:rPr>
          <w:rFonts w:hint="eastAsia" w:ascii="Times New Roman" w:hAnsi="Times New Roman"/>
          <w:color w:val="auto"/>
          <w:sz w:val="24"/>
          <w:highlight w:val="none"/>
          <w:lang w:val="en-US" w:eastAsia="zh-CN"/>
        </w:rPr>
        <w:t>本项目总废水量为0.3792m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/d，项目废水总产生量占寻甸县</w:t>
      </w:r>
      <w:r>
        <w:rPr>
          <w:rFonts w:hint="eastAsia"/>
          <w:color w:val="auto"/>
          <w:sz w:val="24"/>
          <w:highlight w:val="none"/>
          <w:lang w:val="en-US" w:eastAsia="zh-CN"/>
        </w:rPr>
        <w:t>水质净化厂</w:t>
      </w:r>
      <w:r>
        <w:rPr>
          <w:rFonts w:hint="eastAsia" w:ascii="Times New Roman" w:hAnsi="Times New Roman"/>
          <w:color w:val="auto"/>
          <w:sz w:val="24"/>
          <w:highlight w:val="none"/>
          <w:lang w:val="en-US" w:eastAsia="zh-CN"/>
        </w:rPr>
        <w:t>总设计处理水量的0.00105%，寻甸县</w:t>
      </w:r>
      <w:r>
        <w:rPr>
          <w:rFonts w:hint="eastAsia"/>
          <w:color w:val="auto"/>
          <w:sz w:val="24"/>
          <w:highlight w:val="none"/>
          <w:lang w:val="en-US" w:eastAsia="zh-CN"/>
        </w:rPr>
        <w:t>水质净化厂</w:t>
      </w:r>
      <w:r>
        <w:rPr>
          <w:rFonts w:hint="eastAsia" w:ascii="Times New Roman" w:hAnsi="Times New Roman"/>
          <w:color w:val="auto"/>
          <w:sz w:val="24"/>
          <w:highlight w:val="none"/>
          <w:lang w:val="en-US" w:eastAsia="zh-CN"/>
        </w:rPr>
        <w:t>现平均实际处理水量约1.5774万m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/d，有能力接纳本项目废水。因此</w:t>
      </w:r>
      <w:r>
        <w:rPr>
          <w:rFonts w:hint="eastAsia"/>
          <w:color w:val="auto"/>
          <w:sz w:val="24"/>
          <w:highlight w:val="none"/>
          <w:lang w:val="en-US" w:eastAsia="zh-CN"/>
        </w:rPr>
        <w:t>项目污水经化粪池处理后定期由建设单位自行清运至寻甸水质净化厂处理，废水不外排是可行的。</w:t>
      </w:r>
    </w:p>
    <w:p>
      <w:pPr>
        <w:spacing w:line="360" w:lineRule="auto"/>
        <w:ind w:firstLine="482" w:firstLineChars="200"/>
        <w:rPr>
          <w:b/>
          <w:bCs/>
          <w:color w:val="auto"/>
          <w:sz w:val="24"/>
          <w:highlight w:val="none"/>
          <w:lang w:val="zh-CN"/>
        </w:rPr>
      </w:pPr>
      <w:r>
        <w:rPr>
          <w:rFonts w:hint="eastAsia"/>
          <w:b/>
          <w:bCs/>
          <w:color w:val="auto"/>
          <w:sz w:val="24"/>
          <w:highlight w:val="none"/>
          <w:lang w:val="en-US" w:eastAsia="zh-CN"/>
        </w:rPr>
        <w:t>3</w:t>
      </w:r>
      <w:r>
        <w:rPr>
          <w:b/>
          <w:bCs/>
          <w:color w:val="auto"/>
          <w:sz w:val="24"/>
          <w:highlight w:val="none"/>
        </w:rPr>
        <w:t>、</w:t>
      </w:r>
      <w:r>
        <w:rPr>
          <w:b/>
          <w:bCs/>
          <w:color w:val="auto"/>
          <w:sz w:val="24"/>
          <w:highlight w:val="none"/>
          <w:lang w:val="zh-CN"/>
        </w:rPr>
        <w:t>评价结论</w:t>
      </w:r>
    </w:p>
    <w:p>
      <w:pPr>
        <w:spacing w:line="360" w:lineRule="auto"/>
        <w:ind w:firstLine="480" w:firstLineChars="200"/>
        <w:jc w:val="left"/>
        <w:rPr>
          <w:color w:val="auto"/>
          <w:sz w:val="24"/>
          <w:highlight w:val="none"/>
          <w:lang w:val="zh-CN" w:bidi="ar"/>
        </w:rPr>
      </w:pPr>
      <w:r>
        <w:rPr>
          <w:color w:val="auto"/>
          <w:sz w:val="24"/>
          <w:highlight w:val="none"/>
          <w:lang w:val="zh-CN" w:bidi="ar"/>
        </w:rPr>
        <w:t>综上所述，项目废水的处理工艺及设施规模合理，废水达标后</w:t>
      </w:r>
      <w:r>
        <w:rPr>
          <w:rFonts w:hint="eastAsia"/>
          <w:color w:val="auto"/>
          <w:sz w:val="24"/>
          <w:highlight w:val="none"/>
          <w:lang w:val="en-US" w:eastAsia="zh-CN" w:bidi="ar"/>
        </w:rPr>
        <w:t>由建设单位清运至寻甸县水质净化厂处理</w:t>
      </w:r>
      <w:r>
        <w:rPr>
          <w:color w:val="auto"/>
          <w:sz w:val="24"/>
          <w:highlight w:val="none"/>
          <w:lang w:val="zh-CN" w:bidi="ar"/>
        </w:rPr>
        <w:t>是可行的，项目废水不直接外排进入地表水体，</w:t>
      </w:r>
      <w:r>
        <w:rPr>
          <w:rFonts w:hint="eastAsia"/>
          <w:color w:val="auto"/>
          <w:sz w:val="24"/>
          <w:highlight w:val="none"/>
          <w:lang w:val="zh-CN" w:bidi="ar"/>
        </w:rPr>
        <w:t>项目</w:t>
      </w:r>
      <w:r>
        <w:rPr>
          <w:color w:val="auto"/>
          <w:sz w:val="24"/>
          <w:highlight w:val="none"/>
          <w:lang w:val="zh-CN" w:bidi="ar"/>
        </w:rPr>
        <w:t>可满足水污染控制和水环境影响减缓措施有效性评价以及污水处理设施的环境可行评价要求，因此，认为地表水环境影响可以接受。</w:t>
      </w:r>
    </w:p>
    <w:p>
      <w:pPr>
        <w:spacing w:line="360" w:lineRule="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5.2.2.4冷却废水循环使用可行性分析</w:t>
      </w:r>
    </w:p>
    <w:p>
      <w:pPr>
        <w:spacing w:line="360" w:lineRule="auto"/>
        <w:ind w:firstLine="480" w:firstLineChars="200"/>
        <w:jc w:val="left"/>
        <w:rPr>
          <w:rFonts w:hint="default"/>
          <w:color w:val="auto"/>
          <w:sz w:val="24"/>
          <w:highlight w:val="none"/>
          <w:lang w:val="en-US" w:eastAsia="zh-CN" w:bidi="ar"/>
        </w:rPr>
      </w:pPr>
      <w:r>
        <w:rPr>
          <w:rFonts w:hint="eastAsia"/>
          <w:color w:val="auto"/>
          <w:sz w:val="24"/>
          <w:highlight w:val="none"/>
          <w:lang w:val="en-US" w:eastAsia="zh-CN" w:bidi="ar"/>
        </w:rPr>
        <w:t>根据工程分析，项目塑料框生产车间产生冷却废水。冷却水用于塑料框注塑后脱模时冷却，冷却水为高温清净水，水温约60℃，项目配套设置1个容积为31m</w:t>
      </w:r>
      <w:r>
        <w:rPr>
          <w:rFonts w:hint="eastAsia"/>
          <w:color w:val="auto"/>
          <w:sz w:val="24"/>
          <w:highlight w:val="none"/>
          <w:vertAlign w:val="superscript"/>
          <w:lang w:val="en-US" w:eastAsia="zh-CN" w:bidi="ar"/>
        </w:rPr>
        <w:t>3</w:t>
      </w:r>
      <w:r>
        <w:rPr>
          <w:rFonts w:hint="eastAsia"/>
          <w:color w:val="auto"/>
          <w:sz w:val="24"/>
          <w:highlight w:val="none"/>
          <w:lang w:val="en-US" w:eastAsia="zh-CN" w:bidi="ar"/>
        </w:rPr>
        <w:t>的冷却水池，冷却水经冷却水池自然冷却后温度可降至20℃，故项目冷却水经冷却水池收集冷却后循环使用可行。因此，塑料框生产车间产生的冷却水经收集处理后可全部回用，不外排，对周边地表水环境的影响较小。</w:t>
      </w:r>
    </w:p>
    <w:p>
      <w:pPr>
        <w:spacing w:line="360" w:lineRule="auto"/>
        <w:rPr>
          <w:b/>
          <w:bCs/>
          <w:color w:val="auto"/>
          <w:sz w:val="24"/>
          <w:highlight w:val="none"/>
        </w:rPr>
      </w:pPr>
      <w:bookmarkStart w:id="583" w:name="_Toc248"/>
      <w:r>
        <w:rPr>
          <w:b/>
          <w:bCs/>
          <w:color w:val="auto"/>
          <w:sz w:val="24"/>
          <w:highlight w:val="none"/>
        </w:rPr>
        <w:t>5.2.2.</w:t>
      </w:r>
      <w:r>
        <w:rPr>
          <w:rFonts w:hint="eastAsia"/>
          <w:b/>
          <w:bCs/>
          <w:color w:val="auto"/>
          <w:sz w:val="24"/>
          <w:highlight w:val="none"/>
          <w:lang w:val="en-US" w:eastAsia="zh-CN"/>
        </w:rPr>
        <w:t>5</w:t>
      </w:r>
      <w:r>
        <w:rPr>
          <w:b/>
          <w:bCs/>
          <w:color w:val="auto"/>
          <w:sz w:val="24"/>
          <w:highlight w:val="none"/>
        </w:rPr>
        <w:t>地表水自查表</w:t>
      </w:r>
      <w:bookmarkEnd w:id="583"/>
    </w:p>
    <w:p>
      <w:pPr>
        <w:spacing w:line="360" w:lineRule="auto"/>
        <w:ind w:firstLine="480" w:firstLineChars="200"/>
        <w:rPr>
          <w:b/>
          <w:color w:val="auto"/>
          <w:szCs w:val="21"/>
          <w:highlight w:val="none"/>
        </w:rPr>
      </w:pPr>
      <w:r>
        <w:rPr>
          <w:color w:val="auto"/>
          <w:sz w:val="24"/>
          <w:highlight w:val="none"/>
          <w:lang w:bidi="ar"/>
        </w:rPr>
        <w:t>根据《环境影响评价技术导则－地表水环境》（HJ2.3-2018）附录H，建设项目地表水环境影响自查表见表5.2-</w:t>
      </w:r>
      <w:r>
        <w:rPr>
          <w:rFonts w:hint="eastAsia"/>
          <w:color w:val="auto"/>
          <w:sz w:val="24"/>
          <w:highlight w:val="none"/>
          <w:lang w:bidi="ar"/>
        </w:rPr>
        <w:t>1</w:t>
      </w:r>
      <w:r>
        <w:rPr>
          <w:rFonts w:hint="eastAsia"/>
          <w:color w:val="auto"/>
          <w:sz w:val="24"/>
          <w:highlight w:val="none"/>
          <w:lang w:val="en-US" w:eastAsia="zh-CN" w:bidi="ar"/>
        </w:rPr>
        <w:t>2</w:t>
      </w:r>
      <w:r>
        <w:rPr>
          <w:color w:val="auto"/>
          <w:sz w:val="24"/>
          <w:highlight w:val="none"/>
          <w:lang w:bidi="ar"/>
        </w:rPr>
        <w:t>。</w:t>
      </w:r>
    </w:p>
    <w:p>
      <w:pPr>
        <w:pStyle w:val="54"/>
        <w:spacing w:after="0" w:line="360" w:lineRule="auto"/>
        <w:ind w:left="0" w:leftChars="0" w:firstLine="422"/>
        <w:jc w:val="center"/>
        <w:rPr>
          <w:color w:val="auto"/>
          <w:sz w:val="24"/>
          <w:szCs w:val="24"/>
          <w:highlight w:val="none"/>
        </w:rPr>
      </w:pPr>
      <w:r>
        <w:rPr>
          <w:b/>
          <w:color w:val="auto"/>
          <w:sz w:val="24"/>
          <w:szCs w:val="24"/>
          <w:highlight w:val="none"/>
          <w:lang w:bidi="ar"/>
        </w:rPr>
        <w:t>表5.2-</w:t>
      </w:r>
      <w:r>
        <w:rPr>
          <w:rFonts w:hint="eastAsia"/>
          <w:b/>
          <w:color w:val="auto"/>
          <w:sz w:val="24"/>
          <w:szCs w:val="24"/>
          <w:highlight w:val="none"/>
          <w:lang w:bidi="ar"/>
        </w:rPr>
        <w:t>1</w:t>
      </w:r>
      <w:r>
        <w:rPr>
          <w:rFonts w:hint="eastAsia"/>
          <w:b/>
          <w:color w:val="auto"/>
          <w:sz w:val="24"/>
          <w:szCs w:val="24"/>
          <w:highlight w:val="none"/>
          <w:lang w:val="en-US" w:eastAsia="zh-CN" w:bidi="ar"/>
        </w:rPr>
        <w:t>2</w:t>
      </w:r>
      <w:r>
        <w:rPr>
          <w:b/>
          <w:color w:val="auto"/>
          <w:sz w:val="24"/>
          <w:szCs w:val="24"/>
          <w:highlight w:val="none"/>
          <w:lang w:bidi="ar"/>
        </w:rPr>
        <w:t xml:space="preserve">  建设项目地表水环境影响评价自查表</w:t>
      </w:r>
    </w:p>
    <w:tbl>
      <w:tblPr>
        <w:tblStyle w:val="55"/>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94"/>
        <w:gridCol w:w="1419"/>
        <w:gridCol w:w="518"/>
        <w:gridCol w:w="419"/>
        <w:gridCol w:w="467"/>
        <w:gridCol w:w="376"/>
        <w:gridCol w:w="1044"/>
        <w:gridCol w:w="262"/>
        <w:gridCol w:w="203"/>
        <w:gridCol w:w="658"/>
        <w:gridCol w:w="282"/>
        <w:gridCol w:w="388"/>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gridSpan w:val="2"/>
            <w:vAlign w:val="center"/>
          </w:tcPr>
          <w:p>
            <w:pPr>
              <w:adjustRightInd w:val="0"/>
              <w:snapToGrid w:val="0"/>
              <w:spacing w:line="240" w:lineRule="auto"/>
              <w:jc w:val="center"/>
              <w:rPr>
                <w:color w:val="auto"/>
                <w:szCs w:val="21"/>
                <w:highlight w:val="none"/>
              </w:rPr>
            </w:pPr>
            <w:r>
              <w:rPr>
                <w:color w:val="auto"/>
                <w:szCs w:val="21"/>
                <w:highlight w:val="none"/>
              </w:rPr>
              <w:t>工作内容</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240" w:lineRule="auto"/>
              <w:jc w:val="center"/>
              <w:rPr>
                <w:color w:val="auto"/>
                <w:szCs w:val="21"/>
                <w:highlight w:val="none"/>
              </w:rPr>
            </w:pPr>
            <w:r>
              <w:rPr>
                <w:color w:val="auto"/>
                <w:szCs w:val="21"/>
                <w:highlight w:val="none"/>
              </w:rPr>
              <w:t>影响识别</w:t>
            </w: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影响类型</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水污染影响型</w:t>
            </w:r>
            <w:r>
              <w:rPr>
                <w:rFonts w:hint="eastAsia"/>
                <w:color w:val="auto"/>
                <w:szCs w:val="21"/>
                <w:highlight w:val="none"/>
              </w:rPr>
              <w:sym w:font="Wingdings 2" w:char="0052"/>
            </w:r>
            <w:r>
              <w:rPr>
                <w:color w:val="auto"/>
                <w:szCs w:val="21"/>
                <w:highlight w:val="none"/>
              </w:rPr>
              <w:t xml:space="preserve">；水文要素影响型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水环境保护目标</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饮用水水源保护区 </w:t>
            </w:r>
            <w:r>
              <w:rPr>
                <w:color w:val="auto"/>
                <w:szCs w:val="21"/>
                <w:highlight w:val="none"/>
              </w:rPr>
              <w:sym w:font="Wingdings 2" w:char="00A3"/>
            </w:r>
            <w:r>
              <w:rPr>
                <w:color w:val="auto"/>
                <w:szCs w:val="21"/>
                <w:highlight w:val="none"/>
              </w:rPr>
              <w:t xml:space="preserve">； 饮用水取水口 </w:t>
            </w:r>
            <w:r>
              <w:rPr>
                <w:color w:val="auto"/>
                <w:szCs w:val="21"/>
                <w:highlight w:val="none"/>
              </w:rPr>
              <w:sym w:font="Wingdings 2" w:char="00A3"/>
            </w:r>
            <w:r>
              <w:rPr>
                <w:color w:val="auto"/>
                <w:szCs w:val="21"/>
                <w:highlight w:val="none"/>
              </w:rPr>
              <w:t xml:space="preserve">； 涉水的自然保护区 </w:t>
            </w:r>
            <w:r>
              <w:rPr>
                <w:color w:val="auto"/>
                <w:szCs w:val="21"/>
                <w:highlight w:val="none"/>
              </w:rPr>
              <w:sym w:font="Wingdings 2" w:char="00A3"/>
            </w:r>
            <w:r>
              <w:rPr>
                <w:color w:val="auto"/>
                <w:szCs w:val="21"/>
                <w:highlight w:val="none"/>
              </w:rPr>
              <w:t xml:space="preserve">； 重要湿地 </w:t>
            </w:r>
            <w:r>
              <w:rPr>
                <w:color w:val="auto"/>
                <w:szCs w:val="21"/>
                <w:highlight w:val="none"/>
              </w:rPr>
              <w:sym w:font="Wingdings 2" w:char="00A3"/>
            </w:r>
            <w:r>
              <w:rPr>
                <w:color w:val="auto"/>
                <w:szCs w:val="21"/>
                <w:highlight w:val="none"/>
              </w:rPr>
              <w:t xml:space="preserve">；重点保护与珍稀水生生物的栖息地 </w:t>
            </w:r>
            <w:r>
              <w:rPr>
                <w:color w:val="auto"/>
                <w:szCs w:val="21"/>
                <w:highlight w:val="none"/>
              </w:rPr>
              <w:sym w:font="Wingdings 2" w:char="00A3"/>
            </w:r>
            <w:r>
              <w:rPr>
                <w:color w:val="auto"/>
                <w:szCs w:val="21"/>
                <w:highlight w:val="none"/>
              </w:rPr>
              <w:t xml:space="preserve">； 重要水生生物的自然产卵场及索饵场、越冬场和洄游通道、天然渔场等渔业水体 </w:t>
            </w:r>
            <w:r>
              <w:rPr>
                <w:color w:val="auto"/>
                <w:szCs w:val="21"/>
                <w:highlight w:val="none"/>
              </w:rPr>
              <w:sym w:font="Wingdings 2" w:char="00A3"/>
            </w:r>
            <w:r>
              <w:rPr>
                <w:color w:val="auto"/>
                <w:szCs w:val="21"/>
                <w:highlight w:val="none"/>
              </w:rPr>
              <w:t xml:space="preserve">； 涉水的风景名胜 </w:t>
            </w:r>
            <w:r>
              <w:rPr>
                <w:color w:val="auto"/>
                <w:szCs w:val="21"/>
                <w:highlight w:val="none"/>
              </w:rPr>
              <w:sym w:font="Wingdings 2" w:char="00A3"/>
            </w:r>
            <w:r>
              <w:rPr>
                <w:color w:val="auto"/>
                <w:szCs w:val="21"/>
                <w:highlight w:val="none"/>
              </w:rPr>
              <w:t xml:space="preserve">；其他 </w:t>
            </w:r>
            <w:r>
              <w:rPr>
                <w:color w:val="auto"/>
                <w:szCs w:val="21"/>
                <w:highlight w:val="none"/>
              </w:rPr>
              <w:sym w:font="Wingdings 2" w:char="0052"/>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影响途径</w:t>
            </w: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水污染影响型</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直接排放 □； 间接排放 </w:t>
            </w:r>
            <w:r>
              <w:rPr>
                <w:color w:val="auto"/>
                <w:szCs w:val="21"/>
                <w:highlight w:val="none"/>
              </w:rPr>
              <w:sym w:font="Wingdings 2" w:char="00A3"/>
            </w:r>
            <w:r>
              <w:rPr>
                <w:color w:val="auto"/>
                <w:szCs w:val="21"/>
                <w:highlight w:val="none"/>
              </w:rPr>
              <w:t xml:space="preserve">； 其他 </w:t>
            </w:r>
            <w:r>
              <w:rPr>
                <w:color w:val="auto"/>
                <w:szCs w:val="21"/>
                <w:highlight w:val="none"/>
              </w:rPr>
              <w:sym w:font="Wingdings 2" w:char="0052"/>
            </w:r>
            <w:r>
              <w:rPr>
                <w:color w:val="auto"/>
                <w:szCs w:val="21"/>
                <w:highlight w:val="none"/>
              </w:rPr>
              <w:t>；</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 xml:space="preserve">水温 </w:t>
            </w:r>
            <w:r>
              <w:rPr>
                <w:color w:val="auto"/>
                <w:szCs w:val="21"/>
                <w:highlight w:val="none"/>
              </w:rPr>
              <w:sym w:font="Wingdings 2" w:char="00A3"/>
            </w:r>
            <w:r>
              <w:rPr>
                <w:color w:val="auto"/>
                <w:szCs w:val="21"/>
                <w:highlight w:val="none"/>
              </w:rPr>
              <w:t xml:space="preserve">；径流 </w:t>
            </w:r>
            <w:r>
              <w:rPr>
                <w:color w:val="auto"/>
                <w:szCs w:val="21"/>
                <w:highlight w:val="none"/>
              </w:rPr>
              <w:sym w:font="Wingdings 2" w:char="00A3"/>
            </w:r>
            <w:r>
              <w:rPr>
                <w:color w:val="auto"/>
                <w:szCs w:val="21"/>
                <w:highlight w:val="none"/>
              </w:rPr>
              <w:t xml:space="preserve">； 水域面积 </w:t>
            </w:r>
            <w:r>
              <w:rPr>
                <w:color w:val="auto"/>
                <w:szCs w:val="21"/>
                <w:highlight w:val="none"/>
              </w:rPr>
              <w:sym w:font="Wingdings 2" w:char="00A3"/>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影响因子</w:t>
            </w: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持久性污染物 □； 有毒有害污染物 </w:t>
            </w:r>
            <w:r>
              <w:rPr>
                <w:color w:val="auto"/>
                <w:szCs w:val="21"/>
                <w:highlight w:val="none"/>
              </w:rPr>
              <w:sym w:font="Wingdings 2" w:char="00A3"/>
            </w:r>
            <w:r>
              <w:rPr>
                <w:color w:val="auto"/>
                <w:szCs w:val="21"/>
                <w:highlight w:val="none"/>
              </w:rPr>
              <w:t xml:space="preserve">； 非持久性污染物 </w:t>
            </w:r>
            <w:r>
              <w:rPr>
                <w:color w:val="auto"/>
                <w:szCs w:val="21"/>
                <w:highlight w:val="none"/>
              </w:rPr>
              <w:sym w:font="Wingdings 2" w:char="0052"/>
            </w:r>
            <w:r>
              <w:rPr>
                <w:color w:val="auto"/>
                <w:szCs w:val="21"/>
                <w:highlight w:val="none"/>
              </w:rPr>
              <w:t>；</w:t>
            </w:r>
          </w:p>
          <w:p>
            <w:pPr>
              <w:adjustRightInd w:val="0"/>
              <w:snapToGrid w:val="0"/>
              <w:spacing w:line="240" w:lineRule="auto"/>
              <w:jc w:val="center"/>
              <w:rPr>
                <w:color w:val="auto"/>
                <w:szCs w:val="21"/>
                <w:highlight w:val="none"/>
              </w:rPr>
            </w:pPr>
            <w:r>
              <w:rPr>
                <w:color w:val="auto"/>
                <w:szCs w:val="21"/>
                <w:highlight w:val="none"/>
              </w:rPr>
              <w:t xml:space="preserve">pH值 </w:t>
            </w:r>
            <w:r>
              <w:rPr>
                <w:color w:val="auto"/>
                <w:szCs w:val="21"/>
                <w:highlight w:val="none"/>
              </w:rPr>
              <w:sym w:font="Wingdings 2" w:char="00A3"/>
            </w:r>
            <w:r>
              <w:rPr>
                <w:color w:val="auto"/>
                <w:szCs w:val="21"/>
                <w:highlight w:val="none"/>
              </w:rPr>
              <w:t xml:space="preserve">；热污染 </w:t>
            </w:r>
            <w:r>
              <w:rPr>
                <w:color w:val="auto"/>
                <w:szCs w:val="21"/>
                <w:highlight w:val="none"/>
              </w:rPr>
              <w:sym w:font="Wingdings 2" w:char="00A3"/>
            </w:r>
            <w:r>
              <w:rPr>
                <w:color w:val="auto"/>
                <w:szCs w:val="21"/>
                <w:highlight w:val="none"/>
              </w:rPr>
              <w:t xml:space="preserve">； 富营养化 </w:t>
            </w:r>
            <w:r>
              <w:rPr>
                <w:color w:val="auto"/>
                <w:szCs w:val="21"/>
                <w:highlight w:val="none"/>
              </w:rPr>
              <w:sym w:font="Wingdings 2" w:char="00A3"/>
            </w:r>
            <w:r>
              <w:rPr>
                <w:color w:val="auto"/>
                <w:szCs w:val="21"/>
                <w:highlight w:val="none"/>
              </w:rPr>
              <w:t xml:space="preserve">； 其他 </w:t>
            </w:r>
            <w:r>
              <w:rPr>
                <w:color w:val="auto"/>
                <w:szCs w:val="21"/>
                <w:highlight w:val="none"/>
              </w:rPr>
              <w:sym w:font="Wingdings 2" w:char="0052"/>
            </w:r>
            <w:r>
              <w:rPr>
                <w:color w:val="auto"/>
                <w:szCs w:val="21"/>
                <w:highlight w:val="none"/>
              </w:rPr>
              <w:t>；</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 xml:space="preserve">水温 </w:t>
            </w:r>
            <w:r>
              <w:rPr>
                <w:color w:val="auto"/>
                <w:szCs w:val="21"/>
                <w:highlight w:val="none"/>
              </w:rPr>
              <w:sym w:font="Wingdings 2" w:char="00A3"/>
            </w:r>
            <w:r>
              <w:rPr>
                <w:color w:val="auto"/>
                <w:szCs w:val="21"/>
                <w:highlight w:val="none"/>
              </w:rPr>
              <w:t xml:space="preserve">；水位（水深） </w:t>
            </w:r>
            <w:r>
              <w:rPr>
                <w:color w:val="auto"/>
                <w:szCs w:val="21"/>
                <w:highlight w:val="none"/>
              </w:rPr>
              <w:sym w:font="Wingdings 2" w:char="00A3"/>
            </w:r>
            <w:r>
              <w:rPr>
                <w:color w:val="auto"/>
                <w:szCs w:val="21"/>
                <w:highlight w:val="none"/>
              </w:rPr>
              <w:t xml:space="preserve">； 流速 </w:t>
            </w:r>
            <w:r>
              <w:rPr>
                <w:color w:val="auto"/>
                <w:szCs w:val="21"/>
                <w:highlight w:val="none"/>
              </w:rPr>
              <w:sym w:font="Wingdings 2" w:char="00A3"/>
            </w:r>
            <w:r>
              <w:rPr>
                <w:color w:val="auto"/>
                <w:szCs w:val="21"/>
                <w:highlight w:val="none"/>
              </w:rPr>
              <w:t xml:space="preserve">； 流量 </w:t>
            </w:r>
            <w:r>
              <w:rPr>
                <w:color w:val="auto"/>
                <w:szCs w:val="21"/>
                <w:highlight w:val="none"/>
              </w:rPr>
              <w:sym w:font="Wingdings 2" w:char="00A3"/>
            </w:r>
            <w:r>
              <w:rPr>
                <w:color w:val="auto"/>
                <w:szCs w:val="21"/>
                <w:highlight w:val="none"/>
              </w:rPr>
              <w:t xml:space="preserve">； 其他 </w:t>
            </w:r>
            <w:r>
              <w:rPr>
                <w:color w:val="auto"/>
                <w:szCs w:val="21"/>
                <w:highlight w:val="none"/>
              </w:rPr>
              <w:sym w:font="Wingdings 2" w:char="00A3"/>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gridSpan w:val="2"/>
            <w:vMerge w:val="restart"/>
            <w:vAlign w:val="center"/>
          </w:tcPr>
          <w:p>
            <w:pPr>
              <w:adjustRightInd w:val="0"/>
              <w:snapToGrid w:val="0"/>
              <w:spacing w:line="240" w:lineRule="auto"/>
              <w:jc w:val="center"/>
              <w:rPr>
                <w:color w:val="auto"/>
                <w:szCs w:val="21"/>
                <w:highlight w:val="none"/>
              </w:rPr>
            </w:pPr>
            <w:r>
              <w:rPr>
                <w:color w:val="auto"/>
                <w:szCs w:val="21"/>
                <w:highlight w:val="none"/>
              </w:rPr>
              <w:t>评价等级</w:t>
            </w: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水污染影响型</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gridSpan w:val="2"/>
            <w:vMerge w:val="continue"/>
            <w:vAlign w:val="center"/>
          </w:tcPr>
          <w:p>
            <w:pPr>
              <w:adjustRightInd w:val="0"/>
              <w:snapToGrid w:val="0"/>
              <w:spacing w:line="240" w:lineRule="auto"/>
              <w:jc w:val="center"/>
              <w:rPr>
                <w:color w:val="auto"/>
                <w:szCs w:val="21"/>
                <w:highlight w:val="none"/>
              </w:rPr>
            </w:pP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一级 </w:t>
            </w:r>
            <w:r>
              <w:rPr>
                <w:color w:val="auto"/>
                <w:szCs w:val="21"/>
                <w:highlight w:val="none"/>
              </w:rPr>
              <w:sym w:font="Wingdings 2" w:char="00A3"/>
            </w:r>
            <w:r>
              <w:rPr>
                <w:color w:val="auto"/>
                <w:szCs w:val="21"/>
                <w:highlight w:val="none"/>
              </w:rPr>
              <w:t xml:space="preserve">； 二级 □； 三级A </w:t>
            </w:r>
            <w:r>
              <w:rPr>
                <w:color w:val="auto"/>
                <w:szCs w:val="21"/>
                <w:highlight w:val="none"/>
              </w:rPr>
              <w:sym w:font="Wingdings 2" w:char="00A3"/>
            </w:r>
            <w:r>
              <w:rPr>
                <w:color w:val="auto"/>
                <w:szCs w:val="21"/>
                <w:highlight w:val="none"/>
              </w:rPr>
              <w:t xml:space="preserve">； 三级B </w:t>
            </w:r>
            <w:r>
              <w:rPr>
                <w:color w:val="auto"/>
                <w:szCs w:val="21"/>
                <w:highlight w:val="none"/>
              </w:rPr>
              <w:sym w:font="Wingdings 2" w:char="0052"/>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 xml:space="preserve">一级 </w:t>
            </w:r>
            <w:r>
              <w:rPr>
                <w:color w:val="auto"/>
                <w:szCs w:val="21"/>
                <w:highlight w:val="none"/>
              </w:rPr>
              <w:sym w:font="Wingdings 2" w:char="00A3"/>
            </w:r>
            <w:r>
              <w:rPr>
                <w:color w:val="auto"/>
                <w:szCs w:val="21"/>
                <w:highlight w:val="none"/>
              </w:rPr>
              <w:t xml:space="preserve">； 二级 </w:t>
            </w:r>
            <w:r>
              <w:rPr>
                <w:color w:val="auto"/>
                <w:szCs w:val="21"/>
                <w:highlight w:val="none"/>
              </w:rPr>
              <w:sym w:font="Wingdings 2" w:char="00A3"/>
            </w:r>
            <w:r>
              <w:rPr>
                <w:color w:val="auto"/>
                <w:szCs w:val="21"/>
                <w:highlight w:val="none"/>
              </w:rPr>
              <w:t xml:space="preserve">； 三级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240" w:lineRule="auto"/>
              <w:jc w:val="center"/>
              <w:rPr>
                <w:color w:val="auto"/>
                <w:szCs w:val="21"/>
                <w:highlight w:val="none"/>
              </w:rPr>
            </w:pPr>
            <w:r>
              <w:rPr>
                <w:color w:val="auto"/>
                <w:szCs w:val="21"/>
                <w:highlight w:val="none"/>
              </w:rPr>
              <w:t>现状调查</w:t>
            </w: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区域污染源</w:t>
            </w: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调查项目</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1937" w:type="dxa"/>
            <w:gridSpan w:val="2"/>
            <w:vAlign w:val="center"/>
          </w:tcPr>
          <w:p>
            <w:pPr>
              <w:adjustRightInd w:val="0"/>
              <w:snapToGrid w:val="0"/>
              <w:spacing w:line="240" w:lineRule="auto"/>
              <w:jc w:val="center"/>
              <w:rPr>
                <w:color w:val="auto"/>
                <w:szCs w:val="21"/>
                <w:highlight w:val="none"/>
              </w:rPr>
            </w:pPr>
            <w:r>
              <w:rPr>
                <w:color w:val="auto"/>
                <w:szCs w:val="21"/>
                <w:highlight w:val="none"/>
              </w:rPr>
              <w:t xml:space="preserve">已建 </w:t>
            </w:r>
            <w:r>
              <w:rPr>
                <w:color w:val="auto"/>
                <w:szCs w:val="21"/>
                <w:highlight w:val="none"/>
              </w:rPr>
              <w:sym w:font="Wingdings 2" w:char="00A3"/>
            </w:r>
            <w:r>
              <w:rPr>
                <w:color w:val="auto"/>
                <w:szCs w:val="21"/>
                <w:highlight w:val="none"/>
              </w:rPr>
              <w:t xml:space="preserve">； 在建 </w:t>
            </w:r>
            <w:r>
              <w:rPr>
                <w:color w:val="auto"/>
                <w:szCs w:val="21"/>
                <w:highlight w:val="none"/>
              </w:rPr>
              <w:sym w:font="Wingdings 2" w:char="00A3"/>
            </w:r>
            <w:r>
              <w:rPr>
                <w:color w:val="auto"/>
                <w:szCs w:val="21"/>
                <w:highlight w:val="none"/>
              </w:rPr>
              <w:t xml:space="preserve">； 拟建 </w:t>
            </w:r>
            <w:r>
              <w:rPr>
                <w:color w:val="auto"/>
                <w:szCs w:val="21"/>
                <w:highlight w:val="none"/>
              </w:rPr>
              <w:sym w:font="Wingdings 2" w:char="00A3"/>
            </w:r>
            <w:r>
              <w:rPr>
                <w:color w:val="auto"/>
                <w:szCs w:val="21"/>
                <w:highlight w:val="none"/>
              </w:rPr>
              <w:t>；</w:t>
            </w:r>
          </w:p>
          <w:p>
            <w:pPr>
              <w:adjustRightInd w:val="0"/>
              <w:snapToGrid w:val="0"/>
              <w:spacing w:line="240" w:lineRule="auto"/>
              <w:jc w:val="center"/>
              <w:rPr>
                <w:color w:val="auto"/>
                <w:szCs w:val="21"/>
                <w:highlight w:val="none"/>
              </w:rPr>
            </w:pPr>
            <w:r>
              <w:rPr>
                <w:color w:val="auto"/>
                <w:szCs w:val="21"/>
                <w:highlight w:val="none"/>
              </w:rPr>
              <w:t xml:space="preserve">其他 </w:t>
            </w:r>
            <w:r>
              <w:rPr>
                <w:color w:val="auto"/>
                <w:szCs w:val="21"/>
                <w:highlight w:val="none"/>
              </w:rPr>
              <w:sym w:font="Wingdings 2" w:char="00A3"/>
            </w:r>
          </w:p>
        </w:tc>
        <w:tc>
          <w:tcPr>
            <w:tcW w:w="1262" w:type="dxa"/>
            <w:gridSpan w:val="3"/>
            <w:vAlign w:val="center"/>
          </w:tcPr>
          <w:p>
            <w:pPr>
              <w:adjustRightInd w:val="0"/>
              <w:snapToGrid w:val="0"/>
              <w:spacing w:line="240" w:lineRule="auto"/>
              <w:jc w:val="center"/>
              <w:rPr>
                <w:color w:val="auto"/>
                <w:szCs w:val="21"/>
                <w:highlight w:val="none"/>
              </w:rPr>
            </w:pPr>
            <w:r>
              <w:rPr>
                <w:color w:val="auto"/>
                <w:szCs w:val="21"/>
                <w:highlight w:val="none"/>
              </w:rPr>
              <w:t xml:space="preserve">拟替代的污染源 </w:t>
            </w:r>
            <w:r>
              <w:rPr>
                <w:color w:val="auto"/>
                <w:szCs w:val="21"/>
                <w:highlight w:val="none"/>
              </w:rPr>
              <w:sym w:font="Wingdings 2" w:char="00A3"/>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 xml:space="preserve">排污许可证 </w:t>
            </w:r>
            <w:r>
              <w:rPr>
                <w:color w:val="auto"/>
                <w:szCs w:val="21"/>
                <w:highlight w:val="none"/>
              </w:rPr>
              <w:sym w:font="Wingdings 2" w:char="00A3"/>
            </w:r>
            <w:r>
              <w:rPr>
                <w:color w:val="auto"/>
                <w:szCs w:val="21"/>
                <w:highlight w:val="none"/>
              </w:rPr>
              <w:t xml:space="preserve">； 环评 </w:t>
            </w:r>
            <w:r>
              <w:rPr>
                <w:color w:val="auto"/>
                <w:szCs w:val="21"/>
                <w:highlight w:val="none"/>
              </w:rPr>
              <w:sym w:font="Wingdings 2" w:char="00A3"/>
            </w:r>
            <w:r>
              <w:rPr>
                <w:color w:val="auto"/>
                <w:szCs w:val="21"/>
                <w:highlight w:val="none"/>
              </w:rPr>
              <w:t xml:space="preserve">； 环保验收 </w:t>
            </w:r>
            <w:r>
              <w:rPr>
                <w:color w:val="auto"/>
                <w:szCs w:val="21"/>
                <w:highlight w:val="none"/>
              </w:rPr>
              <w:sym w:font="Wingdings 2" w:char="00A3"/>
            </w:r>
            <w:r>
              <w:rPr>
                <w:color w:val="auto"/>
                <w:szCs w:val="21"/>
                <w:highlight w:val="none"/>
              </w:rPr>
              <w:t xml:space="preserve">； 既有实测 </w:t>
            </w:r>
            <w:r>
              <w:rPr>
                <w:color w:val="auto"/>
                <w:szCs w:val="21"/>
                <w:highlight w:val="none"/>
              </w:rPr>
              <w:sym w:font="Wingdings 2" w:char="00A3"/>
            </w:r>
            <w:r>
              <w:rPr>
                <w:color w:val="auto"/>
                <w:szCs w:val="21"/>
                <w:highlight w:val="none"/>
              </w:rPr>
              <w:t xml:space="preserve">；  现场监测 </w:t>
            </w:r>
            <w:r>
              <w:rPr>
                <w:color w:val="auto"/>
                <w:szCs w:val="21"/>
                <w:highlight w:val="none"/>
              </w:rPr>
              <w:sym w:font="Wingdings 2" w:char="00A3"/>
            </w:r>
            <w:r>
              <w:rPr>
                <w:color w:val="auto"/>
                <w:szCs w:val="21"/>
                <w:highlight w:val="none"/>
              </w:rPr>
              <w:t>；</w:t>
            </w:r>
          </w:p>
          <w:p>
            <w:pPr>
              <w:adjustRightInd w:val="0"/>
              <w:snapToGrid w:val="0"/>
              <w:spacing w:line="240" w:lineRule="auto"/>
              <w:jc w:val="center"/>
              <w:rPr>
                <w:color w:val="auto"/>
                <w:szCs w:val="21"/>
                <w:highlight w:val="none"/>
              </w:rPr>
            </w:pPr>
            <w:r>
              <w:rPr>
                <w:color w:val="auto"/>
                <w:szCs w:val="21"/>
                <w:highlight w:val="none"/>
              </w:rPr>
              <w:t xml:space="preserve">入河排放口数据 </w:t>
            </w:r>
            <w:r>
              <w:rPr>
                <w:color w:val="auto"/>
                <w:szCs w:val="21"/>
                <w:highlight w:val="none"/>
              </w:rPr>
              <w:sym w:font="Wingdings 2" w:char="00A3"/>
            </w:r>
            <w:r>
              <w:rPr>
                <w:color w:val="auto"/>
                <w:szCs w:val="21"/>
                <w:highlight w:val="none"/>
              </w:rPr>
              <w:t xml:space="preserve">； 其他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受影响水体水环境质量</w:t>
            </w: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调查时期</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丰水期 </w:t>
            </w:r>
            <w:r>
              <w:rPr>
                <w:color w:val="auto"/>
                <w:szCs w:val="21"/>
                <w:highlight w:val="none"/>
              </w:rPr>
              <w:sym w:font="Wingdings 2" w:char="00A3"/>
            </w:r>
            <w:r>
              <w:rPr>
                <w:color w:val="auto"/>
                <w:szCs w:val="21"/>
                <w:highlight w:val="none"/>
              </w:rPr>
              <w:t xml:space="preserve">； 平水期 </w:t>
            </w:r>
            <w:r>
              <w:rPr>
                <w:color w:val="auto"/>
                <w:szCs w:val="21"/>
                <w:highlight w:val="none"/>
              </w:rPr>
              <w:sym w:font="Wingdings 2" w:char="00A3"/>
            </w:r>
            <w:r>
              <w:rPr>
                <w:color w:val="auto"/>
                <w:szCs w:val="21"/>
                <w:highlight w:val="none"/>
              </w:rPr>
              <w:t>； 枯水期</w:t>
            </w:r>
            <w:r>
              <w:rPr>
                <w:color w:val="auto"/>
                <w:szCs w:val="21"/>
                <w:highlight w:val="none"/>
              </w:rPr>
              <w:sym w:font="Wingdings 2" w:char="00A3"/>
            </w:r>
            <w:r>
              <w:rPr>
                <w:color w:val="auto"/>
                <w:szCs w:val="21"/>
                <w:highlight w:val="none"/>
              </w:rPr>
              <w:t xml:space="preserve">； 冰封期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春季 </w:t>
            </w:r>
            <w:r>
              <w:rPr>
                <w:color w:val="auto"/>
                <w:szCs w:val="21"/>
                <w:highlight w:val="none"/>
              </w:rPr>
              <w:sym w:font="Wingdings 2" w:char="00A3"/>
            </w:r>
            <w:r>
              <w:rPr>
                <w:color w:val="auto"/>
                <w:szCs w:val="21"/>
                <w:highlight w:val="none"/>
              </w:rPr>
              <w:t xml:space="preserve">； 夏季 </w:t>
            </w:r>
            <w:r>
              <w:rPr>
                <w:color w:val="auto"/>
                <w:szCs w:val="21"/>
                <w:highlight w:val="none"/>
              </w:rPr>
              <w:sym w:font="Wingdings 2" w:char="00A3"/>
            </w:r>
            <w:r>
              <w:rPr>
                <w:color w:val="auto"/>
                <w:szCs w:val="21"/>
                <w:highlight w:val="none"/>
              </w:rPr>
              <w:t xml:space="preserve">； 秋季 </w:t>
            </w:r>
            <w:r>
              <w:rPr>
                <w:color w:val="auto"/>
                <w:szCs w:val="21"/>
                <w:highlight w:val="none"/>
              </w:rPr>
              <w:sym w:font="Wingdings 2" w:char="00A3"/>
            </w:r>
            <w:r>
              <w:rPr>
                <w:color w:val="auto"/>
                <w:szCs w:val="21"/>
                <w:highlight w:val="none"/>
              </w:rPr>
              <w:t xml:space="preserve">； 冬季 </w:t>
            </w:r>
            <w:r>
              <w:rPr>
                <w:color w:val="auto"/>
                <w:szCs w:val="21"/>
                <w:highlight w:val="none"/>
              </w:rPr>
              <w:sym w:font="Wingdings 2" w:char="00A3"/>
            </w:r>
            <w:r>
              <w:rPr>
                <w:color w:val="auto"/>
                <w:szCs w:val="21"/>
                <w:highlight w:val="none"/>
              </w:rPr>
              <w:t>；</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生态环境保护主管部门</w:t>
            </w:r>
            <w:r>
              <w:rPr>
                <w:color w:val="auto"/>
                <w:szCs w:val="21"/>
                <w:highlight w:val="none"/>
              </w:rPr>
              <w:sym w:font="Wingdings 2" w:char="0052"/>
            </w:r>
            <w:r>
              <w:rPr>
                <w:color w:val="auto"/>
                <w:szCs w:val="21"/>
                <w:highlight w:val="none"/>
              </w:rPr>
              <w:t xml:space="preserve">； 补充监测□； 其他 </w:t>
            </w:r>
            <w:r>
              <w:rPr>
                <w:color w:val="auto"/>
                <w:szCs w:val="21"/>
                <w:highlight w:val="none"/>
              </w:rPr>
              <w:sym w:font="Wingdings 2" w:char="00A3"/>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区域水资源开发利用状况</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未开发 □； 开发量40%以下</w:t>
            </w:r>
            <w:r>
              <w:rPr>
                <w:color w:val="auto"/>
                <w:szCs w:val="21"/>
                <w:highlight w:val="none"/>
              </w:rPr>
              <w:sym w:font="Wingdings 2" w:char="0052"/>
            </w:r>
            <w:r>
              <w:rPr>
                <w:color w:val="auto"/>
                <w:szCs w:val="21"/>
                <w:highlight w:val="none"/>
              </w:rPr>
              <w:t xml:space="preserve">； 开发量40%以上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水文情势调查</w:t>
            </w: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调查时期</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丰水期 </w:t>
            </w:r>
            <w:r>
              <w:rPr>
                <w:color w:val="auto"/>
                <w:szCs w:val="21"/>
                <w:highlight w:val="none"/>
              </w:rPr>
              <w:sym w:font="Wingdings 2" w:char="00A3"/>
            </w:r>
            <w:r>
              <w:rPr>
                <w:color w:val="auto"/>
                <w:szCs w:val="21"/>
                <w:highlight w:val="none"/>
              </w:rPr>
              <w:t xml:space="preserve">； 平水期 □； 枯水期□； 冰封期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春季 </w:t>
            </w:r>
            <w:r>
              <w:rPr>
                <w:color w:val="auto"/>
                <w:szCs w:val="21"/>
                <w:highlight w:val="none"/>
              </w:rPr>
              <w:sym w:font="Wingdings 2" w:char="00A3"/>
            </w:r>
            <w:r>
              <w:rPr>
                <w:color w:val="auto"/>
                <w:szCs w:val="21"/>
                <w:highlight w:val="none"/>
              </w:rPr>
              <w:t xml:space="preserve">； 夏季 </w:t>
            </w:r>
            <w:r>
              <w:rPr>
                <w:color w:val="auto"/>
                <w:szCs w:val="21"/>
                <w:highlight w:val="none"/>
              </w:rPr>
              <w:sym w:font="Wingdings 2" w:char="00A3"/>
            </w:r>
            <w:r>
              <w:rPr>
                <w:color w:val="auto"/>
                <w:szCs w:val="21"/>
                <w:highlight w:val="none"/>
              </w:rPr>
              <w:t xml:space="preserve">； 秋季 </w:t>
            </w:r>
            <w:r>
              <w:rPr>
                <w:color w:val="auto"/>
                <w:szCs w:val="21"/>
                <w:highlight w:val="none"/>
              </w:rPr>
              <w:sym w:font="Wingdings 2" w:char="00A3"/>
            </w:r>
            <w:r>
              <w:rPr>
                <w:color w:val="auto"/>
                <w:szCs w:val="21"/>
                <w:highlight w:val="none"/>
              </w:rPr>
              <w:t xml:space="preserve">； 冬季 </w:t>
            </w:r>
            <w:r>
              <w:rPr>
                <w:color w:val="auto"/>
                <w:szCs w:val="21"/>
                <w:highlight w:val="none"/>
              </w:rPr>
              <w:sym w:font="Wingdings 2" w:char="00A3"/>
            </w:r>
            <w:r>
              <w:rPr>
                <w:color w:val="auto"/>
                <w:szCs w:val="21"/>
                <w:highlight w:val="none"/>
              </w:rPr>
              <w:t>；</w:t>
            </w:r>
          </w:p>
        </w:tc>
        <w:tc>
          <w:tcPr>
            <w:tcW w:w="3728" w:type="dxa"/>
            <w:gridSpan w:val="7"/>
            <w:vAlign w:val="center"/>
          </w:tcPr>
          <w:p>
            <w:pPr>
              <w:adjustRightInd w:val="0"/>
              <w:snapToGrid w:val="0"/>
              <w:spacing w:line="240" w:lineRule="auto"/>
              <w:jc w:val="center"/>
              <w:rPr>
                <w:color w:val="auto"/>
                <w:szCs w:val="21"/>
                <w:highlight w:val="none"/>
              </w:rPr>
            </w:pPr>
            <w:r>
              <w:rPr>
                <w:color w:val="auto"/>
                <w:szCs w:val="21"/>
                <w:highlight w:val="none"/>
              </w:rPr>
              <w:t xml:space="preserve">生态环境保护主管部门 </w:t>
            </w:r>
            <w:r>
              <w:rPr>
                <w:color w:val="auto"/>
                <w:szCs w:val="21"/>
                <w:highlight w:val="none"/>
              </w:rPr>
              <w:sym w:font="Wingdings 2" w:char="00A3"/>
            </w:r>
            <w:r>
              <w:rPr>
                <w:color w:val="auto"/>
                <w:szCs w:val="21"/>
                <w:highlight w:val="none"/>
              </w:rPr>
              <w:t xml:space="preserve">； 补充监测 </w:t>
            </w:r>
            <w:r>
              <w:rPr>
                <w:color w:val="auto"/>
                <w:szCs w:val="21"/>
                <w:highlight w:val="none"/>
              </w:rPr>
              <w:sym w:font="Wingdings 2" w:char="00A3"/>
            </w:r>
            <w:r>
              <w:rPr>
                <w:color w:val="auto"/>
                <w:szCs w:val="21"/>
                <w:highlight w:val="none"/>
              </w:rPr>
              <w:t>；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补充监测</w:t>
            </w: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监测时期</w:t>
            </w:r>
          </w:p>
        </w:tc>
        <w:tc>
          <w:tcPr>
            <w:tcW w:w="2167" w:type="dxa"/>
            <w:gridSpan w:val="4"/>
            <w:vAlign w:val="center"/>
          </w:tcPr>
          <w:p>
            <w:pPr>
              <w:adjustRightInd w:val="0"/>
              <w:snapToGrid w:val="0"/>
              <w:spacing w:line="240" w:lineRule="auto"/>
              <w:jc w:val="center"/>
              <w:rPr>
                <w:color w:val="auto"/>
                <w:szCs w:val="21"/>
                <w:highlight w:val="none"/>
              </w:rPr>
            </w:pPr>
            <w:r>
              <w:rPr>
                <w:color w:val="auto"/>
                <w:szCs w:val="21"/>
                <w:highlight w:val="none"/>
              </w:rPr>
              <w:t>监测因子</w:t>
            </w:r>
          </w:p>
        </w:tc>
        <w:tc>
          <w:tcPr>
            <w:tcW w:w="1561" w:type="dxa"/>
            <w:gridSpan w:val="3"/>
            <w:vAlign w:val="center"/>
          </w:tcPr>
          <w:p>
            <w:pPr>
              <w:adjustRightInd w:val="0"/>
              <w:snapToGrid w:val="0"/>
              <w:spacing w:line="240" w:lineRule="auto"/>
              <w:jc w:val="center"/>
              <w:rPr>
                <w:color w:val="auto"/>
                <w:szCs w:val="21"/>
                <w:highlight w:val="none"/>
              </w:rPr>
            </w:pPr>
            <w:r>
              <w:rPr>
                <w:color w:val="auto"/>
                <w:szCs w:val="21"/>
                <w:highlight w:val="none"/>
              </w:rPr>
              <w:t>监测断面或点位个数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3199"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丰水期 </w:t>
            </w:r>
            <w:r>
              <w:rPr>
                <w:color w:val="auto"/>
                <w:szCs w:val="21"/>
                <w:highlight w:val="none"/>
              </w:rPr>
              <w:sym w:font="Wingdings 2" w:char="00A3"/>
            </w:r>
            <w:r>
              <w:rPr>
                <w:color w:val="auto"/>
                <w:szCs w:val="21"/>
                <w:highlight w:val="none"/>
              </w:rPr>
              <w:t xml:space="preserve">； 平水期 □； 枯水期 </w:t>
            </w:r>
            <w:r>
              <w:rPr>
                <w:color w:val="auto"/>
                <w:szCs w:val="21"/>
                <w:highlight w:val="none"/>
              </w:rPr>
              <w:sym w:font="Wingdings 2" w:char="00A3"/>
            </w:r>
            <w:r>
              <w:rPr>
                <w:color w:val="auto"/>
                <w:szCs w:val="21"/>
                <w:highlight w:val="none"/>
              </w:rPr>
              <w:t xml:space="preserve">； 冰封期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春季 </w:t>
            </w:r>
            <w:r>
              <w:rPr>
                <w:color w:val="auto"/>
                <w:szCs w:val="21"/>
                <w:highlight w:val="none"/>
              </w:rPr>
              <w:sym w:font="Wingdings 2" w:char="00A3"/>
            </w:r>
            <w:r>
              <w:rPr>
                <w:color w:val="auto"/>
                <w:szCs w:val="21"/>
                <w:highlight w:val="none"/>
              </w:rPr>
              <w:t xml:space="preserve">； 夏季 </w:t>
            </w:r>
            <w:r>
              <w:rPr>
                <w:color w:val="auto"/>
                <w:szCs w:val="21"/>
                <w:highlight w:val="none"/>
              </w:rPr>
              <w:sym w:font="Wingdings 2" w:char="00A3"/>
            </w:r>
            <w:r>
              <w:rPr>
                <w:color w:val="auto"/>
                <w:szCs w:val="21"/>
                <w:highlight w:val="none"/>
              </w:rPr>
              <w:t xml:space="preserve">； 秋季 </w:t>
            </w:r>
            <w:r>
              <w:rPr>
                <w:color w:val="auto"/>
                <w:szCs w:val="21"/>
                <w:highlight w:val="none"/>
              </w:rPr>
              <w:sym w:font="Wingdings 2" w:char="00A3"/>
            </w:r>
            <w:r>
              <w:rPr>
                <w:color w:val="auto"/>
                <w:szCs w:val="21"/>
                <w:highlight w:val="none"/>
              </w:rPr>
              <w:t xml:space="preserve">； 冬季 </w:t>
            </w:r>
            <w:r>
              <w:rPr>
                <w:color w:val="auto"/>
                <w:szCs w:val="21"/>
                <w:highlight w:val="none"/>
              </w:rPr>
              <w:sym w:font="Wingdings 2" w:char="00A3"/>
            </w:r>
          </w:p>
        </w:tc>
        <w:tc>
          <w:tcPr>
            <w:tcW w:w="2167" w:type="dxa"/>
            <w:gridSpan w:val="4"/>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1561" w:type="dxa"/>
            <w:gridSpan w:val="3"/>
            <w:vAlign w:val="center"/>
          </w:tcPr>
          <w:p>
            <w:pPr>
              <w:adjustRightInd w:val="0"/>
              <w:snapToGrid w:val="0"/>
              <w:spacing w:line="240" w:lineRule="auto"/>
              <w:jc w:val="center"/>
              <w:rPr>
                <w:color w:val="auto"/>
                <w:szCs w:val="21"/>
                <w:highlight w:val="none"/>
              </w:rPr>
            </w:pPr>
            <w:r>
              <w:rPr>
                <w:color w:val="auto"/>
                <w:szCs w:val="21"/>
                <w:highlight w:val="none"/>
              </w:rPr>
              <w:t>监测断面或点位个数（</w:t>
            </w:r>
            <w:r>
              <w:rPr>
                <w:rFonts w:hint="eastAsia"/>
                <w:color w:val="auto"/>
                <w:szCs w:val="21"/>
                <w:highlight w:val="none"/>
              </w:rPr>
              <w:t>/</w:t>
            </w:r>
            <w:r>
              <w:rPr>
                <w:color w:val="auto"/>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240" w:lineRule="auto"/>
              <w:jc w:val="center"/>
              <w:rPr>
                <w:color w:val="auto"/>
                <w:szCs w:val="21"/>
                <w:highlight w:val="none"/>
              </w:rPr>
            </w:pPr>
            <w:r>
              <w:rPr>
                <w:color w:val="auto"/>
                <w:szCs w:val="21"/>
                <w:highlight w:val="none"/>
              </w:rPr>
              <w:t>现状评价</w:t>
            </w: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评价范围</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河流：长度（  ）km； 湖库、河口及近岸海域：（   ）km</w:t>
            </w:r>
            <w:r>
              <w:rPr>
                <w:color w:val="auto"/>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评价因子</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（pH、氨氮、总氮、总磷、石油类、COD、BOD</w:t>
            </w:r>
            <w:r>
              <w:rPr>
                <w:color w:val="auto"/>
                <w:szCs w:val="21"/>
                <w:highlight w:val="none"/>
                <w:vertAlign w:val="subscript"/>
              </w:rPr>
              <w:t>5</w:t>
            </w:r>
            <w:r>
              <w:rPr>
                <w:color w:val="auto"/>
                <w:szCs w:val="21"/>
                <w:highlight w:val="none"/>
              </w:rPr>
              <w:t>、高锰酸盐指数、粪大肠菌群共9项）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评价标准</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河流、湖库、河口：Ⅰ类 </w:t>
            </w:r>
            <w:r>
              <w:rPr>
                <w:color w:val="auto"/>
                <w:szCs w:val="21"/>
                <w:highlight w:val="none"/>
              </w:rPr>
              <w:sym w:font="Wingdings 2" w:char="00A3"/>
            </w:r>
            <w:r>
              <w:rPr>
                <w:color w:val="auto"/>
                <w:szCs w:val="21"/>
                <w:highlight w:val="none"/>
              </w:rPr>
              <w:t xml:space="preserve">； Ⅱ类 </w:t>
            </w:r>
            <w:r>
              <w:rPr>
                <w:color w:val="auto"/>
                <w:szCs w:val="21"/>
                <w:highlight w:val="none"/>
              </w:rPr>
              <w:sym w:font="Wingdings 2" w:char="00A3"/>
            </w:r>
            <w:r>
              <w:rPr>
                <w:color w:val="auto"/>
                <w:szCs w:val="21"/>
                <w:highlight w:val="none"/>
              </w:rPr>
              <w:t xml:space="preserve">； Ⅲ类 </w:t>
            </w:r>
            <w:r>
              <w:rPr>
                <w:color w:val="auto"/>
                <w:szCs w:val="21"/>
                <w:highlight w:val="none"/>
              </w:rPr>
              <w:sym w:font="Wingdings 2" w:char="0052"/>
            </w:r>
            <w:r>
              <w:rPr>
                <w:color w:val="auto"/>
                <w:szCs w:val="21"/>
                <w:highlight w:val="none"/>
              </w:rPr>
              <w:t xml:space="preserve">； Ⅳ类 </w:t>
            </w:r>
            <w:r>
              <w:rPr>
                <w:color w:val="auto"/>
                <w:szCs w:val="21"/>
                <w:highlight w:val="none"/>
              </w:rPr>
              <w:sym w:font="Wingdings 2" w:char="00A3"/>
            </w:r>
            <w:r>
              <w:rPr>
                <w:color w:val="auto"/>
                <w:szCs w:val="21"/>
                <w:highlight w:val="none"/>
              </w:rPr>
              <w:t>；Ⅴ类</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近岸海域：第一类 </w:t>
            </w:r>
            <w:r>
              <w:rPr>
                <w:color w:val="auto"/>
                <w:szCs w:val="21"/>
                <w:highlight w:val="none"/>
              </w:rPr>
              <w:sym w:font="Wingdings 2" w:char="00A3"/>
            </w:r>
            <w:r>
              <w:rPr>
                <w:color w:val="auto"/>
                <w:szCs w:val="21"/>
                <w:highlight w:val="none"/>
              </w:rPr>
              <w:t xml:space="preserve">； 第二类 </w:t>
            </w:r>
            <w:r>
              <w:rPr>
                <w:color w:val="auto"/>
                <w:szCs w:val="21"/>
                <w:highlight w:val="none"/>
              </w:rPr>
              <w:sym w:font="Wingdings 2" w:char="00A3"/>
            </w:r>
            <w:r>
              <w:rPr>
                <w:color w:val="auto"/>
                <w:szCs w:val="21"/>
                <w:highlight w:val="none"/>
              </w:rPr>
              <w:t xml:space="preserve">； 第三类 </w:t>
            </w:r>
            <w:r>
              <w:rPr>
                <w:color w:val="auto"/>
                <w:szCs w:val="21"/>
                <w:highlight w:val="none"/>
              </w:rPr>
              <w:sym w:font="Wingdings 2" w:char="00A3"/>
            </w:r>
            <w:r>
              <w:rPr>
                <w:color w:val="auto"/>
                <w:szCs w:val="21"/>
                <w:highlight w:val="none"/>
              </w:rPr>
              <w:t xml:space="preserve">； 第四类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评价时期</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丰水期 </w:t>
            </w:r>
            <w:r>
              <w:rPr>
                <w:color w:val="auto"/>
                <w:szCs w:val="21"/>
                <w:highlight w:val="none"/>
              </w:rPr>
              <w:sym w:font="Wingdings 2" w:char="00A3"/>
            </w:r>
            <w:r>
              <w:rPr>
                <w:color w:val="auto"/>
                <w:szCs w:val="21"/>
                <w:highlight w:val="none"/>
              </w:rPr>
              <w:t xml:space="preserve">； 平水期□； 枯水期□； 冰封期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春季 </w:t>
            </w:r>
            <w:r>
              <w:rPr>
                <w:color w:val="auto"/>
                <w:szCs w:val="21"/>
                <w:highlight w:val="none"/>
              </w:rPr>
              <w:sym w:font="Wingdings 2" w:char="00A3"/>
            </w:r>
            <w:r>
              <w:rPr>
                <w:color w:val="auto"/>
                <w:szCs w:val="21"/>
                <w:highlight w:val="none"/>
              </w:rPr>
              <w:t xml:space="preserve">； 夏季 </w:t>
            </w:r>
            <w:r>
              <w:rPr>
                <w:color w:val="auto"/>
                <w:szCs w:val="21"/>
                <w:highlight w:val="none"/>
              </w:rPr>
              <w:sym w:font="Wingdings 2" w:char="00A3"/>
            </w:r>
            <w:r>
              <w:rPr>
                <w:color w:val="auto"/>
                <w:szCs w:val="21"/>
                <w:highlight w:val="none"/>
              </w:rPr>
              <w:t xml:space="preserve">； 秋季 </w:t>
            </w:r>
            <w:r>
              <w:rPr>
                <w:color w:val="auto"/>
                <w:szCs w:val="21"/>
                <w:highlight w:val="none"/>
              </w:rPr>
              <w:sym w:font="Wingdings 2" w:char="00A3"/>
            </w:r>
            <w:r>
              <w:rPr>
                <w:color w:val="auto"/>
                <w:szCs w:val="21"/>
                <w:highlight w:val="none"/>
              </w:rPr>
              <w:t xml:space="preserve">； 冬季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评价结论</w:t>
            </w:r>
          </w:p>
        </w:tc>
        <w:tc>
          <w:tcPr>
            <w:tcW w:w="6036" w:type="dxa"/>
            <w:gridSpan w:val="11"/>
            <w:vAlign w:val="center"/>
          </w:tcPr>
          <w:p>
            <w:pPr>
              <w:adjustRightInd w:val="0"/>
              <w:snapToGrid w:val="0"/>
              <w:spacing w:line="240" w:lineRule="auto"/>
              <w:jc w:val="center"/>
              <w:rPr>
                <w:color w:val="auto"/>
                <w:szCs w:val="21"/>
                <w:highlight w:val="none"/>
              </w:rPr>
            </w:pPr>
            <w:r>
              <w:rPr>
                <w:color w:val="auto"/>
                <w:szCs w:val="21"/>
                <w:highlight w:val="none"/>
              </w:rPr>
              <w:t xml:space="preserve">水环境功能区或水功能区、近岸海域环境功能区水质达标状况：达标 </w:t>
            </w:r>
            <w:r>
              <w:rPr>
                <w:color w:val="auto"/>
                <w:szCs w:val="21"/>
                <w:highlight w:val="none"/>
              </w:rPr>
              <w:sym w:font="Wingdings 2" w:char="00A3"/>
            </w:r>
            <w:r>
              <w:rPr>
                <w:color w:val="auto"/>
                <w:szCs w:val="21"/>
                <w:highlight w:val="none"/>
              </w:rPr>
              <w:t xml:space="preserve">； 不达标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水环境控制单元或断面水质达标状况 ：达标</w:t>
            </w:r>
            <w:r>
              <w:rPr>
                <w:color w:val="auto"/>
                <w:szCs w:val="21"/>
                <w:highlight w:val="none"/>
              </w:rPr>
              <w:sym w:font="Wingdings 2" w:char="00A3"/>
            </w:r>
            <w:r>
              <w:rPr>
                <w:color w:val="auto"/>
                <w:szCs w:val="21"/>
                <w:highlight w:val="none"/>
              </w:rPr>
              <w:t xml:space="preserve">； 不达标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水环境保护目标质量状况 ：达标 </w:t>
            </w:r>
            <w:r>
              <w:rPr>
                <w:color w:val="auto"/>
                <w:szCs w:val="21"/>
                <w:highlight w:val="none"/>
              </w:rPr>
              <w:sym w:font="Wingdings 2" w:char="00A3"/>
            </w:r>
            <w:r>
              <w:rPr>
                <w:color w:val="auto"/>
                <w:szCs w:val="21"/>
                <w:highlight w:val="none"/>
              </w:rPr>
              <w:t xml:space="preserve">； 不达标 </w:t>
            </w:r>
            <w:r>
              <w:rPr>
                <w:color w:val="auto"/>
                <w:szCs w:val="21"/>
                <w:highlight w:val="none"/>
              </w:rPr>
              <w:sym w:font="Wingdings 2" w:char="0052"/>
            </w:r>
          </w:p>
          <w:p>
            <w:pPr>
              <w:adjustRightInd w:val="0"/>
              <w:snapToGrid w:val="0"/>
              <w:spacing w:line="240" w:lineRule="auto"/>
              <w:jc w:val="center"/>
              <w:rPr>
                <w:color w:val="auto"/>
                <w:szCs w:val="21"/>
                <w:highlight w:val="none"/>
              </w:rPr>
            </w:pPr>
            <w:r>
              <w:rPr>
                <w:color w:val="auto"/>
                <w:szCs w:val="21"/>
                <w:highlight w:val="none"/>
              </w:rPr>
              <w:t xml:space="preserve">对照断面、控制断面等代表性断面的水质状况 ：达标 </w:t>
            </w:r>
            <w:r>
              <w:rPr>
                <w:color w:val="auto"/>
                <w:szCs w:val="21"/>
                <w:highlight w:val="none"/>
              </w:rPr>
              <w:sym w:font="Wingdings 2" w:char="00A3"/>
            </w:r>
            <w:r>
              <w:rPr>
                <w:color w:val="auto"/>
                <w:szCs w:val="21"/>
                <w:highlight w:val="none"/>
              </w:rPr>
              <w:t xml:space="preserve">； 不达标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底泥污染评价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水资源与开发利用程度及其水文情势评价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水环境质量回顾评价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流域（区域）水资源（包括水能资源）与开发利用总体规划、生态流量管理要求与现状满足程度、建设项目占用水域空间的水流状况与河湖演变状况 </w:t>
            </w:r>
            <w:r>
              <w:rPr>
                <w:color w:val="auto"/>
                <w:szCs w:val="21"/>
                <w:highlight w:val="none"/>
              </w:rPr>
              <w:sym w:font="Wingdings 2" w:char="00A3"/>
            </w:r>
          </w:p>
        </w:tc>
        <w:tc>
          <w:tcPr>
            <w:tcW w:w="891" w:type="dxa"/>
            <w:vAlign w:val="center"/>
          </w:tcPr>
          <w:p>
            <w:pPr>
              <w:adjustRightInd w:val="0"/>
              <w:snapToGrid w:val="0"/>
              <w:spacing w:line="240" w:lineRule="auto"/>
              <w:jc w:val="center"/>
              <w:rPr>
                <w:color w:val="auto"/>
                <w:szCs w:val="21"/>
                <w:highlight w:val="none"/>
              </w:rPr>
            </w:pPr>
            <w:r>
              <w:rPr>
                <w:color w:val="auto"/>
                <w:szCs w:val="21"/>
                <w:highlight w:val="none"/>
              </w:rPr>
              <w:t xml:space="preserve">达标区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不达标区 </w:t>
            </w:r>
            <w:r>
              <w:rPr>
                <w:color w:val="auto"/>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240" w:lineRule="auto"/>
              <w:jc w:val="center"/>
              <w:rPr>
                <w:color w:val="auto"/>
                <w:szCs w:val="21"/>
                <w:highlight w:val="none"/>
              </w:rPr>
            </w:pPr>
            <w:r>
              <w:rPr>
                <w:color w:val="auto"/>
                <w:szCs w:val="21"/>
                <w:highlight w:val="none"/>
              </w:rPr>
              <w:t>影响预测</w:t>
            </w: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预测范围</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河流：长度（   ）km； 湖库、河口及近岸海域：（   ）km</w:t>
            </w:r>
            <w:r>
              <w:rPr>
                <w:color w:val="auto"/>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预测因子</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预测时期</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丰水期 </w:t>
            </w:r>
            <w:r>
              <w:rPr>
                <w:color w:val="auto"/>
                <w:szCs w:val="21"/>
                <w:highlight w:val="none"/>
              </w:rPr>
              <w:sym w:font="Wingdings 2" w:char="00A3"/>
            </w:r>
            <w:r>
              <w:rPr>
                <w:color w:val="auto"/>
                <w:szCs w:val="21"/>
                <w:highlight w:val="none"/>
              </w:rPr>
              <w:t xml:space="preserve">； 平水期 </w:t>
            </w:r>
            <w:r>
              <w:rPr>
                <w:color w:val="auto"/>
                <w:szCs w:val="21"/>
                <w:highlight w:val="none"/>
              </w:rPr>
              <w:sym w:font="Wingdings 2" w:char="00A3"/>
            </w:r>
            <w:r>
              <w:rPr>
                <w:color w:val="auto"/>
                <w:szCs w:val="21"/>
                <w:highlight w:val="none"/>
              </w:rPr>
              <w:t xml:space="preserve">； 枯水期 □； 冰封期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春季 </w:t>
            </w:r>
            <w:r>
              <w:rPr>
                <w:color w:val="auto"/>
                <w:szCs w:val="21"/>
                <w:highlight w:val="none"/>
              </w:rPr>
              <w:sym w:font="Wingdings 2" w:char="00A3"/>
            </w:r>
            <w:r>
              <w:rPr>
                <w:color w:val="auto"/>
                <w:szCs w:val="21"/>
                <w:highlight w:val="none"/>
              </w:rPr>
              <w:t xml:space="preserve">； 夏季 </w:t>
            </w:r>
            <w:r>
              <w:rPr>
                <w:color w:val="auto"/>
                <w:szCs w:val="21"/>
                <w:highlight w:val="none"/>
              </w:rPr>
              <w:sym w:font="Wingdings 2" w:char="00A3"/>
            </w:r>
            <w:r>
              <w:rPr>
                <w:color w:val="auto"/>
                <w:szCs w:val="21"/>
                <w:highlight w:val="none"/>
              </w:rPr>
              <w:t xml:space="preserve">； 秋季 </w:t>
            </w:r>
            <w:r>
              <w:rPr>
                <w:color w:val="auto"/>
                <w:szCs w:val="21"/>
                <w:highlight w:val="none"/>
              </w:rPr>
              <w:sym w:font="Wingdings 2" w:char="00A3"/>
            </w:r>
            <w:r>
              <w:rPr>
                <w:color w:val="auto"/>
                <w:szCs w:val="21"/>
                <w:highlight w:val="none"/>
              </w:rPr>
              <w:t xml:space="preserve">； 冬季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设计水文条件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预测情景</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建设期 </w:t>
            </w:r>
            <w:r>
              <w:rPr>
                <w:color w:val="auto"/>
                <w:szCs w:val="21"/>
                <w:highlight w:val="none"/>
              </w:rPr>
              <w:sym w:font="Wingdings 2" w:char="00A3"/>
            </w:r>
            <w:r>
              <w:rPr>
                <w:color w:val="auto"/>
                <w:szCs w:val="21"/>
                <w:highlight w:val="none"/>
              </w:rPr>
              <w:t xml:space="preserve">； 生产运行期 □； 服务期满后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正常工况 </w:t>
            </w:r>
            <w:r>
              <w:rPr>
                <w:color w:val="auto"/>
                <w:szCs w:val="21"/>
                <w:highlight w:val="none"/>
              </w:rPr>
              <w:sym w:font="Wingdings 2" w:char="00A3"/>
            </w:r>
            <w:r>
              <w:rPr>
                <w:color w:val="auto"/>
                <w:szCs w:val="21"/>
                <w:highlight w:val="none"/>
              </w:rPr>
              <w:t xml:space="preserve">； 非正常工况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污染控制和缓解措施方案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区（流）域环境质量改善目标要求情景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预测方法</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数值解 </w:t>
            </w:r>
            <w:r>
              <w:rPr>
                <w:color w:val="auto"/>
                <w:szCs w:val="21"/>
                <w:highlight w:val="none"/>
              </w:rPr>
              <w:sym w:font="Wingdings 2" w:char="00A3"/>
            </w:r>
            <w:r>
              <w:rPr>
                <w:color w:val="auto"/>
                <w:szCs w:val="21"/>
                <w:highlight w:val="none"/>
              </w:rPr>
              <w:t xml:space="preserve">； 解析解 </w:t>
            </w:r>
            <w:r>
              <w:rPr>
                <w:color w:val="auto"/>
                <w:szCs w:val="21"/>
                <w:highlight w:val="none"/>
              </w:rPr>
              <w:sym w:font="Wingdings 2" w:char="00A3"/>
            </w:r>
            <w:r>
              <w:rPr>
                <w:color w:val="auto"/>
                <w:szCs w:val="21"/>
                <w:highlight w:val="none"/>
              </w:rPr>
              <w:t xml:space="preserve">； 其他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导则推荐模式 </w:t>
            </w:r>
            <w:r>
              <w:rPr>
                <w:color w:val="auto"/>
                <w:szCs w:val="21"/>
                <w:highlight w:val="none"/>
              </w:rPr>
              <w:sym w:font="Wingdings 2" w:char="00A3"/>
            </w:r>
            <w:r>
              <w:rPr>
                <w:color w:val="auto"/>
                <w:szCs w:val="21"/>
                <w:highlight w:val="none"/>
              </w:rPr>
              <w:t xml:space="preserve">； 其他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240" w:lineRule="auto"/>
              <w:jc w:val="center"/>
              <w:rPr>
                <w:color w:val="auto"/>
                <w:szCs w:val="21"/>
                <w:highlight w:val="none"/>
              </w:rPr>
            </w:pPr>
            <w:r>
              <w:rPr>
                <w:color w:val="auto"/>
                <w:szCs w:val="21"/>
                <w:highlight w:val="none"/>
              </w:rPr>
              <w:t>影响评价</w:t>
            </w: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水污染控制和水环境影响减缓措施有效性评价</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区（流）域水环境质量改善目标 </w:t>
            </w:r>
            <w:r>
              <w:rPr>
                <w:color w:val="auto"/>
                <w:szCs w:val="21"/>
                <w:highlight w:val="none"/>
              </w:rPr>
              <w:sym w:font="Wingdings 2" w:char="00A3"/>
            </w:r>
            <w:r>
              <w:rPr>
                <w:color w:val="auto"/>
                <w:szCs w:val="21"/>
                <w:highlight w:val="none"/>
              </w:rPr>
              <w:t xml:space="preserve">； 替代消减源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水环境影响评价</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排放口混合区外满足水环境管理要求 □</w:t>
            </w:r>
          </w:p>
          <w:p>
            <w:pPr>
              <w:adjustRightInd w:val="0"/>
              <w:snapToGrid w:val="0"/>
              <w:spacing w:line="240" w:lineRule="auto"/>
              <w:jc w:val="center"/>
              <w:rPr>
                <w:color w:val="auto"/>
                <w:szCs w:val="21"/>
                <w:highlight w:val="none"/>
              </w:rPr>
            </w:pPr>
            <w:r>
              <w:rPr>
                <w:color w:val="auto"/>
                <w:szCs w:val="21"/>
                <w:highlight w:val="none"/>
              </w:rPr>
              <w:t xml:space="preserve">水环境功能区或水功能区、近岸海域环境功能区水质达标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满足水环境保护目标水域水环境质量要求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水环境控制单元或断面水质达标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满足重点水污染物排放总量控制指标要求，重点行业建设项目，主要污染物排放满足等量或减量替代要求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满足区（流）域水环境质量改善目标要求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水文要素影响型建设项目同时应包括水文情势变化评价、主要水文特征值影响评价、生态流量符合性评价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 xml:space="preserve">对于新设或调整入河（湖库、近岸海域）排放口的建设项目，应包括排放口设置的环境合理性评价 </w:t>
            </w:r>
            <w:r>
              <w:rPr>
                <w:color w:val="auto"/>
                <w:szCs w:val="21"/>
                <w:highlight w:val="none"/>
              </w:rPr>
              <w:sym w:font="Wingdings 2" w:char="00A3"/>
            </w:r>
          </w:p>
          <w:p>
            <w:pPr>
              <w:adjustRightInd w:val="0"/>
              <w:snapToGrid w:val="0"/>
              <w:spacing w:line="240" w:lineRule="auto"/>
              <w:jc w:val="center"/>
              <w:rPr>
                <w:color w:val="auto"/>
                <w:szCs w:val="21"/>
                <w:highlight w:val="none"/>
              </w:rPr>
            </w:pPr>
            <w:r>
              <w:rPr>
                <w:color w:val="auto"/>
                <w:szCs w:val="21"/>
                <w:highlight w:val="none"/>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污染源排放量核算</w:t>
            </w:r>
          </w:p>
        </w:tc>
        <w:tc>
          <w:tcPr>
            <w:tcW w:w="2356" w:type="dxa"/>
            <w:gridSpan w:val="3"/>
            <w:vAlign w:val="center"/>
          </w:tcPr>
          <w:p>
            <w:pPr>
              <w:adjustRightInd w:val="0"/>
              <w:snapToGrid w:val="0"/>
              <w:spacing w:line="240" w:lineRule="auto"/>
              <w:jc w:val="center"/>
              <w:rPr>
                <w:color w:val="auto"/>
                <w:szCs w:val="21"/>
                <w:highlight w:val="none"/>
              </w:rPr>
            </w:pPr>
            <w:r>
              <w:rPr>
                <w:color w:val="auto"/>
                <w:szCs w:val="21"/>
                <w:highlight w:val="none"/>
              </w:rPr>
              <w:t>污染物名称</w:t>
            </w:r>
          </w:p>
        </w:tc>
        <w:tc>
          <w:tcPr>
            <w:tcW w:w="2352" w:type="dxa"/>
            <w:gridSpan w:val="5"/>
            <w:vAlign w:val="center"/>
          </w:tcPr>
          <w:p>
            <w:pPr>
              <w:adjustRightInd w:val="0"/>
              <w:snapToGrid w:val="0"/>
              <w:spacing w:line="240" w:lineRule="auto"/>
              <w:jc w:val="center"/>
              <w:rPr>
                <w:color w:val="auto"/>
                <w:szCs w:val="21"/>
                <w:highlight w:val="none"/>
              </w:rPr>
            </w:pPr>
            <w:r>
              <w:rPr>
                <w:color w:val="auto"/>
                <w:szCs w:val="21"/>
                <w:highlight w:val="none"/>
              </w:rPr>
              <w:t>排放量/（t/a）</w:t>
            </w:r>
          </w:p>
        </w:tc>
        <w:tc>
          <w:tcPr>
            <w:tcW w:w="2219" w:type="dxa"/>
            <w:gridSpan w:val="4"/>
            <w:vAlign w:val="center"/>
          </w:tcPr>
          <w:p>
            <w:pPr>
              <w:adjustRightInd w:val="0"/>
              <w:snapToGrid w:val="0"/>
              <w:spacing w:line="240" w:lineRule="auto"/>
              <w:jc w:val="center"/>
              <w:rPr>
                <w:color w:val="auto"/>
                <w:szCs w:val="21"/>
                <w:highlight w:val="none"/>
              </w:rPr>
            </w:pPr>
            <w:r>
              <w:rPr>
                <w:color w:val="auto"/>
                <w:szCs w:val="21"/>
                <w:highlight w:val="none"/>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2356" w:type="dxa"/>
            <w:gridSpan w:val="3"/>
            <w:vAlign w:val="center"/>
          </w:tcPr>
          <w:p>
            <w:pPr>
              <w:adjustRightInd w:val="0"/>
              <w:snapToGrid w:val="0"/>
              <w:spacing w:line="240" w:lineRule="auto"/>
              <w:jc w:val="center"/>
              <w:rPr>
                <w:color w:val="auto"/>
                <w:szCs w:val="21"/>
                <w:highlight w:val="none"/>
              </w:rPr>
            </w:pPr>
            <w:r>
              <w:rPr>
                <w:color w:val="auto"/>
                <w:szCs w:val="21"/>
                <w:highlight w:val="none"/>
              </w:rPr>
              <w:t>（/）</w:t>
            </w:r>
          </w:p>
        </w:tc>
        <w:tc>
          <w:tcPr>
            <w:tcW w:w="2352" w:type="dxa"/>
            <w:gridSpan w:val="5"/>
            <w:vAlign w:val="center"/>
          </w:tcPr>
          <w:p>
            <w:pPr>
              <w:adjustRightInd w:val="0"/>
              <w:snapToGrid w:val="0"/>
              <w:spacing w:line="240" w:lineRule="auto"/>
              <w:jc w:val="center"/>
              <w:rPr>
                <w:color w:val="auto"/>
                <w:szCs w:val="21"/>
                <w:highlight w:val="none"/>
              </w:rPr>
            </w:pPr>
            <w:r>
              <w:rPr>
                <w:color w:val="auto"/>
                <w:szCs w:val="21"/>
                <w:highlight w:val="none"/>
              </w:rPr>
              <w:t>（/）</w:t>
            </w:r>
          </w:p>
        </w:tc>
        <w:tc>
          <w:tcPr>
            <w:tcW w:w="2219" w:type="dxa"/>
            <w:gridSpan w:val="4"/>
            <w:vAlign w:val="center"/>
          </w:tcPr>
          <w:p>
            <w:pPr>
              <w:adjustRightInd w:val="0"/>
              <w:snapToGrid w:val="0"/>
              <w:spacing w:line="240" w:lineRule="auto"/>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替代源排放情况</w:t>
            </w:r>
          </w:p>
        </w:tc>
        <w:tc>
          <w:tcPr>
            <w:tcW w:w="1419" w:type="dxa"/>
            <w:vAlign w:val="center"/>
          </w:tcPr>
          <w:p>
            <w:pPr>
              <w:adjustRightInd w:val="0"/>
              <w:snapToGrid w:val="0"/>
              <w:spacing w:line="240" w:lineRule="auto"/>
              <w:jc w:val="center"/>
              <w:rPr>
                <w:color w:val="auto"/>
                <w:szCs w:val="21"/>
                <w:highlight w:val="none"/>
              </w:rPr>
            </w:pPr>
            <w:r>
              <w:rPr>
                <w:color w:val="auto"/>
                <w:szCs w:val="21"/>
                <w:highlight w:val="none"/>
              </w:rPr>
              <w:t>污染源名称</w:t>
            </w:r>
          </w:p>
        </w:tc>
        <w:tc>
          <w:tcPr>
            <w:tcW w:w="1404" w:type="dxa"/>
            <w:gridSpan w:val="3"/>
            <w:vAlign w:val="center"/>
          </w:tcPr>
          <w:p>
            <w:pPr>
              <w:adjustRightInd w:val="0"/>
              <w:snapToGrid w:val="0"/>
              <w:spacing w:line="240" w:lineRule="auto"/>
              <w:jc w:val="center"/>
              <w:rPr>
                <w:color w:val="auto"/>
                <w:szCs w:val="21"/>
                <w:highlight w:val="none"/>
              </w:rPr>
            </w:pPr>
            <w:r>
              <w:rPr>
                <w:color w:val="auto"/>
                <w:szCs w:val="21"/>
                <w:highlight w:val="none"/>
              </w:rPr>
              <w:t>排污许可证编号</w:t>
            </w:r>
          </w:p>
        </w:tc>
        <w:tc>
          <w:tcPr>
            <w:tcW w:w="1420" w:type="dxa"/>
            <w:gridSpan w:val="2"/>
            <w:vAlign w:val="center"/>
          </w:tcPr>
          <w:p>
            <w:pPr>
              <w:adjustRightInd w:val="0"/>
              <w:snapToGrid w:val="0"/>
              <w:spacing w:line="240" w:lineRule="auto"/>
              <w:jc w:val="center"/>
              <w:rPr>
                <w:color w:val="auto"/>
                <w:szCs w:val="21"/>
                <w:highlight w:val="none"/>
              </w:rPr>
            </w:pPr>
            <w:r>
              <w:rPr>
                <w:color w:val="auto"/>
                <w:szCs w:val="21"/>
                <w:highlight w:val="none"/>
              </w:rPr>
              <w:t>污染物名称</w:t>
            </w:r>
          </w:p>
        </w:tc>
        <w:tc>
          <w:tcPr>
            <w:tcW w:w="1405" w:type="dxa"/>
            <w:gridSpan w:val="4"/>
            <w:vAlign w:val="center"/>
          </w:tcPr>
          <w:p>
            <w:pPr>
              <w:adjustRightInd w:val="0"/>
              <w:snapToGrid w:val="0"/>
              <w:spacing w:line="240" w:lineRule="auto"/>
              <w:jc w:val="center"/>
              <w:rPr>
                <w:color w:val="auto"/>
                <w:szCs w:val="21"/>
                <w:highlight w:val="none"/>
              </w:rPr>
            </w:pPr>
            <w:r>
              <w:rPr>
                <w:color w:val="auto"/>
                <w:szCs w:val="21"/>
                <w:highlight w:val="none"/>
              </w:rPr>
              <w:t>排放量/（t/a）</w:t>
            </w:r>
          </w:p>
        </w:tc>
        <w:tc>
          <w:tcPr>
            <w:tcW w:w="1279" w:type="dxa"/>
            <w:gridSpan w:val="2"/>
            <w:vAlign w:val="center"/>
          </w:tcPr>
          <w:p>
            <w:pPr>
              <w:adjustRightInd w:val="0"/>
              <w:snapToGrid w:val="0"/>
              <w:spacing w:line="240" w:lineRule="auto"/>
              <w:jc w:val="center"/>
              <w:rPr>
                <w:color w:val="auto"/>
                <w:szCs w:val="21"/>
                <w:highlight w:val="none"/>
              </w:rPr>
            </w:pPr>
            <w:r>
              <w:rPr>
                <w:color w:val="auto"/>
                <w:szCs w:val="21"/>
                <w:highlight w:val="none"/>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1419" w:type="dxa"/>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1404" w:type="dxa"/>
            <w:gridSpan w:val="3"/>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1420" w:type="dxa"/>
            <w:gridSpan w:val="2"/>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1405" w:type="dxa"/>
            <w:gridSpan w:val="4"/>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1279" w:type="dxa"/>
            <w:gridSpan w:val="2"/>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生态流量确定</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生态流量：一般水期（   ）m</w:t>
            </w:r>
            <w:r>
              <w:rPr>
                <w:color w:val="auto"/>
                <w:szCs w:val="21"/>
                <w:highlight w:val="none"/>
                <w:vertAlign w:val="superscript"/>
              </w:rPr>
              <w:t>3</w:t>
            </w:r>
            <w:r>
              <w:rPr>
                <w:color w:val="auto"/>
                <w:szCs w:val="21"/>
                <w:highlight w:val="none"/>
              </w:rPr>
              <w:t>/s； 鱼类繁殖期（   ）m</w:t>
            </w:r>
            <w:r>
              <w:rPr>
                <w:color w:val="auto"/>
                <w:szCs w:val="21"/>
                <w:highlight w:val="none"/>
                <w:vertAlign w:val="superscript"/>
              </w:rPr>
              <w:t>3</w:t>
            </w:r>
            <w:r>
              <w:rPr>
                <w:color w:val="auto"/>
                <w:szCs w:val="21"/>
                <w:highlight w:val="none"/>
              </w:rPr>
              <w:t>/s； 其他（   ）m</w:t>
            </w:r>
            <w:r>
              <w:rPr>
                <w:color w:val="auto"/>
                <w:szCs w:val="21"/>
                <w:highlight w:val="none"/>
                <w:vertAlign w:val="superscript"/>
              </w:rPr>
              <w:t>3</w:t>
            </w:r>
            <w:r>
              <w:rPr>
                <w:color w:val="auto"/>
                <w:szCs w:val="21"/>
                <w:highlight w:val="none"/>
              </w:rPr>
              <w:t>/s</w:t>
            </w:r>
          </w:p>
          <w:p>
            <w:pPr>
              <w:adjustRightInd w:val="0"/>
              <w:snapToGrid w:val="0"/>
              <w:spacing w:line="240" w:lineRule="auto"/>
              <w:jc w:val="center"/>
              <w:rPr>
                <w:color w:val="auto"/>
                <w:szCs w:val="21"/>
                <w:highlight w:val="none"/>
              </w:rPr>
            </w:pPr>
            <w:r>
              <w:rPr>
                <w:color w:val="auto"/>
                <w:szCs w:val="21"/>
                <w:highlight w:val="none"/>
              </w:rPr>
              <w:t>生态水位：一般水期（   ）m； 鱼类繁殖期（   ）m； 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240" w:lineRule="auto"/>
              <w:jc w:val="center"/>
              <w:rPr>
                <w:color w:val="auto"/>
                <w:szCs w:val="21"/>
                <w:highlight w:val="none"/>
              </w:rPr>
            </w:pPr>
            <w:r>
              <w:rPr>
                <w:color w:val="auto"/>
                <w:szCs w:val="21"/>
                <w:highlight w:val="none"/>
              </w:rPr>
              <w:t>防治措施</w:t>
            </w: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环保措施</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污水处理设施 </w:t>
            </w:r>
            <w:r>
              <w:rPr>
                <w:color w:val="auto"/>
                <w:szCs w:val="21"/>
                <w:highlight w:val="none"/>
              </w:rPr>
              <w:sym w:font="Wingdings 2" w:char="0052"/>
            </w:r>
            <w:r>
              <w:rPr>
                <w:color w:val="auto"/>
                <w:szCs w:val="21"/>
                <w:highlight w:val="none"/>
              </w:rPr>
              <w:t xml:space="preserve">； 水文减缓设施 </w:t>
            </w:r>
            <w:r>
              <w:rPr>
                <w:color w:val="auto"/>
                <w:szCs w:val="21"/>
                <w:highlight w:val="none"/>
              </w:rPr>
              <w:sym w:font="Wingdings 2" w:char="00A3"/>
            </w:r>
            <w:r>
              <w:rPr>
                <w:color w:val="auto"/>
                <w:szCs w:val="21"/>
                <w:highlight w:val="none"/>
              </w:rPr>
              <w:t xml:space="preserve">； 生态流量保障设施 </w:t>
            </w:r>
            <w:r>
              <w:rPr>
                <w:color w:val="auto"/>
                <w:szCs w:val="21"/>
                <w:highlight w:val="none"/>
              </w:rPr>
              <w:sym w:font="Wingdings 2" w:char="00A3"/>
            </w:r>
            <w:r>
              <w:rPr>
                <w:color w:val="auto"/>
                <w:szCs w:val="21"/>
                <w:highlight w:val="none"/>
              </w:rPr>
              <w:t xml:space="preserve">； 区域消减 </w:t>
            </w:r>
            <w:r>
              <w:rPr>
                <w:color w:val="auto"/>
                <w:szCs w:val="21"/>
                <w:highlight w:val="none"/>
              </w:rPr>
              <w:sym w:font="Wingdings 2" w:char="00A3"/>
            </w:r>
            <w:r>
              <w:rPr>
                <w:color w:val="auto"/>
                <w:szCs w:val="21"/>
                <w:highlight w:val="none"/>
              </w:rPr>
              <w:t xml:space="preserve">； 依托其他工程措施 </w:t>
            </w:r>
            <w:r>
              <w:rPr>
                <w:color w:val="auto"/>
                <w:szCs w:val="21"/>
                <w:highlight w:val="none"/>
              </w:rPr>
              <w:sym w:font="Wingdings 2" w:char="0052"/>
            </w:r>
            <w:r>
              <w:rPr>
                <w:color w:val="auto"/>
                <w:szCs w:val="21"/>
                <w:highlight w:val="none"/>
              </w:rPr>
              <w:t xml:space="preserve">；其他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restart"/>
            <w:vAlign w:val="center"/>
          </w:tcPr>
          <w:p>
            <w:pPr>
              <w:adjustRightInd w:val="0"/>
              <w:snapToGrid w:val="0"/>
              <w:spacing w:line="240" w:lineRule="auto"/>
              <w:jc w:val="center"/>
              <w:rPr>
                <w:color w:val="auto"/>
                <w:szCs w:val="21"/>
                <w:highlight w:val="none"/>
              </w:rPr>
            </w:pPr>
            <w:r>
              <w:rPr>
                <w:color w:val="auto"/>
                <w:szCs w:val="21"/>
                <w:highlight w:val="none"/>
              </w:rPr>
              <w:t>监测计划</w:t>
            </w:r>
          </w:p>
        </w:tc>
        <w:tc>
          <w:tcPr>
            <w:tcW w:w="1937" w:type="dxa"/>
            <w:gridSpan w:val="2"/>
            <w:vAlign w:val="center"/>
          </w:tcPr>
          <w:p>
            <w:pPr>
              <w:adjustRightInd w:val="0"/>
              <w:snapToGrid w:val="0"/>
              <w:spacing w:line="240" w:lineRule="auto"/>
              <w:jc w:val="center"/>
              <w:rPr>
                <w:color w:val="auto"/>
                <w:szCs w:val="21"/>
                <w:highlight w:val="none"/>
              </w:rPr>
            </w:pPr>
          </w:p>
        </w:tc>
        <w:tc>
          <w:tcPr>
            <w:tcW w:w="2568" w:type="dxa"/>
            <w:gridSpan w:val="5"/>
            <w:vAlign w:val="center"/>
          </w:tcPr>
          <w:p>
            <w:pPr>
              <w:adjustRightInd w:val="0"/>
              <w:snapToGrid w:val="0"/>
              <w:spacing w:line="240" w:lineRule="auto"/>
              <w:jc w:val="center"/>
              <w:rPr>
                <w:color w:val="auto"/>
                <w:szCs w:val="21"/>
                <w:highlight w:val="none"/>
              </w:rPr>
            </w:pPr>
            <w:r>
              <w:rPr>
                <w:color w:val="auto"/>
                <w:szCs w:val="21"/>
                <w:highlight w:val="none"/>
              </w:rPr>
              <w:t>环境质量</w:t>
            </w:r>
          </w:p>
        </w:tc>
        <w:tc>
          <w:tcPr>
            <w:tcW w:w="2422" w:type="dxa"/>
            <w:gridSpan w:val="5"/>
            <w:vAlign w:val="center"/>
          </w:tcPr>
          <w:p>
            <w:pPr>
              <w:adjustRightInd w:val="0"/>
              <w:snapToGrid w:val="0"/>
              <w:spacing w:line="240" w:lineRule="auto"/>
              <w:jc w:val="center"/>
              <w:rPr>
                <w:color w:val="auto"/>
                <w:szCs w:val="21"/>
                <w:highlight w:val="none"/>
              </w:rPr>
            </w:pPr>
            <w:r>
              <w:rPr>
                <w:color w:val="auto"/>
                <w:szCs w:val="21"/>
                <w:highlight w:val="none"/>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1937" w:type="dxa"/>
            <w:gridSpan w:val="2"/>
            <w:vAlign w:val="center"/>
          </w:tcPr>
          <w:p>
            <w:pPr>
              <w:adjustRightInd w:val="0"/>
              <w:snapToGrid w:val="0"/>
              <w:spacing w:line="240" w:lineRule="auto"/>
              <w:jc w:val="center"/>
              <w:rPr>
                <w:color w:val="auto"/>
                <w:szCs w:val="21"/>
                <w:highlight w:val="none"/>
              </w:rPr>
            </w:pPr>
            <w:r>
              <w:rPr>
                <w:color w:val="auto"/>
                <w:szCs w:val="21"/>
                <w:highlight w:val="none"/>
              </w:rPr>
              <w:t>监测方式</w:t>
            </w:r>
          </w:p>
        </w:tc>
        <w:tc>
          <w:tcPr>
            <w:tcW w:w="2568"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手动 □； 自动 </w:t>
            </w:r>
            <w:r>
              <w:rPr>
                <w:color w:val="auto"/>
                <w:szCs w:val="21"/>
                <w:highlight w:val="none"/>
              </w:rPr>
              <w:sym w:font="Wingdings 2" w:char="00A3"/>
            </w:r>
            <w:r>
              <w:rPr>
                <w:color w:val="auto"/>
                <w:szCs w:val="21"/>
                <w:highlight w:val="none"/>
              </w:rPr>
              <w:t xml:space="preserve">； 无监测 </w:t>
            </w:r>
            <w:r>
              <w:rPr>
                <w:color w:val="auto"/>
                <w:szCs w:val="21"/>
                <w:highlight w:val="none"/>
              </w:rPr>
              <w:sym w:font="Wingdings 2" w:char="0052"/>
            </w:r>
          </w:p>
        </w:tc>
        <w:tc>
          <w:tcPr>
            <w:tcW w:w="2422"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手动 □； 自动 </w:t>
            </w:r>
            <w:r>
              <w:rPr>
                <w:color w:val="auto"/>
                <w:szCs w:val="21"/>
                <w:highlight w:val="none"/>
              </w:rPr>
              <w:sym w:font="Wingdings 2" w:char="00A3"/>
            </w:r>
            <w:r>
              <w:rPr>
                <w:color w:val="auto"/>
                <w:szCs w:val="21"/>
                <w:highlight w:val="none"/>
              </w:rPr>
              <w:t xml:space="preserve">； 无监测 </w:t>
            </w:r>
            <w:r>
              <w:rPr>
                <w:color w:val="auto"/>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1937" w:type="dxa"/>
            <w:gridSpan w:val="2"/>
            <w:vAlign w:val="center"/>
          </w:tcPr>
          <w:p>
            <w:pPr>
              <w:adjustRightInd w:val="0"/>
              <w:snapToGrid w:val="0"/>
              <w:spacing w:line="240" w:lineRule="auto"/>
              <w:jc w:val="center"/>
              <w:rPr>
                <w:color w:val="auto"/>
                <w:szCs w:val="21"/>
                <w:highlight w:val="none"/>
              </w:rPr>
            </w:pPr>
            <w:r>
              <w:rPr>
                <w:color w:val="auto"/>
                <w:szCs w:val="21"/>
                <w:highlight w:val="none"/>
              </w:rPr>
              <w:t>监测点位</w:t>
            </w:r>
          </w:p>
        </w:tc>
        <w:tc>
          <w:tcPr>
            <w:tcW w:w="2568"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 </w:t>
            </w:r>
            <w:r>
              <w:rPr>
                <w:rFonts w:hint="eastAsia"/>
                <w:color w:val="auto"/>
                <w:szCs w:val="21"/>
                <w:highlight w:val="none"/>
                <w:lang w:val="en-US" w:eastAsia="zh-CN"/>
              </w:rPr>
              <w:t>/</w:t>
            </w:r>
            <w:r>
              <w:rPr>
                <w:color w:val="auto"/>
                <w:szCs w:val="21"/>
                <w:highlight w:val="none"/>
              </w:rPr>
              <w:t xml:space="preserve"> ）</w:t>
            </w:r>
          </w:p>
        </w:tc>
        <w:tc>
          <w:tcPr>
            <w:tcW w:w="2422" w:type="dxa"/>
            <w:gridSpan w:val="5"/>
            <w:vAlign w:val="center"/>
          </w:tcPr>
          <w:p>
            <w:pPr>
              <w:adjustRightInd w:val="0"/>
              <w:snapToGrid w:val="0"/>
              <w:spacing w:line="240" w:lineRule="auto"/>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Merge w:val="continue"/>
            <w:vAlign w:val="center"/>
          </w:tcPr>
          <w:p>
            <w:pPr>
              <w:adjustRightInd w:val="0"/>
              <w:snapToGrid w:val="0"/>
              <w:spacing w:line="240" w:lineRule="auto"/>
              <w:jc w:val="center"/>
              <w:rPr>
                <w:color w:val="auto"/>
                <w:szCs w:val="21"/>
                <w:highlight w:val="none"/>
              </w:rPr>
            </w:pPr>
          </w:p>
        </w:tc>
        <w:tc>
          <w:tcPr>
            <w:tcW w:w="1937" w:type="dxa"/>
            <w:gridSpan w:val="2"/>
            <w:vAlign w:val="center"/>
          </w:tcPr>
          <w:p>
            <w:pPr>
              <w:adjustRightInd w:val="0"/>
              <w:snapToGrid w:val="0"/>
              <w:spacing w:line="240" w:lineRule="auto"/>
              <w:jc w:val="center"/>
              <w:rPr>
                <w:color w:val="auto"/>
                <w:szCs w:val="21"/>
                <w:highlight w:val="none"/>
              </w:rPr>
            </w:pPr>
            <w:r>
              <w:rPr>
                <w:color w:val="auto"/>
                <w:szCs w:val="21"/>
                <w:highlight w:val="none"/>
              </w:rPr>
              <w:t>监测因子</w:t>
            </w:r>
          </w:p>
        </w:tc>
        <w:tc>
          <w:tcPr>
            <w:tcW w:w="2568" w:type="dxa"/>
            <w:gridSpan w:val="5"/>
            <w:vAlign w:val="center"/>
          </w:tcPr>
          <w:p>
            <w:pPr>
              <w:adjustRightInd w:val="0"/>
              <w:snapToGrid w:val="0"/>
              <w:spacing w:line="240" w:lineRule="auto"/>
              <w:jc w:val="center"/>
              <w:rPr>
                <w:color w:val="auto"/>
                <w:szCs w:val="21"/>
                <w:highlight w:val="none"/>
              </w:rPr>
            </w:pPr>
            <w:r>
              <w:rPr>
                <w:color w:val="auto"/>
                <w:szCs w:val="21"/>
                <w:highlight w:val="none"/>
              </w:rPr>
              <w:t xml:space="preserve">（ </w:t>
            </w:r>
            <w:r>
              <w:rPr>
                <w:rFonts w:hint="eastAsia"/>
                <w:color w:val="auto"/>
                <w:szCs w:val="21"/>
                <w:highlight w:val="none"/>
                <w:lang w:val="en-US" w:eastAsia="zh-CN"/>
              </w:rPr>
              <w:t>/</w:t>
            </w:r>
            <w:r>
              <w:rPr>
                <w:color w:val="auto"/>
                <w:szCs w:val="21"/>
                <w:highlight w:val="none"/>
              </w:rPr>
              <w:t xml:space="preserve"> ）</w:t>
            </w:r>
          </w:p>
        </w:tc>
        <w:tc>
          <w:tcPr>
            <w:tcW w:w="2422" w:type="dxa"/>
            <w:gridSpan w:val="5"/>
            <w:vAlign w:val="center"/>
          </w:tcPr>
          <w:p>
            <w:pPr>
              <w:adjustRightInd w:val="0"/>
              <w:snapToGrid w:val="0"/>
              <w:spacing w:line="240" w:lineRule="auto"/>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240" w:lineRule="auto"/>
              <w:jc w:val="center"/>
              <w:rPr>
                <w:color w:val="auto"/>
                <w:szCs w:val="21"/>
                <w:highlight w:val="none"/>
              </w:rPr>
            </w:pPr>
          </w:p>
        </w:tc>
        <w:tc>
          <w:tcPr>
            <w:tcW w:w="1194" w:type="dxa"/>
            <w:vAlign w:val="center"/>
          </w:tcPr>
          <w:p>
            <w:pPr>
              <w:adjustRightInd w:val="0"/>
              <w:snapToGrid w:val="0"/>
              <w:spacing w:line="240" w:lineRule="auto"/>
              <w:jc w:val="center"/>
              <w:rPr>
                <w:color w:val="auto"/>
                <w:szCs w:val="21"/>
                <w:highlight w:val="none"/>
              </w:rPr>
            </w:pPr>
            <w:r>
              <w:rPr>
                <w:color w:val="auto"/>
                <w:szCs w:val="21"/>
                <w:highlight w:val="none"/>
              </w:rPr>
              <w:t>污染源排放清单</w:t>
            </w:r>
          </w:p>
        </w:tc>
        <w:tc>
          <w:tcPr>
            <w:tcW w:w="6927" w:type="dxa"/>
            <w:gridSpan w:val="12"/>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gridSpan w:val="2"/>
            <w:vAlign w:val="center"/>
          </w:tcPr>
          <w:p>
            <w:pPr>
              <w:adjustRightInd w:val="0"/>
              <w:snapToGrid w:val="0"/>
              <w:spacing w:line="240" w:lineRule="auto"/>
              <w:jc w:val="center"/>
              <w:rPr>
                <w:color w:val="auto"/>
                <w:szCs w:val="21"/>
                <w:highlight w:val="none"/>
              </w:rPr>
            </w:pPr>
            <w:r>
              <w:rPr>
                <w:color w:val="auto"/>
                <w:szCs w:val="21"/>
                <w:highlight w:val="none"/>
              </w:rPr>
              <w:t>评价结论</w:t>
            </w:r>
          </w:p>
        </w:tc>
        <w:tc>
          <w:tcPr>
            <w:tcW w:w="6927" w:type="dxa"/>
            <w:gridSpan w:val="12"/>
            <w:vAlign w:val="center"/>
          </w:tcPr>
          <w:p>
            <w:pPr>
              <w:adjustRightInd w:val="0"/>
              <w:snapToGrid w:val="0"/>
              <w:spacing w:line="240" w:lineRule="auto"/>
              <w:jc w:val="center"/>
              <w:rPr>
                <w:color w:val="auto"/>
                <w:szCs w:val="21"/>
                <w:highlight w:val="none"/>
              </w:rPr>
            </w:pPr>
            <w:r>
              <w:rPr>
                <w:color w:val="auto"/>
                <w:szCs w:val="21"/>
                <w:highlight w:val="none"/>
              </w:rPr>
              <w:t xml:space="preserve">可以接受 ☑； 不可以接受 </w:t>
            </w:r>
            <w:r>
              <w:rPr>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7" w:type="dxa"/>
            <w:gridSpan w:val="14"/>
            <w:vAlign w:val="center"/>
          </w:tcPr>
          <w:p>
            <w:pPr>
              <w:adjustRightInd w:val="0"/>
              <w:snapToGrid w:val="0"/>
              <w:spacing w:line="240" w:lineRule="auto"/>
              <w:jc w:val="center"/>
              <w:rPr>
                <w:color w:val="auto"/>
                <w:szCs w:val="21"/>
                <w:highlight w:val="none"/>
              </w:rPr>
            </w:pPr>
            <w:r>
              <w:rPr>
                <w:color w:val="auto"/>
                <w:szCs w:val="21"/>
                <w:highlight w:val="none"/>
              </w:rPr>
              <w:t>注：“</w:t>
            </w:r>
            <w:r>
              <w:rPr>
                <w:color w:val="auto"/>
                <w:szCs w:val="21"/>
                <w:highlight w:val="none"/>
              </w:rPr>
              <w:sym w:font="Wingdings 2" w:char="00A3"/>
            </w:r>
            <w:r>
              <w:rPr>
                <w:color w:val="auto"/>
                <w:szCs w:val="21"/>
                <w:highlight w:val="none"/>
              </w:rPr>
              <w:t>”为勾选项，可“√”； “（ ）”为内容填写项； “备注”为其他补充内容。</w:t>
            </w:r>
          </w:p>
        </w:tc>
      </w:tr>
    </w:tbl>
    <w:p>
      <w:pPr>
        <w:keepNext/>
        <w:keepLines/>
        <w:spacing w:line="360" w:lineRule="auto"/>
        <w:outlineLvl w:val="2"/>
        <w:rPr>
          <w:b/>
          <w:bCs/>
          <w:color w:val="auto"/>
          <w:sz w:val="24"/>
          <w:highlight w:val="none"/>
        </w:rPr>
      </w:pPr>
      <w:bookmarkStart w:id="584" w:name="_Toc10409"/>
      <w:r>
        <w:rPr>
          <w:b/>
          <w:bCs/>
          <w:color w:val="auto"/>
          <w:sz w:val="24"/>
          <w:highlight w:val="none"/>
        </w:rPr>
        <w:t>5.2.3 地下水环境影响分析</w:t>
      </w:r>
      <w:bookmarkEnd w:id="580"/>
      <w:bookmarkEnd w:id="584"/>
    </w:p>
    <w:p>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本项目为塑料制品制造，项目不涉及人造革、发泡胶等有毒原材料，不涉及电镀。根据《环境影响评价技术导则-地下水环境》（HJ610-2016）中附录A地下水环境影响评价行业分类表，项目为N轻工中的“116、塑料制品制造”中的“其他”，为Ⅳ类项目，根据导则要求，Ⅳ类项目可不开展地下水环境影响评价</w:t>
      </w:r>
      <w:r>
        <w:rPr>
          <w:rFonts w:hint="eastAsia"/>
          <w:color w:val="auto"/>
          <w:sz w:val="24"/>
          <w:highlight w:val="none"/>
        </w:rPr>
        <w:t>。</w:t>
      </w:r>
    </w:p>
    <w:p>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项目生产过程中最有可能对地下水产生影响的为设备维修时产生的废机油、环保设施更换的废活性炭，本次环评已提出设置一间5m</w:t>
      </w:r>
      <w:r>
        <w:rPr>
          <w:rFonts w:hint="eastAsia"/>
          <w:color w:val="auto"/>
          <w:sz w:val="24"/>
          <w:highlight w:val="none"/>
          <w:vertAlign w:val="superscript"/>
          <w:lang w:val="en-US" w:eastAsia="zh-CN"/>
        </w:rPr>
        <w:t>2</w:t>
      </w:r>
      <w:r>
        <w:rPr>
          <w:rFonts w:hint="eastAsia"/>
          <w:color w:val="auto"/>
          <w:sz w:val="24"/>
          <w:highlight w:val="none"/>
          <w:lang w:val="en-US" w:eastAsia="zh-CN"/>
        </w:rPr>
        <w:t>的危废暂存间，用于暂存废机油、废活性炭等，设置标识标牌，采取水泥+2mm厚HDPE膜进行防渗，渗透系数≤10</w:t>
      </w:r>
      <w:r>
        <w:rPr>
          <w:rFonts w:hint="eastAsia"/>
          <w:color w:val="auto"/>
          <w:sz w:val="24"/>
          <w:highlight w:val="none"/>
          <w:vertAlign w:val="superscript"/>
          <w:lang w:val="en-US" w:eastAsia="zh-CN"/>
        </w:rPr>
        <w:t>-10</w:t>
      </w:r>
      <w:r>
        <w:rPr>
          <w:rFonts w:hint="eastAsia"/>
          <w:color w:val="auto"/>
          <w:sz w:val="24"/>
          <w:highlight w:val="none"/>
          <w:lang w:val="en-US" w:eastAsia="zh-CN"/>
        </w:rPr>
        <w:t>cm/s，可有效防止废机油、废活性炭暂存过程对地下水造成影响。</w:t>
      </w:r>
    </w:p>
    <w:p>
      <w:pPr>
        <w:keepNext/>
        <w:keepLines/>
        <w:spacing w:line="360" w:lineRule="auto"/>
        <w:outlineLvl w:val="2"/>
        <w:rPr>
          <w:b/>
          <w:bCs/>
          <w:color w:val="auto"/>
          <w:sz w:val="24"/>
          <w:highlight w:val="none"/>
        </w:rPr>
      </w:pPr>
      <w:bookmarkStart w:id="585" w:name="_Toc75908715"/>
      <w:bookmarkStart w:id="586" w:name="_Toc31981"/>
      <w:r>
        <w:rPr>
          <w:b/>
          <w:bCs/>
          <w:color w:val="auto"/>
          <w:sz w:val="24"/>
          <w:highlight w:val="none"/>
        </w:rPr>
        <w:t>5.2.4 运营期声环境影响分析</w:t>
      </w:r>
      <w:bookmarkEnd w:id="585"/>
      <w:bookmarkEnd w:id="586"/>
    </w:p>
    <w:p>
      <w:pPr>
        <w:spacing w:line="360" w:lineRule="auto"/>
        <w:rPr>
          <w:b/>
          <w:color w:val="auto"/>
          <w:sz w:val="24"/>
          <w:highlight w:val="none"/>
        </w:rPr>
      </w:pPr>
      <w:bookmarkStart w:id="587" w:name="_Toc416178788"/>
      <w:bookmarkStart w:id="588" w:name="_Toc390780546"/>
      <w:bookmarkStart w:id="589" w:name="_Toc18981"/>
      <w:r>
        <w:rPr>
          <w:b/>
          <w:color w:val="auto"/>
          <w:sz w:val="24"/>
          <w:highlight w:val="none"/>
        </w:rPr>
        <w:t>5.2.4.1执行标准</w:t>
      </w:r>
      <w:bookmarkEnd w:id="587"/>
      <w:bookmarkEnd w:id="588"/>
      <w:bookmarkEnd w:id="589"/>
    </w:p>
    <w:p>
      <w:pPr>
        <w:spacing w:line="360" w:lineRule="auto"/>
        <w:ind w:firstLine="482"/>
        <w:rPr>
          <w:color w:val="auto"/>
          <w:spacing w:val="-3"/>
          <w:sz w:val="24"/>
          <w:highlight w:val="none"/>
        </w:rPr>
      </w:pPr>
      <w:r>
        <w:rPr>
          <w:color w:val="auto"/>
          <w:spacing w:val="-3"/>
          <w:sz w:val="24"/>
          <w:highlight w:val="none"/>
        </w:rPr>
        <w:t>项目区声环境质量执行《声环境质量标准》（GB3096-2008）</w:t>
      </w:r>
      <w:r>
        <w:rPr>
          <w:rFonts w:hint="eastAsia"/>
          <w:color w:val="auto"/>
          <w:spacing w:val="-3"/>
          <w:sz w:val="24"/>
          <w:highlight w:val="none"/>
          <w:lang w:val="en-US" w:eastAsia="zh-CN"/>
        </w:rPr>
        <w:t>2</w:t>
      </w:r>
      <w:r>
        <w:rPr>
          <w:color w:val="auto"/>
          <w:spacing w:val="-3"/>
          <w:sz w:val="24"/>
          <w:highlight w:val="none"/>
        </w:rPr>
        <w:t>类</w:t>
      </w:r>
      <w:r>
        <w:rPr>
          <w:rFonts w:hint="eastAsia"/>
          <w:color w:val="auto"/>
          <w:spacing w:val="-3"/>
          <w:sz w:val="24"/>
          <w:highlight w:val="none"/>
          <w:lang w:val="en-US" w:eastAsia="zh-CN"/>
        </w:rPr>
        <w:t>和4a类</w:t>
      </w:r>
      <w:r>
        <w:rPr>
          <w:color w:val="auto"/>
          <w:spacing w:val="-3"/>
          <w:sz w:val="24"/>
          <w:highlight w:val="none"/>
        </w:rPr>
        <w:t>标准。</w:t>
      </w:r>
    </w:p>
    <w:p>
      <w:pPr>
        <w:spacing w:line="360" w:lineRule="auto"/>
        <w:rPr>
          <w:b/>
          <w:color w:val="auto"/>
          <w:sz w:val="24"/>
          <w:highlight w:val="none"/>
        </w:rPr>
      </w:pPr>
      <w:bookmarkStart w:id="590" w:name="_Toc358193493"/>
      <w:bookmarkStart w:id="591" w:name="_Toc390780547"/>
      <w:bookmarkStart w:id="592" w:name="_Toc9996"/>
      <w:bookmarkStart w:id="593" w:name="_Toc416178789"/>
      <w:bookmarkStart w:id="594" w:name="_Toc358193173"/>
      <w:r>
        <w:rPr>
          <w:b/>
          <w:color w:val="auto"/>
          <w:sz w:val="24"/>
          <w:highlight w:val="none"/>
        </w:rPr>
        <w:t>5.2.4.2噪声源强</w:t>
      </w:r>
      <w:bookmarkEnd w:id="590"/>
      <w:bookmarkEnd w:id="591"/>
      <w:bookmarkEnd w:id="592"/>
      <w:bookmarkEnd w:id="593"/>
      <w:bookmarkEnd w:id="594"/>
    </w:p>
    <w:p>
      <w:pPr>
        <w:spacing w:line="360" w:lineRule="auto"/>
        <w:ind w:firstLine="480"/>
        <w:rPr>
          <w:b/>
          <w:color w:val="auto"/>
          <w:sz w:val="24"/>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r>
        <w:rPr>
          <w:color w:val="auto"/>
          <w:sz w:val="24"/>
          <w:highlight w:val="none"/>
        </w:rPr>
        <w:t>项目运营期噪声主要来源于各种生产设备运行及运输车辆产生的噪声。</w:t>
      </w:r>
      <w:r>
        <w:rPr>
          <w:color w:val="auto"/>
          <w:spacing w:val="-2"/>
          <w:sz w:val="24"/>
          <w:highlight w:val="none"/>
        </w:rPr>
        <w:t>项目运营期主要设备噪声源强及治理措施见表</w:t>
      </w:r>
      <w:r>
        <w:rPr>
          <w:rFonts w:hint="eastAsia"/>
          <w:color w:val="auto"/>
          <w:spacing w:val="-2"/>
          <w:sz w:val="24"/>
          <w:highlight w:val="none"/>
        </w:rPr>
        <w:t>5.2-</w:t>
      </w:r>
      <w:r>
        <w:rPr>
          <w:rFonts w:hint="eastAsia"/>
          <w:color w:val="auto"/>
          <w:spacing w:val="-2"/>
          <w:sz w:val="24"/>
          <w:highlight w:val="none"/>
          <w:lang w:val="en-US" w:eastAsia="zh-CN"/>
        </w:rPr>
        <w:t>13。</w:t>
      </w:r>
    </w:p>
    <w:p>
      <w:pPr>
        <w:pStyle w:val="15"/>
        <w:keepNext/>
        <w:ind w:firstLine="482"/>
        <w:rPr>
          <w:rFonts w:ascii="Times New Roman" w:hAnsi="Times New Roman" w:eastAsia="宋体" w:cs="Times New Roman"/>
          <w:bCs w:val="0"/>
          <w:color w:val="auto"/>
          <w:highlight w:val="none"/>
        </w:rPr>
      </w:pPr>
      <w:r>
        <w:rPr>
          <w:rFonts w:ascii="Times New Roman" w:hAnsi="Times New Roman" w:eastAsia="宋体" w:cs="Times New Roman"/>
          <w:bCs w:val="0"/>
          <w:color w:val="auto"/>
          <w:highlight w:val="none"/>
        </w:rPr>
        <w:t>表</w:t>
      </w:r>
      <w:r>
        <w:rPr>
          <w:rFonts w:hint="eastAsia" w:ascii="Times New Roman" w:hAnsi="Times New Roman" w:eastAsia="宋体" w:cs="Times New Roman"/>
          <w:bCs w:val="0"/>
          <w:color w:val="auto"/>
          <w:highlight w:val="none"/>
          <w:lang w:val="en-US" w:eastAsia="zh-CN"/>
        </w:rPr>
        <w:t>5.2-1</w:t>
      </w:r>
      <w:r>
        <w:rPr>
          <w:rFonts w:hint="eastAsia" w:ascii="Times New Roman" w:hAnsi="Times New Roman" w:cs="Times New Roman"/>
          <w:bCs w:val="0"/>
          <w:color w:val="auto"/>
          <w:highlight w:val="none"/>
          <w:lang w:val="en-US" w:eastAsia="zh-CN"/>
        </w:rPr>
        <w:t>3</w:t>
      </w:r>
      <w:r>
        <w:rPr>
          <w:rFonts w:hint="eastAsia" w:ascii="Times New Roman" w:hAnsi="Times New Roman" w:eastAsia="宋体" w:cs="Times New Roman"/>
          <w:bCs w:val="0"/>
          <w:color w:val="auto"/>
          <w:highlight w:val="none"/>
          <w:lang w:val="en-US" w:eastAsia="zh-CN"/>
        </w:rPr>
        <w:t xml:space="preserve"> </w:t>
      </w:r>
      <w:r>
        <w:rPr>
          <w:rFonts w:ascii="Times New Roman" w:hAnsi="Times New Roman" w:eastAsia="宋体" w:cs="Times New Roman"/>
          <w:bCs w:val="0"/>
          <w:color w:val="auto"/>
          <w:highlight w:val="none"/>
        </w:rPr>
        <w:t xml:space="preserve"> 工业企业噪声源强调查清单（室内声源）</w:t>
      </w:r>
    </w:p>
    <w:tbl>
      <w:tblPr>
        <w:tblStyle w:val="55"/>
        <w:tblW w:w="14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579"/>
        <w:gridCol w:w="880"/>
        <w:gridCol w:w="687"/>
        <w:gridCol w:w="510"/>
        <w:gridCol w:w="545"/>
        <w:gridCol w:w="546"/>
        <w:gridCol w:w="395"/>
        <w:gridCol w:w="475"/>
        <w:gridCol w:w="506"/>
        <w:gridCol w:w="506"/>
        <w:gridCol w:w="563"/>
        <w:gridCol w:w="475"/>
        <w:gridCol w:w="475"/>
        <w:gridCol w:w="475"/>
        <w:gridCol w:w="557"/>
        <w:gridCol w:w="852"/>
        <w:gridCol w:w="475"/>
        <w:gridCol w:w="475"/>
        <w:gridCol w:w="475"/>
        <w:gridCol w:w="565"/>
        <w:gridCol w:w="475"/>
        <w:gridCol w:w="475"/>
        <w:gridCol w:w="475"/>
        <w:gridCol w:w="477"/>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491" w:type="dxa"/>
            <w:vMerge w:val="restart"/>
            <w:vAlign w:val="center"/>
          </w:tcPr>
          <w:p>
            <w:pPr>
              <w:spacing w:line="240" w:lineRule="auto"/>
              <w:jc w:val="center"/>
              <w:rPr>
                <w:color w:val="auto"/>
                <w:sz w:val="18"/>
                <w:szCs w:val="18"/>
                <w:highlight w:val="none"/>
              </w:rPr>
            </w:pPr>
            <w:r>
              <w:rPr>
                <w:color w:val="auto"/>
                <w:sz w:val="18"/>
                <w:szCs w:val="18"/>
                <w:highlight w:val="none"/>
              </w:rPr>
              <w:t>序号</w:t>
            </w:r>
          </w:p>
        </w:tc>
        <w:tc>
          <w:tcPr>
            <w:tcW w:w="579" w:type="dxa"/>
            <w:vMerge w:val="restart"/>
            <w:vAlign w:val="center"/>
          </w:tcPr>
          <w:p>
            <w:pPr>
              <w:spacing w:line="240" w:lineRule="auto"/>
              <w:jc w:val="center"/>
              <w:rPr>
                <w:color w:val="auto"/>
                <w:sz w:val="18"/>
                <w:szCs w:val="18"/>
                <w:highlight w:val="none"/>
              </w:rPr>
            </w:pPr>
            <w:r>
              <w:rPr>
                <w:color w:val="auto"/>
                <w:sz w:val="18"/>
                <w:szCs w:val="18"/>
                <w:highlight w:val="none"/>
              </w:rPr>
              <w:t>建筑物名称</w:t>
            </w:r>
          </w:p>
        </w:tc>
        <w:tc>
          <w:tcPr>
            <w:tcW w:w="880" w:type="dxa"/>
            <w:vMerge w:val="restart"/>
            <w:vAlign w:val="center"/>
          </w:tcPr>
          <w:p>
            <w:pPr>
              <w:spacing w:line="240" w:lineRule="auto"/>
              <w:jc w:val="center"/>
              <w:rPr>
                <w:color w:val="auto"/>
                <w:sz w:val="18"/>
                <w:szCs w:val="18"/>
                <w:highlight w:val="none"/>
              </w:rPr>
            </w:pPr>
            <w:r>
              <w:rPr>
                <w:color w:val="auto"/>
                <w:sz w:val="18"/>
                <w:szCs w:val="18"/>
                <w:highlight w:val="none"/>
              </w:rPr>
              <w:t>声源名称</w:t>
            </w:r>
          </w:p>
        </w:tc>
        <w:tc>
          <w:tcPr>
            <w:tcW w:w="687" w:type="dxa"/>
            <w:vAlign w:val="center"/>
          </w:tcPr>
          <w:p>
            <w:pPr>
              <w:spacing w:line="240" w:lineRule="auto"/>
              <w:jc w:val="center"/>
              <w:rPr>
                <w:color w:val="auto"/>
                <w:sz w:val="18"/>
                <w:szCs w:val="18"/>
                <w:highlight w:val="none"/>
              </w:rPr>
            </w:pPr>
            <w:r>
              <w:rPr>
                <w:color w:val="auto"/>
                <w:sz w:val="18"/>
                <w:szCs w:val="18"/>
                <w:highlight w:val="none"/>
              </w:rPr>
              <w:t>声源源强</w:t>
            </w:r>
          </w:p>
        </w:tc>
        <w:tc>
          <w:tcPr>
            <w:tcW w:w="510" w:type="dxa"/>
            <w:vMerge w:val="restart"/>
            <w:vAlign w:val="center"/>
          </w:tcPr>
          <w:p>
            <w:pPr>
              <w:spacing w:line="240" w:lineRule="auto"/>
              <w:jc w:val="center"/>
              <w:rPr>
                <w:color w:val="auto"/>
                <w:sz w:val="18"/>
                <w:szCs w:val="18"/>
                <w:highlight w:val="none"/>
              </w:rPr>
            </w:pPr>
            <w:r>
              <w:rPr>
                <w:color w:val="auto"/>
                <w:sz w:val="18"/>
                <w:szCs w:val="18"/>
                <w:highlight w:val="none"/>
              </w:rPr>
              <w:t>声源控制措施</w:t>
            </w:r>
          </w:p>
        </w:tc>
        <w:tc>
          <w:tcPr>
            <w:tcW w:w="1486" w:type="dxa"/>
            <w:gridSpan w:val="3"/>
            <w:vAlign w:val="center"/>
          </w:tcPr>
          <w:p>
            <w:pPr>
              <w:spacing w:line="240" w:lineRule="auto"/>
              <w:jc w:val="center"/>
              <w:rPr>
                <w:color w:val="auto"/>
                <w:sz w:val="18"/>
                <w:szCs w:val="18"/>
                <w:highlight w:val="none"/>
              </w:rPr>
            </w:pPr>
            <w:r>
              <w:rPr>
                <w:color w:val="auto"/>
                <w:sz w:val="18"/>
                <w:szCs w:val="18"/>
                <w:highlight w:val="none"/>
              </w:rPr>
              <w:t>空间相对位置/m</w:t>
            </w:r>
          </w:p>
        </w:tc>
        <w:tc>
          <w:tcPr>
            <w:tcW w:w="2050" w:type="dxa"/>
            <w:gridSpan w:val="4"/>
            <w:vAlign w:val="center"/>
          </w:tcPr>
          <w:p>
            <w:pPr>
              <w:spacing w:line="240" w:lineRule="auto"/>
              <w:jc w:val="center"/>
              <w:rPr>
                <w:color w:val="auto"/>
                <w:sz w:val="18"/>
                <w:szCs w:val="18"/>
                <w:highlight w:val="none"/>
              </w:rPr>
            </w:pPr>
            <w:r>
              <w:rPr>
                <w:color w:val="auto"/>
                <w:sz w:val="18"/>
                <w:szCs w:val="18"/>
                <w:highlight w:val="none"/>
              </w:rPr>
              <w:t>距室内边界距离/m</w:t>
            </w:r>
          </w:p>
        </w:tc>
        <w:tc>
          <w:tcPr>
            <w:tcW w:w="1982" w:type="dxa"/>
            <w:gridSpan w:val="4"/>
            <w:vAlign w:val="center"/>
          </w:tcPr>
          <w:p>
            <w:pPr>
              <w:spacing w:line="240" w:lineRule="auto"/>
              <w:jc w:val="center"/>
              <w:rPr>
                <w:color w:val="auto"/>
                <w:sz w:val="18"/>
                <w:szCs w:val="18"/>
                <w:highlight w:val="none"/>
              </w:rPr>
            </w:pPr>
            <w:r>
              <w:rPr>
                <w:color w:val="auto"/>
                <w:sz w:val="18"/>
                <w:szCs w:val="18"/>
                <w:highlight w:val="none"/>
              </w:rPr>
              <w:t>室内边界声级/dB(A)</w:t>
            </w:r>
          </w:p>
        </w:tc>
        <w:tc>
          <w:tcPr>
            <w:tcW w:w="852" w:type="dxa"/>
            <w:vMerge w:val="restart"/>
            <w:vAlign w:val="center"/>
          </w:tcPr>
          <w:p>
            <w:pPr>
              <w:spacing w:line="240" w:lineRule="auto"/>
              <w:jc w:val="center"/>
              <w:rPr>
                <w:color w:val="auto"/>
                <w:sz w:val="18"/>
                <w:szCs w:val="18"/>
                <w:highlight w:val="none"/>
              </w:rPr>
            </w:pPr>
            <w:r>
              <w:rPr>
                <w:color w:val="auto"/>
                <w:sz w:val="18"/>
                <w:szCs w:val="18"/>
                <w:highlight w:val="none"/>
              </w:rPr>
              <w:t>运行时段</w:t>
            </w:r>
          </w:p>
        </w:tc>
        <w:tc>
          <w:tcPr>
            <w:tcW w:w="1990" w:type="dxa"/>
            <w:gridSpan w:val="4"/>
            <w:vAlign w:val="center"/>
          </w:tcPr>
          <w:p>
            <w:pPr>
              <w:spacing w:line="240" w:lineRule="auto"/>
              <w:jc w:val="center"/>
              <w:rPr>
                <w:color w:val="auto"/>
                <w:sz w:val="18"/>
                <w:szCs w:val="18"/>
                <w:highlight w:val="none"/>
              </w:rPr>
            </w:pPr>
            <w:r>
              <w:rPr>
                <w:color w:val="auto"/>
                <w:sz w:val="18"/>
                <w:szCs w:val="18"/>
                <w:highlight w:val="none"/>
              </w:rPr>
              <w:t>建筑物插入损失 / dB(A)</w:t>
            </w:r>
            <w:bookmarkStart w:id="595" w:name="PT_10"/>
            <w:bookmarkEnd w:id="595"/>
          </w:p>
        </w:tc>
        <w:tc>
          <w:tcPr>
            <w:tcW w:w="2700" w:type="dxa"/>
            <w:gridSpan w:val="5"/>
            <w:vAlign w:val="center"/>
          </w:tcPr>
          <w:p>
            <w:pPr>
              <w:spacing w:line="240" w:lineRule="auto"/>
              <w:jc w:val="center"/>
              <w:rPr>
                <w:color w:val="auto"/>
                <w:sz w:val="18"/>
                <w:szCs w:val="18"/>
                <w:highlight w:val="none"/>
              </w:rPr>
            </w:pPr>
            <w:r>
              <w:rPr>
                <w:color w:val="auto"/>
                <w:sz w:val="18"/>
                <w:szCs w:val="18"/>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00" w:hRule="atLeast"/>
        </w:trPr>
        <w:tc>
          <w:tcPr>
            <w:tcW w:w="491"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79"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88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687"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声功率级/dB(A)</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X</w:t>
            </w:r>
          </w:p>
        </w:tc>
        <w:tc>
          <w:tcPr>
            <w:tcW w:w="546"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Y</w:t>
            </w:r>
          </w:p>
        </w:tc>
        <w:tc>
          <w:tcPr>
            <w:tcW w:w="39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Z</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东</w:t>
            </w:r>
          </w:p>
        </w:tc>
        <w:tc>
          <w:tcPr>
            <w:tcW w:w="506"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南</w:t>
            </w:r>
          </w:p>
        </w:tc>
        <w:tc>
          <w:tcPr>
            <w:tcW w:w="506"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西</w:t>
            </w:r>
          </w:p>
        </w:tc>
        <w:tc>
          <w:tcPr>
            <w:tcW w:w="563"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北</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东</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南</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西</w:t>
            </w:r>
          </w:p>
        </w:tc>
        <w:tc>
          <w:tcPr>
            <w:tcW w:w="557"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北</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东</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南</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西</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北</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东</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南</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西</w:t>
            </w:r>
          </w:p>
        </w:tc>
        <w:tc>
          <w:tcPr>
            <w:tcW w:w="477"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北</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color w:val="auto"/>
                <w:sz w:val="18"/>
                <w:szCs w:val="18"/>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9"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eastAsia="Arial"/>
                <w:color w:val="auto"/>
                <w:sz w:val="18"/>
                <w:szCs w:val="18"/>
                <w:highlight w:val="none"/>
              </w:rPr>
              <w:t>1</w:t>
            </w:r>
          </w:p>
        </w:tc>
        <w:tc>
          <w:tcPr>
            <w:tcW w:w="579" w:type="dxa"/>
            <w:vMerge w:val="restart"/>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生产车间</w:t>
            </w: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上料机1</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restart"/>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Arial" w:cs="Times New Roman"/>
                <w:color w:val="auto"/>
                <w:sz w:val="18"/>
                <w:szCs w:val="18"/>
                <w:highlight w:val="none"/>
                <w:lang w:val="en-US" w:eastAsia="zh-CN"/>
              </w:rPr>
            </w:pPr>
            <w:r>
              <w:rPr>
                <w:rFonts w:hint="eastAsia" w:ascii="Times New Roman" w:hAnsi="Times New Roman" w:eastAsia="Arial" w:cs="Times New Roman"/>
                <w:color w:val="auto"/>
                <w:sz w:val="18"/>
                <w:szCs w:val="18"/>
                <w:highlight w:val="none"/>
                <w:lang w:val="en-US" w:eastAsia="zh-CN"/>
              </w:rPr>
              <w:t>选用低噪声设备、优化布局、基础减振、封闭厂房隔声、设备隔声罩、消声器</w:t>
            </w:r>
          </w:p>
        </w:tc>
        <w:tc>
          <w:tcPr>
            <w:tcW w:w="545" w:type="dxa"/>
            <w:shd w:val="clear" w:color="auto" w:fill="FFFFFF"/>
            <w:tcMar>
              <w:top w:w="0" w:type="dxa"/>
              <w:left w:w="0" w:type="dxa"/>
              <w:bottom w:w="0" w:type="dxa"/>
              <w:right w:w="0" w:type="dxa"/>
            </w:tcMar>
            <w:vAlign w:val="center"/>
          </w:tcPr>
          <w:p>
            <w:pPr>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11.05</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-9.04</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7.7</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8</w:t>
            </w:r>
            <w:r>
              <w:rPr>
                <w:rFonts w:hint="eastAsia" w:ascii="Times New Roman" w:hAnsi="Times New Roman" w:eastAsia="宋体" w:cs="Times New Roman"/>
                <w:color w:val="auto"/>
                <w:sz w:val="18"/>
                <w:szCs w:val="18"/>
                <w:highlight w:val="none"/>
              </w:rPr>
              <w:t>.4</w:t>
            </w:r>
          </w:p>
        </w:tc>
        <w:tc>
          <w:tcPr>
            <w:tcW w:w="50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22.2</w:t>
            </w:r>
          </w:p>
        </w:tc>
        <w:tc>
          <w:tcPr>
            <w:tcW w:w="563"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eastAsia="宋体"/>
                <w:color w:val="auto"/>
                <w:sz w:val="18"/>
                <w:szCs w:val="18"/>
                <w:highlight w:val="none"/>
                <w:lang w:val="en-US" w:eastAsia="zh-CN"/>
              </w:rPr>
            </w:pPr>
            <w:r>
              <w:rPr>
                <w:rFonts w:hint="eastAsia"/>
                <w:color w:val="auto"/>
                <w:sz w:val="18"/>
                <w:szCs w:val="18"/>
                <w:highlight w:val="none"/>
              </w:rPr>
              <w:t>6</w:t>
            </w:r>
            <w:r>
              <w:rPr>
                <w:rFonts w:hint="eastAsia"/>
                <w:color w:val="auto"/>
                <w:sz w:val="18"/>
                <w:szCs w:val="18"/>
                <w:highlight w:val="none"/>
                <w:lang w:val="en-US" w:eastAsia="zh-CN"/>
              </w:rPr>
              <w:t>2</w:t>
            </w:r>
            <w:r>
              <w:rPr>
                <w:rFonts w:hint="eastAsia"/>
                <w:color w:val="auto"/>
                <w:sz w:val="18"/>
                <w:szCs w:val="18"/>
                <w:highlight w:val="none"/>
              </w:rPr>
              <w:t>.</w:t>
            </w:r>
            <w:r>
              <w:rPr>
                <w:rFonts w:hint="eastAsia"/>
                <w:color w:val="auto"/>
                <w:sz w:val="18"/>
                <w:szCs w:val="18"/>
                <w:highlight w:val="none"/>
                <w:lang w:val="en-US" w:eastAsia="zh-CN"/>
              </w:rPr>
              <w:t>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restart"/>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s="Arial"/>
                <w:color w:val="auto"/>
                <w:sz w:val="18"/>
                <w:highlight w:val="none"/>
              </w:rPr>
              <w:t>8:00-18:00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eastAsia="Arial"/>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5"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eastAsia="Arial"/>
                <w:color w:val="auto"/>
                <w:sz w:val="18"/>
                <w:szCs w:val="18"/>
                <w:highlight w:val="none"/>
              </w:rPr>
              <w:t>2</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上料机2</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Arial" w:cs="Times New Roman"/>
                <w:color w:val="auto"/>
                <w:sz w:val="18"/>
                <w:szCs w:val="18"/>
                <w:highlight w:val="none"/>
                <w:lang w:val="en-US" w:eastAsia="zh-CN"/>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15.45</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-9.77</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8</w:t>
            </w:r>
            <w:r>
              <w:rPr>
                <w:rFonts w:hint="eastAsia" w:ascii="Times New Roman" w:hAnsi="Times New Roman" w:eastAsia="宋体" w:cs="Times New Roman"/>
                <w:color w:val="auto"/>
                <w:sz w:val="18"/>
                <w:szCs w:val="18"/>
                <w:highlight w:val="none"/>
              </w:rPr>
              <w:t>.7</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23</w:t>
            </w:r>
            <w:r>
              <w:rPr>
                <w:rFonts w:hint="eastAsia" w:ascii="Times New Roman" w:hAnsi="Times New Roman" w:eastAsia="宋体" w:cs="Times New Roman"/>
                <w:color w:val="auto"/>
                <w:sz w:val="18"/>
                <w:szCs w:val="18"/>
                <w:highlight w:val="none"/>
              </w:rPr>
              <w:t>.1</w:t>
            </w:r>
          </w:p>
        </w:tc>
        <w:tc>
          <w:tcPr>
            <w:tcW w:w="563"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eastAsia="Arial"/>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eastAsia="Arial"/>
                <w:color w:val="auto"/>
                <w:sz w:val="18"/>
                <w:szCs w:val="18"/>
                <w:highlight w:val="none"/>
              </w:rPr>
              <w:t>3</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上料机3</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Arial" w:cs="Times New Roman"/>
                <w:color w:val="auto"/>
                <w:sz w:val="18"/>
                <w:szCs w:val="18"/>
                <w:highlight w:val="none"/>
                <w:lang w:val="en-US" w:eastAsia="zh-CN"/>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10.73</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-11.55</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7.9</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.7</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rPr>
              <w:t>2.0</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.9</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eastAsia="Arial"/>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9"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eastAsia="Arial"/>
                <w:color w:val="auto"/>
                <w:sz w:val="18"/>
                <w:szCs w:val="18"/>
                <w:highlight w:val="none"/>
              </w:rPr>
              <w:t>4</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上料机4</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14.4</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-12.81</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.3</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hint="eastAsia"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rPr>
              <w:t>.1</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.8</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36.6</w:t>
            </w:r>
          </w:p>
        </w:tc>
        <w:tc>
          <w:tcPr>
            <w:tcW w:w="798"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eastAsia="Arial"/>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5"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eastAsia="Arial"/>
                <w:color w:val="auto"/>
                <w:sz w:val="18"/>
                <w:szCs w:val="18"/>
                <w:highlight w:val="none"/>
              </w:rPr>
              <w:t>5</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上料机5</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10.21</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-14.27</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.9</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.2</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rPr>
              <w:t>.1</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rPr>
              <w:t>.7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eastAsia="Arial"/>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8"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eastAsia="Arial"/>
                <w:color w:val="auto"/>
                <w:sz w:val="18"/>
                <w:szCs w:val="18"/>
                <w:highlight w:val="none"/>
              </w:rPr>
              <w:t>6</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上料机6</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13.98</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-15.43</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.5</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rPr>
              <w:t>2.1</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rPr>
              <w:t>.6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eastAsia="Arial"/>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4"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eastAsia="Arial"/>
                <w:color w:val="auto"/>
                <w:sz w:val="18"/>
                <w:szCs w:val="18"/>
                <w:highlight w:val="none"/>
              </w:rPr>
              <w:t>7</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注塑机1</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12.54</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-9.41</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.9</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8</w:t>
            </w:r>
            <w:r>
              <w:rPr>
                <w:rFonts w:hint="eastAsia" w:ascii="Times New Roman" w:hAnsi="Times New Roman" w:eastAsia="宋体" w:cs="Times New Roman"/>
                <w:color w:val="auto"/>
                <w:sz w:val="18"/>
                <w:szCs w:val="18"/>
                <w:highlight w:val="none"/>
              </w:rPr>
              <w:t>.5</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25</w:t>
            </w:r>
            <w:r>
              <w:rPr>
                <w:rFonts w:hint="eastAsia" w:ascii="Times New Roman" w:hAnsi="Times New Roman" w:eastAsia="宋体" w:cs="Times New Roman"/>
                <w:color w:val="auto"/>
                <w:sz w:val="18"/>
                <w:szCs w:val="18"/>
                <w:highlight w:val="none"/>
              </w:rPr>
              <w:t>.0</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62.3</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36.3</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eastAsia="Arial"/>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9"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8</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注塑机2</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16.68</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-10.16</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.9</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8</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25</w:t>
            </w:r>
            <w:r>
              <w:rPr>
                <w:rFonts w:hint="eastAsia" w:ascii="Times New Roman" w:hAnsi="Times New Roman" w:eastAsia="宋体" w:cs="Times New Roman"/>
                <w:color w:val="auto"/>
                <w:sz w:val="18"/>
                <w:szCs w:val="18"/>
                <w:highlight w:val="none"/>
              </w:rPr>
              <w:t>.0</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62.3</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36.3</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2"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9</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注塑机3</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11.78</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-11.75</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25</w:t>
            </w:r>
            <w:r>
              <w:rPr>
                <w:rFonts w:hint="eastAsia" w:ascii="Times New Roman" w:hAnsi="Times New Roman" w:eastAsia="宋体" w:cs="Times New Roman"/>
                <w:color w:val="auto"/>
                <w:sz w:val="18"/>
                <w:szCs w:val="18"/>
                <w:highlight w:val="none"/>
              </w:rPr>
              <w:t>.2</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.8</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62.3</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36.3</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5"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10</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注塑机4</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15.69</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-12.93</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.7</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.4</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25</w:t>
            </w:r>
            <w:r>
              <w:rPr>
                <w:rFonts w:hint="eastAsia" w:ascii="Times New Roman" w:hAnsi="Times New Roman" w:eastAsia="宋体" w:cs="Times New Roman"/>
                <w:color w:val="auto"/>
                <w:sz w:val="18"/>
                <w:szCs w:val="18"/>
                <w:highlight w:val="none"/>
              </w:rPr>
              <w:t>.2</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.4</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62.3</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36.3</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9"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11</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注塑机5</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11.39</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-14.74</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.9</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.3</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25</w:t>
            </w:r>
            <w:r>
              <w:rPr>
                <w:rFonts w:hint="eastAsia" w:ascii="Times New Roman" w:hAnsi="Times New Roman" w:eastAsia="宋体" w:cs="Times New Roman"/>
                <w:color w:val="auto"/>
                <w:sz w:val="18"/>
                <w:szCs w:val="18"/>
                <w:highlight w:val="none"/>
              </w:rPr>
              <w:t>.1</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rPr>
              <w:t>.3</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62.3</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36.3</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2"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12</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注塑机6</w:t>
            </w:r>
          </w:p>
        </w:tc>
        <w:tc>
          <w:tcPr>
            <w:tcW w:w="687"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ascii="Times New Roman" w:hAnsi="Times New Roman" w:eastAsia="Arial" w:cs="Times New Roman"/>
                <w:color w:val="auto"/>
                <w:sz w:val="18"/>
                <w:szCs w:val="18"/>
                <w:highlight w:val="none"/>
              </w:rPr>
              <w:t>70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15.46</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-15.65</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.9</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.4</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25</w:t>
            </w:r>
            <w:r>
              <w:rPr>
                <w:rFonts w:hint="eastAsia" w:ascii="Times New Roman" w:hAnsi="Times New Roman" w:eastAsia="宋体" w:cs="Times New Roman"/>
                <w:color w:val="auto"/>
                <w:sz w:val="18"/>
                <w:szCs w:val="18"/>
                <w:highlight w:val="none"/>
              </w:rPr>
              <w:t>.1</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rPr>
              <w:t>.4</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62.3</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62.5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36.3</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36.5</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6"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13</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搅拌机1</w:t>
            </w:r>
          </w:p>
        </w:tc>
        <w:tc>
          <w:tcPr>
            <w:tcW w:w="687"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80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13.67</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-4.64</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.4</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rPr>
              <w:t>.5</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rPr>
              <w:t>9.4</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72.7</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46.7</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8"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14</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搅拌机2</w:t>
            </w:r>
          </w:p>
        </w:tc>
        <w:tc>
          <w:tcPr>
            <w:tcW w:w="687"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80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17.54</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-5.58</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.7</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hint="eastAsia"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.2</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rPr>
              <w:t>.3</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72.7</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46.7</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46.7</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1" w:hRule="atLeast"/>
        </w:trPr>
        <w:tc>
          <w:tcPr>
            <w:tcW w:w="491"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15</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ascii="Times New Roman" w:hAnsi="Times New Roman" w:eastAsia="Arial" w:cs="Times New Roman"/>
                <w:color w:val="auto"/>
                <w:sz w:val="18"/>
                <w:szCs w:val="18"/>
                <w:highlight w:val="none"/>
              </w:rPr>
            </w:pPr>
            <w:r>
              <w:rPr>
                <w:rFonts w:hint="eastAsia" w:ascii="Times New Roman" w:hAnsi="Times New Roman" w:eastAsia="Arial" w:cs="Times New Roman"/>
                <w:color w:val="auto"/>
                <w:sz w:val="18"/>
                <w:szCs w:val="18"/>
                <w:highlight w:val="none"/>
                <w:lang w:val="en-US" w:eastAsia="zh-CN"/>
              </w:rPr>
              <w:t>破碎机</w:t>
            </w:r>
          </w:p>
        </w:tc>
        <w:tc>
          <w:tcPr>
            <w:tcW w:w="687"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85</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16.9</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-16.8</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rPr>
              <w:t>.8</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26</w:t>
            </w:r>
            <w:r>
              <w:rPr>
                <w:rFonts w:hint="eastAsia" w:ascii="Times New Roman" w:hAnsi="Times New Roman" w:eastAsia="宋体" w:cs="Times New Roman"/>
                <w:color w:val="auto"/>
                <w:sz w:val="18"/>
                <w:szCs w:val="18"/>
                <w:highlight w:val="none"/>
              </w:rPr>
              <w:t>.2</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12</w:t>
            </w:r>
            <w:r>
              <w:rPr>
                <w:rFonts w:hint="eastAsia" w:ascii="Times New Roman" w:hAnsi="Times New Roman" w:eastAsia="宋体" w:cs="Times New Roman"/>
                <w:color w:val="auto"/>
                <w:sz w:val="18"/>
                <w:szCs w:val="18"/>
                <w:highlight w:val="none"/>
              </w:rPr>
              <w:t>.6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77.6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77.6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77.5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77.5</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51.6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51.6</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51.5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51.5</w:t>
            </w:r>
          </w:p>
        </w:tc>
        <w:tc>
          <w:tcPr>
            <w:tcW w:w="798" w:type="dxa"/>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r>
              <w:rPr>
                <w:rFonts w:hint="eastAsia"/>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1" w:hRule="atLeast"/>
        </w:trPr>
        <w:tc>
          <w:tcPr>
            <w:tcW w:w="491"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16</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Arial" w:cs="Times New Roman"/>
                <w:color w:val="auto"/>
                <w:sz w:val="18"/>
                <w:szCs w:val="18"/>
                <w:highlight w:val="none"/>
                <w:lang w:val="en-US" w:eastAsia="zh-CN"/>
              </w:rPr>
            </w:pPr>
            <w:r>
              <w:rPr>
                <w:rFonts w:hint="eastAsia" w:ascii="Times New Roman" w:hAnsi="Times New Roman" w:eastAsia="Arial" w:cs="Times New Roman"/>
                <w:color w:val="auto"/>
                <w:sz w:val="18"/>
                <w:szCs w:val="18"/>
                <w:highlight w:val="none"/>
                <w:lang w:val="en-US" w:eastAsia="zh-CN"/>
              </w:rPr>
              <w:t>风机</w:t>
            </w:r>
          </w:p>
        </w:tc>
        <w:tc>
          <w:tcPr>
            <w:tcW w:w="687"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Arial" w:cs="Times New Roman"/>
                <w:color w:val="auto"/>
                <w:sz w:val="18"/>
                <w:szCs w:val="18"/>
                <w:highlight w:val="none"/>
                <w:lang w:val="en-US"/>
              </w:rPr>
            </w:pPr>
            <w:r>
              <w:rPr>
                <w:rFonts w:hint="eastAsia" w:eastAsia="Arial" w:cs="Times New Roman"/>
                <w:color w:val="auto"/>
                <w:sz w:val="18"/>
                <w:szCs w:val="18"/>
                <w:highlight w:val="none"/>
                <w:lang w:val="en-US" w:eastAsia="zh-CN"/>
              </w:rPr>
              <w:t>90</w:t>
            </w:r>
          </w:p>
        </w:tc>
        <w:tc>
          <w:tcPr>
            <w:tcW w:w="510" w:type="dxa"/>
            <w:vMerge w:val="continue"/>
            <w:shd w:val="clear" w:color="auto" w:fill="FFFFFF"/>
            <w:tcMar>
              <w:top w:w="0" w:type="dxa"/>
              <w:left w:w="0" w:type="dxa"/>
              <w:bottom w:w="0" w:type="dxa"/>
              <w:right w:w="0" w:type="dxa"/>
            </w:tcMar>
            <w:vAlign w:val="center"/>
          </w:tcPr>
          <w:p>
            <w:pPr>
              <w:spacing w:line="240" w:lineRule="auto"/>
              <w:jc w:val="center"/>
              <w:rPr>
                <w:color w:val="auto"/>
                <w:sz w:val="18"/>
                <w:szCs w:val="18"/>
                <w:highlight w:val="none"/>
              </w:rPr>
            </w:pP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8.84</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-8.91</w:t>
            </w:r>
          </w:p>
        </w:tc>
        <w:tc>
          <w:tcPr>
            <w:tcW w:w="39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8</w:t>
            </w:r>
            <w:r>
              <w:rPr>
                <w:rFonts w:hint="eastAsia" w:ascii="Times New Roman" w:hAnsi="Times New Roman" w:eastAsia="宋体" w:cs="Times New Roman"/>
                <w:color w:val="auto"/>
                <w:sz w:val="18"/>
                <w:szCs w:val="18"/>
                <w:highlight w:val="none"/>
              </w:rPr>
              <w:t>.0</w:t>
            </w:r>
          </w:p>
        </w:tc>
        <w:tc>
          <w:tcPr>
            <w:tcW w:w="506"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8</w:t>
            </w:r>
            <w:r>
              <w:rPr>
                <w:rFonts w:hint="eastAsia" w:ascii="Times New Roman" w:hAnsi="Times New Roman" w:eastAsia="宋体" w:cs="Times New Roman"/>
                <w:color w:val="auto"/>
                <w:sz w:val="18"/>
                <w:szCs w:val="18"/>
                <w:highlight w:val="none"/>
              </w:rPr>
              <w:t>.3</w:t>
            </w:r>
          </w:p>
        </w:tc>
        <w:tc>
          <w:tcPr>
            <w:tcW w:w="50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r>
              <w:rPr>
                <w:rFonts w:hint="eastAsia" w:ascii="Times New Roman" w:hAnsi="Times New Roman" w:eastAsia="宋体" w:cs="Times New Roman"/>
                <w:color w:val="auto"/>
                <w:sz w:val="18"/>
                <w:szCs w:val="18"/>
                <w:highlight w:val="none"/>
                <w:lang w:val="en-US" w:eastAsia="zh-CN"/>
              </w:rPr>
              <w:t>.6</w:t>
            </w:r>
          </w:p>
        </w:tc>
        <w:tc>
          <w:tcPr>
            <w:tcW w:w="563"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rPr>
              <w:t>.2</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83.1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83.1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82.6</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56.1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56.1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55.5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55.6</w:t>
            </w:r>
          </w:p>
        </w:tc>
        <w:tc>
          <w:tcPr>
            <w:tcW w:w="798"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7" w:hRule="atLeast"/>
        </w:trPr>
        <w:tc>
          <w:tcPr>
            <w:tcW w:w="491"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17</w:t>
            </w:r>
          </w:p>
        </w:tc>
        <w:tc>
          <w:tcPr>
            <w:tcW w:w="579"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880" w:type="dxa"/>
            <w:shd w:val="clear" w:color="auto" w:fill="FFFFFF"/>
            <w:tcMar>
              <w:top w:w="0" w:type="dxa"/>
              <w:left w:w="0" w:type="dxa"/>
              <w:bottom w:w="0" w:type="dxa"/>
              <w:right w:w="0" w:type="dxa"/>
            </w:tcMar>
            <w:vAlign w:val="center"/>
          </w:tcPr>
          <w:p>
            <w:pPr>
              <w:spacing w:line="240" w:lineRule="auto"/>
              <w:jc w:val="center"/>
              <w:rPr>
                <w:rFonts w:hint="eastAsia" w:ascii="Times New Roman" w:hAnsi="Times New Roman" w:eastAsia="Arial" w:cs="Times New Roman"/>
                <w:color w:val="auto"/>
                <w:sz w:val="18"/>
                <w:szCs w:val="18"/>
                <w:highlight w:val="none"/>
                <w:lang w:val="en-US" w:eastAsia="zh-CN"/>
              </w:rPr>
            </w:pPr>
            <w:r>
              <w:rPr>
                <w:rFonts w:hint="eastAsia" w:ascii="Times New Roman" w:hAnsi="Times New Roman" w:eastAsia="Arial" w:cs="Times New Roman"/>
                <w:color w:val="auto"/>
                <w:sz w:val="18"/>
                <w:szCs w:val="18"/>
                <w:highlight w:val="none"/>
                <w:lang w:val="en-US" w:eastAsia="zh-CN"/>
              </w:rPr>
              <w:t>水泵</w:t>
            </w:r>
          </w:p>
        </w:tc>
        <w:tc>
          <w:tcPr>
            <w:tcW w:w="687"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Arial" w:cs="Times New Roman"/>
                <w:color w:val="auto"/>
                <w:sz w:val="18"/>
                <w:szCs w:val="18"/>
                <w:highlight w:val="none"/>
                <w:lang w:val="en-US"/>
              </w:rPr>
            </w:pPr>
            <w:r>
              <w:rPr>
                <w:rFonts w:hint="eastAsia" w:eastAsia="Arial" w:cs="Times New Roman"/>
                <w:color w:val="auto"/>
                <w:sz w:val="18"/>
                <w:szCs w:val="18"/>
                <w:highlight w:val="none"/>
                <w:lang w:val="en-US" w:eastAsia="zh-CN"/>
              </w:rPr>
              <w:t>90</w:t>
            </w:r>
          </w:p>
        </w:tc>
        <w:tc>
          <w:tcPr>
            <w:tcW w:w="510"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水体隔声</w:t>
            </w:r>
          </w:p>
        </w:tc>
        <w:tc>
          <w:tcPr>
            <w:tcW w:w="54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5.85</w:t>
            </w:r>
          </w:p>
        </w:tc>
        <w:tc>
          <w:tcPr>
            <w:tcW w:w="54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-12.3</w:t>
            </w:r>
          </w:p>
        </w:tc>
        <w:tc>
          <w:tcPr>
            <w:tcW w:w="395"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9.5</w:t>
            </w:r>
          </w:p>
        </w:tc>
        <w:tc>
          <w:tcPr>
            <w:tcW w:w="50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6.9</w:t>
            </w:r>
          </w:p>
        </w:tc>
        <w:tc>
          <w:tcPr>
            <w:tcW w:w="506"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13.8</w:t>
            </w:r>
          </w:p>
        </w:tc>
        <w:tc>
          <w:tcPr>
            <w:tcW w:w="563" w:type="dxa"/>
            <w:shd w:val="clear" w:color="auto" w:fill="FFFFFF"/>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83.1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83.5</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82.5</w:t>
            </w:r>
          </w:p>
        </w:tc>
        <w:tc>
          <w:tcPr>
            <w:tcW w:w="55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82.6</w:t>
            </w:r>
          </w:p>
        </w:tc>
        <w:tc>
          <w:tcPr>
            <w:tcW w:w="852" w:type="dxa"/>
            <w:vMerge w:val="continue"/>
            <w:shd w:val="clear" w:color="auto" w:fill="FFFFFF"/>
            <w:tcMar>
              <w:top w:w="0" w:type="dxa"/>
              <w:left w:w="0" w:type="dxa"/>
              <w:bottom w:w="0" w:type="dxa"/>
              <w:right w:w="0" w:type="dxa"/>
            </w:tcMar>
            <w:vAlign w:val="center"/>
          </w:tcPr>
          <w:p>
            <w:pPr>
              <w:spacing w:line="240" w:lineRule="auto"/>
              <w:jc w:val="center"/>
              <w:rPr>
                <w:rFonts w:eastAsia="Arial"/>
                <w:color w:val="auto"/>
                <w:sz w:val="18"/>
                <w:szCs w:val="18"/>
                <w:highlight w:val="none"/>
              </w:rPr>
            </w:pP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20</w:t>
            </w:r>
          </w:p>
        </w:tc>
        <w:tc>
          <w:tcPr>
            <w:tcW w:w="56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56.1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56.1</w:t>
            </w:r>
          </w:p>
        </w:tc>
        <w:tc>
          <w:tcPr>
            <w:tcW w:w="475"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55.5</w:t>
            </w:r>
          </w:p>
        </w:tc>
        <w:tc>
          <w:tcPr>
            <w:tcW w:w="477" w:type="dxa"/>
            <w:shd w:val="clear" w:color="auto" w:fill="FFFFFF"/>
            <w:tcMar>
              <w:top w:w="0" w:type="dxa"/>
              <w:left w:w="0" w:type="dxa"/>
              <w:bottom w:w="0" w:type="dxa"/>
              <w:right w:w="0" w:type="dxa"/>
            </w:tcMar>
            <w:vAlign w:val="center"/>
          </w:tcPr>
          <w:p>
            <w:pPr>
              <w:spacing w:line="24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56.6</w:t>
            </w:r>
          </w:p>
        </w:tc>
        <w:tc>
          <w:tcPr>
            <w:tcW w:w="798" w:type="dxa"/>
            <w:shd w:val="clear" w:color="auto" w:fill="FFFFFF"/>
            <w:tcMar>
              <w:top w:w="0" w:type="dxa"/>
              <w:left w:w="0" w:type="dxa"/>
              <w:bottom w:w="0" w:type="dxa"/>
              <w:right w:w="0" w:type="dxa"/>
            </w:tcMar>
            <w:vAlign w:val="center"/>
          </w:tcPr>
          <w:p>
            <w:pPr>
              <w:spacing w:line="240" w:lineRule="auto"/>
              <w:jc w:val="center"/>
              <w:rPr>
                <w:rFonts w:hint="eastAsia"/>
                <w:color w:val="auto"/>
                <w:sz w:val="18"/>
                <w:szCs w:val="18"/>
                <w:highlight w:val="none"/>
              </w:rPr>
            </w:pPr>
            <w:r>
              <w:rPr>
                <w:rFonts w:hint="eastAsia"/>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9" w:hRule="atLeast"/>
        </w:trPr>
        <w:tc>
          <w:tcPr>
            <w:tcW w:w="14207" w:type="dxa"/>
            <w:gridSpan w:val="26"/>
            <w:shd w:val="clear" w:color="auto" w:fill="FFFFFF"/>
            <w:tcMar>
              <w:top w:w="0" w:type="dxa"/>
              <w:left w:w="0" w:type="dxa"/>
              <w:bottom w:w="0" w:type="dxa"/>
              <w:right w:w="0" w:type="dxa"/>
            </w:tcMar>
            <w:vAlign w:val="center"/>
          </w:tcPr>
          <w:p>
            <w:pPr>
              <w:spacing w:line="240" w:lineRule="auto"/>
              <w:jc w:val="left"/>
              <w:rPr>
                <w:rFonts w:hint="eastAsia"/>
                <w:color w:val="auto"/>
                <w:sz w:val="18"/>
                <w:szCs w:val="18"/>
                <w:highlight w:val="none"/>
              </w:rPr>
            </w:pPr>
            <w:r>
              <w:rPr>
                <w:b/>
                <w:bCs/>
                <w:color w:val="auto"/>
                <w:sz w:val="18"/>
                <w:szCs w:val="18"/>
                <w:highlight w:val="none"/>
              </w:rPr>
              <w:t>表中坐标</w:t>
            </w:r>
            <w:r>
              <w:rPr>
                <w:rFonts w:eastAsiaTheme="minorEastAsia"/>
                <w:b/>
                <w:color w:val="auto"/>
                <w:sz w:val="18"/>
                <w:szCs w:val="18"/>
                <w:highlight w:val="none"/>
              </w:rPr>
              <w:t>以厂界</w:t>
            </w:r>
            <w:r>
              <w:rPr>
                <w:rFonts w:hint="eastAsia" w:eastAsiaTheme="minorEastAsia"/>
                <w:b/>
                <w:color w:val="auto"/>
                <w:sz w:val="18"/>
                <w:szCs w:val="18"/>
                <w:highlight w:val="none"/>
                <w:lang w:val="en-US" w:eastAsia="zh-CN"/>
              </w:rPr>
              <w:t>内生产厂房拐点</w:t>
            </w:r>
            <w:r>
              <w:rPr>
                <w:rFonts w:eastAsiaTheme="minorEastAsia"/>
                <w:b/>
                <w:color w:val="auto"/>
                <w:sz w:val="18"/>
                <w:szCs w:val="18"/>
                <w:highlight w:val="none"/>
              </w:rPr>
              <w:t>（</w:t>
            </w:r>
            <w:bookmarkStart w:id="596" w:name="PO_7"/>
            <w:r>
              <w:rPr>
                <w:rFonts w:hint="default" w:eastAsiaTheme="minorEastAsia"/>
                <w:b/>
                <w:color w:val="auto"/>
                <w:sz w:val="18"/>
                <w:szCs w:val="18"/>
                <w:highlight w:val="none"/>
                <w:lang w:val="en-US" w:eastAsia="zh-CN"/>
              </w:rPr>
              <w:t>103</w:t>
            </w:r>
            <w:r>
              <w:rPr>
                <w:rFonts w:hint="eastAsia" w:eastAsiaTheme="minorEastAsia"/>
                <w:b/>
                <w:color w:val="auto"/>
                <w:sz w:val="18"/>
                <w:szCs w:val="18"/>
                <w:highlight w:val="none"/>
                <w:lang w:val="en-US" w:eastAsia="zh-CN"/>
              </w:rPr>
              <w:t>.229484，</w:t>
            </w:r>
            <w:r>
              <w:rPr>
                <w:rFonts w:hint="default" w:eastAsiaTheme="minorEastAsia"/>
                <w:b/>
                <w:color w:val="auto"/>
                <w:sz w:val="18"/>
                <w:szCs w:val="18"/>
                <w:highlight w:val="none"/>
                <w:lang w:val="en-US" w:eastAsia="zh-CN"/>
              </w:rPr>
              <w:t>25.544</w:t>
            </w:r>
            <w:bookmarkEnd w:id="596"/>
            <w:r>
              <w:rPr>
                <w:rFonts w:hint="eastAsia" w:eastAsiaTheme="minorEastAsia"/>
                <w:b/>
                <w:color w:val="auto"/>
                <w:sz w:val="18"/>
                <w:szCs w:val="18"/>
                <w:highlight w:val="none"/>
                <w:lang w:val="en-US" w:eastAsia="zh-CN"/>
              </w:rPr>
              <w:t>21</w:t>
            </w:r>
            <w:r>
              <w:rPr>
                <w:rFonts w:eastAsiaTheme="minorEastAsia"/>
                <w:b/>
                <w:color w:val="auto"/>
                <w:sz w:val="18"/>
                <w:szCs w:val="18"/>
                <w:highlight w:val="none"/>
              </w:rPr>
              <w:t>）为坐标原点，正东向为X轴正方向，正北向为Y轴正</w:t>
            </w:r>
            <w:r>
              <w:rPr>
                <w:rFonts w:hint="eastAsia" w:eastAsiaTheme="minorEastAsia"/>
                <w:b/>
                <w:color w:val="auto"/>
                <w:sz w:val="18"/>
                <w:szCs w:val="18"/>
                <w:highlight w:val="none"/>
              </w:rPr>
              <w:t>方向</w:t>
            </w:r>
          </w:p>
        </w:tc>
      </w:tr>
    </w:tbl>
    <w:p>
      <w:pPr>
        <w:pStyle w:val="15"/>
        <w:keepNext/>
        <w:ind w:left="0" w:leftChars="0" w:firstLine="0" w:firstLineChars="0"/>
        <w:jc w:val="both"/>
        <w:rPr>
          <w:rFonts w:ascii="Times New Roman" w:hAnsi="Times New Roman" w:cs="Times New Roman"/>
          <w:bCs w:val="0"/>
          <w:color w:val="auto"/>
          <w:highlight w:val="none"/>
        </w:rPr>
      </w:pPr>
    </w:p>
    <w:p>
      <w:pPr>
        <w:spacing w:line="360" w:lineRule="auto"/>
        <w:jc w:val="center"/>
        <w:rPr>
          <w:b/>
          <w:color w:val="auto"/>
          <w:sz w:val="24"/>
          <w:highlight w:val="none"/>
        </w:rPr>
        <w:sectPr>
          <w:pgSz w:w="16838" w:h="11906" w:orient="landscape"/>
          <w:pgMar w:top="2155" w:right="1418" w:bottom="1418" w:left="1418" w:header="992" w:footer="992" w:gutter="0"/>
          <w:pgBorders>
            <w:top w:val="none" w:sz="0" w:space="0"/>
            <w:left w:val="none" w:sz="0" w:space="0"/>
            <w:bottom w:val="none" w:sz="0" w:space="0"/>
            <w:right w:val="none" w:sz="0" w:space="0"/>
          </w:pgBorders>
          <w:pgNumType w:fmt="decimal"/>
          <w:cols w:space="425" w:num="1"/>
          <w:docGrid w:linePitch="312" w:charSpace="0"/>
        </w:sectPr>
      </w:pPr>
    </w:p>
    <w:p>
      <w:pPr>
        <w:spacing w:line="360" w:lineRule="auto"/>
        <w:rPr>
          <w:b/>
          <w:color w:val="auto"/>
          <w:sz w:val="24"/>
          <w:highlight w:val="none"/>
        </w:rPr>
      </w:pPr>
      <w:bookmarkStart w:id="597" w:name="_Toc4321"/>
      <w:r>
        <w:rPr>
          <w:b/>
          <w:color w:val="auto"/>
          <w:sz w:val="24"/>
          <w:highlight w:val="none"/>
        </w:rPr>
        <w:t>5.2.4.3噪声影响预测分析</w:t>
      </w:r>
      <w:bookmarkEnd w:id="597"/>
    </w:p>
    <w:p>
      <w:pPr>
        <w:spacing w:line="360" w:lineRule="auto"/>
        <w:rPr>
          <w:b/>
          <w:bCs/>
          <w:color w:val="auto"/>
          <w:sz w:val="24"/>
          <w:highlight w:val="none"/>
        </w:rPr>
      </w:pPr>
      <w:r>
        <w:rPr>
          <w:b/>
          <w:bCs/>
          <w:color w:val="auto"/>
          <w:sz w:val="24"/>
          <w:highlight w:val="none"/>
        </w:rPr>
        <w:t>1、贡献值预测</w:t>
      </w:r>
    </w:p>
    <w:p>
      <w:pPr>
        <w:widowControl/>
        <w:adjustRightInd w:val="0"/>
        <w:snapToGrid w:val="0"/>
        <w:spacing w:line="360" w:lineRule="auto"/>
        <w:ind w:firstLine="480" w:firstLineChars="200"/>
        <w:rPr>
          <w:color w:val="auto"/>
          <w:sz w:val="24"/>
          <w:highlight w:val="none"/>
        </w:rPr>
      </w:pPr>
      <w:r>
        <w:rPr>
          <w:color w:val="auto"/>
          <w:sz w:val="24"/>
          <w:highlight w:val="none"/>
        </w:rPr>
        <w:t>项目噪声主要来源于设备噪声，</w:t>
      </w:r>
      <w:r>
        <w:rPr>
          <w:bCs/>
          <w:color w:val="auto"/>
          <w:sz w:val="24"/>
          <w:highlight w:val="none"/>
        </w:rPr>
        <w:t>噪声值在</w:t>
      </w:r>
      <w:r>
        <w:rPr>
          <w:rFonts w:hint="eastAsia"/>
          <w:bCs/>
          <w:color w:val="auto"/>
          <w:sz w:val="24"/>
          <w:highlight w:val="none"/>
        </w:rPr>
        <w:t>7</w:t>
      </w:r>
      <w:r>
        <w:rPr>
          <w:bCs/>
          <w:color w:val="auto"/>
          <w:sz w:val="24"/>
          <w:highlight w:val="none"/>
        </w:rPr>
        <w:t>0~9</w:t>
      </w:r>
      <w:r>
        <w:rPr>
          <w:rFonts w:hint="eastAsia"/>
          <w:bCs/>
          <w:color w:val="auto"/>
          <w:sz w:val="24"/>
          <w:highlight w:val="none"/>
        </w:rPr>
        <w:t>0</w:t>
      </w:r>
      <w:r>
        <w:rPr>
          <w:bCs/>
          <w:color w:val="auto"/>
          <w:sz w:val="24"/>
          <w:highlight w:val="none"/>
        </w:rPr>
        <w:t>dB（A）之间，</w:t>
      </w:r>
      <w:r>
        <w:rPr>
          <w:color w:val="auto"/>
          <w:sz w:val="24"/>
          <w:highlight w:val="none"/>
        </w:rPr>
        <w:t>本次评价主要针对生产车间设备噪声进行预测分析。预测点包括项目厂界及200m范围内的噪声敏感目标。</w:t>
      </w:r>
      <w:r>
        <w:rPr>
          <w:rFonts w:hint="eastAsia"/>
          <w:color w:val="auto"/>
          <w:sz w:val="24"/>
          <w:highlight w:val="none"/>
        </w:rPr>
        <w:t>项目</w:t>
      </w:r>
      <w:r>
        <w:rPr>
          <w:color w:val="auto"/>
          <w:sz w:val="24"/>
          <w:highlight w:val="none"/>
        </w:rPr>
        <w:t>采用HJ2.4-2021中推荐的预测模式，噪声预测值为预测点的贡献值和背景值按能量叠加方法计算得到：</w:t>
      </w:r>
    </w:p>
    <w:p>
      <w:pPr>
        <w:widowControl/>
        <w:adjustRightInd w:val="0"/>
        <w:snapToGrid w:val="0"/>
        <w:spacing w:line="360" w:lineRule="auto"/>
        <w:jc w:val="center"/>
        <w:rPr>
          <w:color w:val="auto"/>
          <w:sz w:val="24"/>
          <w:highlight w:val="none"/>
        </w:rPr>
      </w:pPr>
      <w:r>
        <w:rPr>
          <w:color w:val="auto"/>
          <w:sz w:val="24"/>
          <w:highlight w:val="none"/>
        </w:rPr>
        <w:drawing>
          <wp:inline distT="0" distB="0" distL="114300" distR="114300">
            <wp:extent cx="2638425" cy="428625"/>
            <wp:effectExtent l="0" t="0" r="13335" b="1333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28"/>
                    <a:stretch>
                      <a:fillRect/>
                    </a:stretch>
                  </pic:blipFill>
                  <pic:spPr>
                    <a:xfrm>
                      <a:off x="0" y="0"/>
                      <a:ext cx="2638425" cy="428625"/>
                    </a:xfrm>
                    <a:prstGeom prst="rect">
                      <a:avLst/>
                    </a:prstGeom>
                    <a:noFill/>
                    <a:ln>
                      <a:noFill/>
                    </a:ln>
                  </pic:spPr>
                </pic:pic>
              </a:graphicData>
            </a:graphic>
          </wp:inline>
        </w:drawing>
      </w:r>
    </w:p>
    <w:p>
      <w:pPr>
        <w:adjustRightInd w:val="0"/>
        <w:snapToGrid w:val="0"/>
        <w:spacing w:line="360" w:lineRule="auto"/>
        <w:ind w:firstLine="480" w:firstLineChars="200"/>
        <w:rPr>
          <w:bCs/>
          <w:color w:val="auto"/>
          <w:sz w:val="24"/>
          <w:highlight w:val="none"/>
        </w:rPr>
      </w:pPr>
      <w:r>
        <w:rPr>
          <w:bCs/>
          <w:color w:val="auto"/>
          <w:sz w:val="24"/>
          <w:highlight w:val="none"/>
        </w:rPr>
        <w:t>式中：</w:t>
      </w:r>
      <m:oMath>
        <m:sSub>
          <m:sSubPr>
            <m:ctrlPr>
              <w:rPr>
                <w:rFonts w:ascii="Cambria Math" w:hAnsi="Cambria Math"/>
                <w:bCs/>
                <w:color w:val="auto"/>
                <w:sz w:val="24"/>
                <w:highlight w:val="none"/>
              </w:rPr>
            </m:ctrlPr>
          </m:sSubPr>
          <m:e>
            <m:r>
              <m:rPr>
                <m:sty m:val="p"/>
              </m:rPr>
              <w:rPr>
                <w:rFonts w:ascii="Cambria Math" w:hAnsi="Cambria Math"/>
                <w:color w:val="auto"/>
                <w:sz w:val="24"/>
                <w:highlight w:val="none"/>
              </w:rPr>
              <m:t>L</m:t>
            </m:r>
            <m:ctrlPr>
              <w:rPr>
                <w:rFonts w:ascii="Cambria Math" w:hAnsi="Cambria Math"/>
                <w:bCs/>
                <w:color w:val="auto"/>
                <w:sz w:val="24"/>
                <w:highlight w:val="none"/>
              </w:rPr>
            </m:ctrlPr>
          </m:e>
          <m:sub>
            <m:r>
              <m:rPr>
                <m:sty m:val="p"/>
              </m:rPr>
              <w:rPr>
                <w:rFonts w:ascii="Cambria Math" w:hAnsi="Cambria Math"/>
                <w:color w:val="auto"/>
                <w:sz w:val="24"/>
                <w:highlight w:val="none"/>
              </w:rPr>
              <m:t>eq</m:t>
            </m:r>
            <m:ctrlPr>
              <w:rPr>
                <w:rFonts w:ascii="Cambria Math" w:hAnsi="Cambria Math"/>
                <w:bCs/>
                <w:color w:val="auto"/>
                <w:sz w:val="24"/>
                <w:highlight w:val="none"/>
              </w:rPr>
            </m:ctrlPr>
          </m:sub>
        </m:sSub>
      </m:oMath>
      <w:r>
        <w:rPr>
          <w:bCs/>
          <w:color w:val="auto"/>
          <w:sz w:val="24"/>
          <w:highlight w:val="none"/>
        </w:rPr>
        <w:t>——预测点的噪声预测值，dB；</w:t>
      </w:r>
    </w:p>
    <w:p>
      <w:pPr>
        <w:adjustRightInd w:val="0"/>
        <w:snapToGrid w:val="0"/>
        <w:spacing w:line="360" w:lineRule="auto"/>
        <w:ind w:firstLine="1200" w:firstLineChars="500"/>
        <w:rPr>
          <w:bCs/>
          <w:color w:val="auto"/>
          <w:sz w:val="24"/>
          <w:highlight w:val="none"/>
        </w:rPr>
      </w:pPr>
      <m:oMath>
        <m:sSub>
          <m:sSubPr>
            <m:ctrlPr>
              <w:rPr>
                <w:rFonts w:ascii="Cambria Math" w:hAnsi="Cambria Math"/>
                <w:bCs/>
                <w:color w:val="auto"/>
                <w:sz w:val="24"/>
                <w:highlight w:val="none"/>
              </w:rPr>
            </m:ctrlPr>
          </m:sSubPr>
          <m:e>
            <m:r>
              <m:rPr>
                <m:sty m:val="p"/>
              </m:rPr>
              <w:rPr>
                <w:rFonts w:ascii="Cambria Math" w:hAnsi="Cambria Math"/>
                <w:color w:val="auto"/>
                <w:sz w:val="24"/>
                <w:highlight w:val="none"/>
              </w:rPr>
              <m:t>L</m:t>
            </m:r>
            <m:ctrlPr>
              <w:rPr>
                <w:rFonts w:ascii="Cambria Math" w:hAnsi="Cambria Math"/>
                <w:bCs/>
                <w:color w:val="auto"/>
                <w:sz w:val="24"/>
                <w:highlight w:val="none"/>
              </w:rPr>
            </m:ctrlPr>
          </m:e>
          <m:sub>
            <m:r>
              <m:rPr>
                <m:sty m:val="p"/>
              </m:rPr>
              <w:rPr>
                <w:rFonts w:ascii="Cambria Math" w:hAnsi="Cambria Math"/>
                <w:color w:val="auto"/>
                <w:sz w:val="24"/>
                <w:highlight w:val="none"/>
              </w:rPr>
              <m:t>eqg</m:t>
            </m:r>
            <m:ctrlPr>
              <w:rPr>
                <w:rFonts w:ascii="Cambria Math" w:hAnsi="Cambria Math"/>
                <w:bCs/>
                <w:color w:val="auto"/>
                <w:sz w:val="24"/>
                <w:highlight w:val="none"/>
              </w:rPr>
            </m:ctrlPr>
          </m:sub>
        </m:sSub>
      </m:oMath>
      <w:r>
        <w:rPr>
          <w:bCs/>
          <w:color w:val="auto"/>
          <w:sz w:val="24"/>
          <w:highlight w:val="none"/>
        </w:rPr>
        <w:t>——建设项目声源在预测点产生的噪声贡献值，dB；</w:t>
      </w:r>
    </w:p>
    <w:p>
      <w:pPr>
        <w:adjustRightInd w:val="0"/>
        <w:snapToGrid w:val="0"/>
        <w:spacing w:line="360" w:lineRule="auto"/>
        <w:ind w:firstLine="1200" w:firstLineChars="500"/>
        <w:rPr>
          <w:bCs/>
          <w:color w:val="auto"/>
          <w:sz w:val="24"/>
          <w:highlight w:val="none"/>
        </w:rPr>
      </w:pPr>
      <m:oMath>
        <m:sSub>
          <m:sSubPr>
            <m:ctrlPr>
              <w:rPr>
                <w:rFonts w:ascii="Cambria Math" w:hAnsi="Cambria Math"/>
                <w:bCs/>
                <w:color w:val="auto"/>
                <w:sz w:val="24"/>
                <w:highlight w:val="none"/>
              </w:rPr>
            </m:ctrlPr>
          </m:sSubPr>
          <m:e>
            <m:r>
              <m:rPr>
                <m:sty m:val="p"/>
              </m:rPr>
              <w:rPr>
                <w:rFonts w:ascii="Cambria Math" w:hAnsi="Cambria Math"/>
                <w:color w:val="auto"/>
                <w:sz w:val="24"/>
                <w:highlight w:val="none"/>
              </w:rPr>
              <m:t>L</m:t>
            </m:r>
            <m:ctrlPr>
              <w:rPr>
                <w:rFonts w:ascii="Cambria Math" w:hAnsi="Cambria Math"/>
                <w:bCs/>
                <w:color w:val="auto"/>
                <w:sz w:val="24"/>
                <w:highlight w:val="none"/>
              </w:rPr>
            </m:ctrlPr>
          </m:e>
          <m:sub>
            <m:r>
              <m:rPr>
                <m:sty m:val="p"/>
              </m:rPr>
              <w:rPr>
                <w:rFonts w:ascii="Cambria Math" w:hAnsi="Cambria Math"/>
                <w:color w:val="auto"/>
                <w:sz w:val="24"/>
                <w:highlight w:val="none"/>
              </w:rPr>
              <m:t>eqb</m:t>
            </m:r>
            <m:ctrlPr>
              <w:rPr>
                <w:rFonts w:ascii="Cambria Math" w:hAnsi="Cambria Math"/>
                <w:bCs/>
                <w:color w:val="auto"/>
                <w:sz w:val="24"/>
                <w:highlight w:val="none"/>
              </w:rPr>
            </m:ctrlPr>
          </m:sub>
        </m:sSub>
      </m:oMath>
      <w:r>
        <w:rPr>
          <w:bCs/>
          <w:color w:val="auto"/>
          <w:sz w:val="24"/>
          <w:highlight w:val="none"/>
        </w:rPr>
        <w:t>——预测点的背景预测值，dB。</w:t>
      </w:r>
    </w:p>
    <w:p>
      <w:pPr>
        <w:adjustRightInd w:val="0"/>
        <w:snapToGrid w:val="0"/>
        <w:spacing w:line="360" w:lineRule="auto"/>
        <w:ind w:firstLine="480" w:firstLineChars="200"/>
        <w:rPr>
          <w:bCs/>
          <w:color w:val="auto"/>
          <w:sz w:val="24"/>
          <w:highlight w:val="none"/>
        </w:rPr>
      </w:pPr>
      <w:r>
        <w:rPr>
          <w:rFonts w:hint="eastAsia"/>
          <w:color w:val="auto"/>
          <w:sz w:val="24"/>
          <w:highlight w:val="none"/>
        </w:rPr>
        <w:t>其</w:t>
      </w:r>
      <w:r>
        <w:rPr>
          <w:color w:val="auto"/>
          <w:sz w:val="24"/>
          <w:highlight w:val="none"/>
        </w:rPr>
        <w:t>中：</w:t>
      </w:r>
      <w:r>
        <w:rPr>
          <w:bCs/>
          <w:color w:val="auto"/>
          <w:sz w:val="24"/>
          <w:highlight w:val="none"/>
        </w:rPr>
        <w:t>无指向性点声源几何发散衰减按下列公式计算：</w:t>
      </w:r>
    </w:p>
    <w:p>
      <w:pPr>
        <w:adjustRightInd w:val="0"/>
        <w:snapToGrid w:val="0"/>
        <w:spacing w:line="360" w:lineRule="auto"/>
        <w:ind w:firstLine="480" w:firstLineChars="200"/>
        <w:jc w:val="center"/>
        <w:rPr>
          <w:bCs/>
          <w:color w:val="auto"/>
          <w:sz w:val="24"/>
          <w:highlight w:val="none"/>
          <w:lang w:val="fr-FR"/>
        </w:rPr>
      </w:pPr>
      <w:bookmarkStart w:id="598" w:name="_Toc16654"/>
      <w:r>
        <w:rPr>
          <w:bCs/>
          <w:color w:val="auto"/>
          <w:sz w:val="24"/>
          <w:highlight w:val="none"/>
          <w:lang w:val="fr-FR"/>
        </w:rPr>
        <w:t>L</w:t>
      </w:r>
      <w:r>
        <w:rPr>
          <w:bCs/>
          <w:color w:val="auto"/>
          <w:sz w:val="24"/>
          <w:highlight w:val="none"/>
          <w:vertAlign w:val="subscript"/>
        </w:rPr>
        <w:t>P</w:t>
      </w:r>
      <w:r>
        <w:rPr>
          <w:bCs/>
          <w:color w:val="auto"/>
          <w:sz w:val="24"/>
          <w:highlight w:val="none"/>
          <w:lang w:val="fr-FR"/>
        </w:rPr>
        <w:t>（r）=L</w:t>
      </w:r>
      <w:r>
        <w:rPr>
          <w:bCs/>
          <w:color w:val="auto"/>
          <w:sz w:val="24"/>
          <w:highlight w:val="none"/>
          <w:vertAlign w:val="subscript"/>
        </w:rPr>
        <w:t>P</w:t>
      </w:r>
      <w:r>
        <w:rPr>
          <w:bCs/>
          <w:color w:val="auto"/>
          <w:sz w:val="24"/>
          <w:highlight w:val="none"/>
        </w:rPr>
        <w:t>（</w:t>
      </w:r>
      <w:r>
        <w:rPr>
          <w:bCs/>
          <w:color w:val="auto"/>
          <w:sz w:val="24"/>
          <w:highlight w:val="none"/>
          <w:lang w:val="fr-FR"/>
        </w:rPr>
        <w:t>r0</w:t>
      </w:r>
      <w:r>
        <w:rPr>
          <w:bCs/>
          <w:color w:val="auto"/>
          <w:sz w:val="24"/>
          <w:highlight w:val="none"/>
        </w:rPr>
        <w:t>）</w:t>
      </w:r>
      <w:r>
        <w:rPr>
          <w:bCs/>
          <w:color w:val="auto"/>
          <w:sz w:val="24"/>
          <w:highlight w:val="none"/>
          <w:lang w:val="fr-FR"/>
        </w:rPr>
        <w:t>-20lg（r/r0）</w:t>
      </w:r>
      <w:bookmarkEnd w:id="598"/>
    </w:p>
    <w:p>
      <w:pPr>
        <w:adjustRightInd w:val="0"/>
        <w:snapToGrid w:val="0"/>
        <w:spacing w:line="360" w:lineRule="auto"/>
        <w:ind w:firstLine="480" w:firstLineChars="200"/>
        <w:rPr>
          <w:bCs/>
          <w:color w:val="auto"/>
          <w:sz w:val="24"/>
          <w:highlight w:val="none"/>
        </w:rPr>
      </w:pPr>
      <w:r>
        <w:rPr>
          <w:bCs/>
          <w:color w:val="auto"/>
          <w:sz w:val="24"/>
          <w:highlight w:val="none"/>
        </w:rPr>
        <w:t>式中：L</w:t>
      </w:r>
      <w:r>
        <w:rPr>
          <w:bCs/>
          <w:color w:val="auto"/>
          <w:sz w:val="24"/>
          <w:highlight w:val="none"/>
          <w:vertAlign w:val="subscript"/>
        </w:rPr>
        <w:t>P</w:t>
      </w:r>
      <w:r>
        <w:rPr>
          <w:bCs/>
          <w:color w:val="auto"/>
          <w:sz w:val="24"/>
          <w:highlight w:val="none"/>
        </w:rPr>
        <w:t>（r）——距声源r米处受声点的A声级；</w:t>
      </w:r>
    </w:p>
    <w:p>
      <w:pPr>
        <w:adjustRightInd w:val="0"/>
        <w:snapToGrid w:val="0"/>
        <w:spacing w:line="360" w:lineRule="auto"/>
        <w:ind w:firstLine="1200" w:firstLineChars="500"/>
        <w:rPr>
          <w:bCs/>
          <w:color w:val="auto"/>
          <w:sz w:val="24"/>
          <w:highlight w:val="none"/>
        </w:rPr>
      </w:pPr>
      <w:r>
        <w:rPr>
          <w:bCs/>
          <w:color w:val="auto"/>
          <w:sz w:val="24"/>
          <w:highlight w:val="none"/>
        </w:rPr>
        <w:t>L</w:t>
      </w:r>
      <w:r>
        <w:rPr>
          <w:bCs/>
          <w:color w:val="auto"/>
          <w:sz w:val="24"/>
          <w:highlight w:val="none"/>
          <w:vertAlign w:val="subscript"/>
        </w:rPr>
        <w:t>P</w:t>
      </w:r>
      <w:r>
        <w:rPr>
          <w:bCs/>
          <w:color w:val="auto"/>
          <w:sz w:val="24"/>
          <w:highlight w:val="none"/>
        </w:rPr>
        <w:t>r0——参考位置r0处的声压级，dB；</w:t>
      </w:r>
    </w:p>
    <w:p>
      <w:pPr>
        <w:adjustRightInd w:val="0"/>
        <w:snapToGrid w:val="0"/>
        <w:spacing w:line="360" w:lineRule="auto"/>
        <w:ind w:firstLine="1200" w:firstLineChars="500"/>
        <w:rPr>
          <w:bCs/>
          <w:color w:val="auto"/>
          <w:sz w:val="24"/>
          <w:highlight w:val="none"/>
        </w:rPr>
      </w:pPr>
      <w:r>
        <w:rPr>
          <w:bCs/>
          <w:color w:val="auto"/>
          <w:sz w:val="24"/>
          <w:highlight w:val="none"/>
        </w:rPr>
        <w:t>r——预测点距声源的距离（m）；</w:t>
      </w:r>
    </w:p>
    <w:p>
      <w:pPr>
        <w:adjustRightInd w:val="0"/>
        <w:snapToGrid w:val="0"/>
        <w:spacing w:line="360" w:lineRule="auto"/>
        <w:ind w:firstLine="1200" w:firstLineChars="500"/>
        <w:rPr>
          <w:bCs/>
          <w:color w:val="auto"/>
          <w:sz w:val="24"/>
          <w:highlight w:val="none"/>
        </w:rPr>
      </w:pPr>
      <w:r>
        <w:rPr>
          <w:bCs/>
          <w:color w:val="auto"/>
          <w:sz w:val="24"/>
          <w:highlight w:val="none"/>
        </w:rPr>
        <w:t>r0——参考位置距声源的距离（m）。</w:t>
      </w:r>
    </w:p>
    <w:p>
      <w:pPr>
        <w:adjustRightInd w:val="0"/>
        <w:snapToGrid w:val="0"/>
        <w:spacing w:line="360" w:lineRule="auto"/>
        <w:ind w:firstLine="480" w:firstLineChars="200"/>
        <w:rPr>
          <w:bCs/>
          <w:color w:val="auto"/>
          <w:sz w:val="24"/>
          <w:highlight w:val="none"/>
        </w:rPr>
      </w:pPr>
      <w:r>
        <w:rPr>
          <w:bCs/>
          <w:color w:val="auto"/>
          <w:sz w:val="24"/>
          <w:highlight w:val="none"/>
        </w:rPr>
        <w:t>项目各产噪设备在产噪单元处的叠加声压级采用以下公式进行计算：</w:t>
      </w:r>
    </w:p>
    <w:p>
      <w:pPr>
        <w:adjustRightInd w:val="0"/>
        <w:snapToGrid w:val="0"/>
        <w:spacing w:line="360" w:lineRule="auto"/>
        <w:ind w:firstLine="480" w:firstLineChars="200"/>
        <w:jc w:val="center"/>
        <w:rPr>
          <w:bCs/>
          <w:color w:val="auto"/>
          <w:sz w:val="24"/>
          <w:highlight w:val="none"/>
        </w:rPr>
      </w:pPr>
      <w:r>
        <w:rPr>
          <w:color w:val="auto"/>
          <w:position w:val="-30"/>
          <w:sz w:val="24"/>
          <w:highlight w:val="none"/>
        </w:rPr>
        <w:object>
          <v:shape id="_x0000_i1031" o:spt="75" type="#_x0000_t75" style="height:34.5pt;width:136.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p>
    <w:p>
      <w:pPr>
        <w:adjustRightInd w:val="0"/>
        <w:snapToGrid w:val="0"/>
        <w:spacing w:line="360" w:lineRule="auto"/>
        <w:ind w:firstLine="480" w:firstLineChars="200"/>
        <w:rPr>
          <w:bCs/>
          <w:color w:val="auto"/>
          <w:sz w:val="24"/>
          <w:highlight w:val="none"/>
        </w:rPr>
      </w:pPr>
      <w:r>
        <w:rPr>
          <w:bCs/>
          <w:color w:val="auto"/>
          <w:sz w:val="24"/>
          <w:highlight w:val="none"/>
        </w:rPr>
        <w:t>式中：L</w:t>
      </w:r>
      <w:r>
        <w:rPr>
          <w:bCs/>
          <w:color w:val="auto"/>
          <w:sz w:val="24"/>
          <w:highlight w:val="none"/>
          <w:vertAlign w:val="subscript"/>
        </w:rPr>
        <w:t>P1i</w:t>
      </w:r>
      <w:r>
        <w:rPr>
          <w:bCs/>
          <w:color w:val="auto"/>
          <w:sz w:val="24"/>
          <w:highlight w:val="none"/>
        </w:rPr>
        <w:t>（T）——靠近围护结构处室内N个声源i倍频带的叠加声压级，dB；</w:t>
      </w:r>
    </w:p>
    <w:p>
      <w:pPr>
        <w:adjustRightInd w:val="0"/>
        <w:snapToGrid w:val="0"/>
        <w:spacing w:line="360" w:lineRule="auto"/>
        <w:ind w:firstLine="1200" w:firstLineChars="500"/>
        <w:rPr>
          <w:bCs/>
          <w:color w:val="auto"/>
          <w:sz w:val="24"/>
          <w:highlight w:val="none"/>
        </w:rPr>
      </w:pPr>
      <w:r>
        <w:rPr>
          <w:bCs/>
          <w:color w:val="auto"/>
          <w:sz w:val="24"/>
          <w:highlight w:val="none"/>
        </w:rPr>
        <w:t>L</w:t>
      </w:r>
      <w:r>
        <w:rPr>
          <w:bCs/>
          <w:color w:val="auto"/>
          <w:sz w:val="24"/>
          <w:highlight w:val="none"/>
          <w:vertAlign w:val="subscript"/>
        </w:rPr>
        <w:t>P1ij</w:t>
      </w:r>
      <w:r>
        <w:rPr>
          <w:bCs/>
          <w:color w:val="auto"/>
          <w:sz w:val="24"/>
          <w:highlight w:val="none"/>
        </w:rPr>
        <w:t>——室内j声源i倍频带的声压级，dB；</w:t>
      </w:r>
    </w:p>
    <w:p>
      <w:pPr>
        <w:adjustRightInd w:val="0"/>
        <w:snapToGrid w:val="0"/>
        <w:spacing w:line="360" w:lineRule="auto"/>
        <w:ind w:firstLine="1200" w:firstLineChars="500"/>
        <w:rPr>
          <w:bCs/>
          <w:color w:val="auto"/>
          <w:sz w:val="24"/>
          <w:highlight w:val="none"/>
        </w:rPr>
      </w:pPr>
      <w:r>
        <w:rPr>
          <w:bCs/>
          <w:color w:val="auto"/>
          <w:sz w:val="24"/>
          <w:highlight w:val="none"/>
        </w:rPr>
        <w:t>N——室内声源总数。</w:t>
      </w:r>
    </w:p>
    <w:p>
      <w:pPr>
        <w:adjustRightInd w:val="0"/>
        <w:snapToGrid w:val="0"/>
        <w:spacing w:line="360" w:lineRule="auto"/>
        <w:ind w:firstLine="480" w:firstLineChars="200"/>
        <w:rPr>
          <w:bCs/>
          <w:color w:val="auto"/>
          <w:sz w:val="24"/>
          <w:highlight w:val="none"/>
        </w:rPr>
      </w:pPr>
      <w:r>
        <w:rPr>
          <w:bCs/>
          <w:color w:val="auto"/>
          <w:sz w:val="24"/>
          <w:highlight w:val="none"/>
        </w:rPr>
        <w:t>在室内近似为扩散声场时，按下式进行计算室外声压级：</w:t>
      </w:r>
    </w:p>
    <w:p>
      <w:pPr>
        <w:adjustRightInd w:val="0"/>
        <w:snapToGrid w:val="0"/>
        <w:spacing w:line="360" w:lineRule="auto"/>
        <w:ind w:firstLine="480" w:firstLineChars="200"/>
        <w:jc w:val="center"/>
        <w:rPr>
          <w:bCs/>
          <w:color w:val="auto"/>
          <w:sz w:val="24"/>
          <w:highlight w:val="none"/>
        </w:rPr>
      </w:pPr>
      <w:r>
        <w:rPr>
          <w:color w:val="auto"/>
          <w:position w:val="-16"/>
          <w:sz w:val="24"/>
          <w:highlight w:val="none"/>
        </w:rPr>
        <w:object>
          <v:shape id="_x0000_i1032" o:spt="75" type="#_x0000_t75" style="height:19.5pt;width:141.75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p>
    <w:p>
      <w:pPr>
        <w:adjustRightInd w:val="0"/>
        <w:snapToGrid w:val="0"/>
        <w:spacing w:line="360" w:lineRule="auto"/>
        <w:ind w:firstLine="480" w:firstLineChars="200"/>
        <w:rPr>
          <w:bCs/>
          <w:color w:val="auto"/>
          <w:sz w:val="24"/>
          <w:highlight w:val="none"/>
        </w:rPr>
      </w:pPr>
      <w:r>
        <w:rPr>
          <w:bCs/>
          <w:color w:val="auto"/>
          <w:sz w:val="24"/>
          <w:highlight w:val="none"/>
        </w:rPr>
        <w:t>式中：L</w:t>
      </w:r>
      <w:r>
        <w:rPr>
          <w:bCs/>
          <w:color w:val="auto"/>
          <w:sz w:val="24"/>
          <w:highlight w:val="none"/>
          <w:vertAlign w:val="subscript"/>
        </w:rPr>
        <w:t>P2i</w:t>
      </w:r>
      <w:r>
        <w:rPr>
          <w:bCs/>
          <w:color w:val="auto"/>
          <w:sz w:val="24"/>
          <w:highlight w:val="none"/>
        </w:rPr>
        <w:t>（T）——靠近围护结构处室外N个声源i倍频带的叠加声压级，dB；</w:t>
      </w:r>
    </w:p>
    <w:p>
      <w:pPr>
        <w:adjustRightInd w:val="0"/>
        <w:snapToGrid w:val="0"/>
        <w:spacing w:line="360" w:lineRule="auto"/>
        <w:ind w:firstLine="1200" w:firstLineChars="500"/>
        <w:rPr>
          <w:bCs/>
          <w:color w:val="auto"/>
          <w:sz w:val="24"/>
          <w:highlight w:val="none"/>
        </w:rPr>
      </w:pPr>
      <w:r>
        <w:rPr>
          <w:bCs/>
          <w:color w:val="auto"/>
          <w:sz w:val="24"/>
          <w:highlight w:val="none"/>
        </w:rPr>
        <w:t>L</w:t>
      </w:r>
      <w:r>
        <w:rPr>
          <w:bCs/>
          <w:color w:val="auto"/>
          <w:sz w:val="24"/>
          <w:highlight w:val="none"/>
          <w:vertAlign w:val="subscript"/>
        </w:rPr>
        <w:t>P1i</w:t>
      </w:r>
      <w:r>
        <w:rPr>
          <w:bCs/>
          <w:color w:val="auto"/>
          <w:sz w:val="24"/>
          <w:highlight w:val="none"/>
        </w:rPr>
        <w:t>（T）——靠近围护结构处室内N个声源i倍频带的叠加声压级，dB；</w:t>
      </w:r>
    </w:p>
    <w:p>
      <w:pPr>
        <w:adjustRightInd w:val="0"/>
        <w:snapToGrid w:val="0"/>
        <w:spacing w:line="360" w:lineRule="auto"/>
        <w:ind w:firstLine="1200" w:firstLineChars="500"/>
        <w:rPr>
          <w:bCs/>
          <w:color w:val="auto"/>
          <w:sz w:val="24"/>
          <w:highlight w:val="none"/>
        </w:rPr>
      </w:pPr>
      <w:r>
        <w:rPr>
          <w:bCs/>
          <w:color w:val="auto"/>
          <w:sz w:val="24"/>
          <w:highlight w:val="none"/>
        </w:rPr>
        <w:t>TL</w:t>
      </w:r>
      <w:r>
        <w:rPr>
          <w:bCs/>
          <w:color w:val="auto"/>
          <w:sz w:val="24"/>
          <w:highlight w:val="none"/>
          <w:vertAlign w:val="subscript"/>
        </w:rPr>
        <w:t>i</w:t>
      </w:r>
      <w:r>
        <w:rPr>
          <w:bCs/>
          <w:color w:val="auto"/>
          <w:sz w:val="24"/>
          <w:highlight w:val="none"/>
        </w:rPr>
        <w:t>——围护结构倍频带的隔声量，dB。</w:t>
      </w:r>
    </w:p>
    <w:p>
      <w:pPr>
        <w:adjustRightInd w:val="0"/>
        <w:snapToGrid w:val="0"/>
        <w:spacing w:line="360" w:lineRule="auto"/>
        <w:ind w:firstLine="480" w:firstLineChars="200"/>
        <w:rPr>
          <w:color w:val="auto"/>
          <w:sz w:val="24"/>
          <w:highlight w:val="none"/>
        </w:rPr>
      </w:pPr>
      <w:r>
        <w:rPr>
          <w:bCs/>
          <w:color w:val="auto"/>
          <w:sz w:val="24"/>
          <w:highlight w:val="none"/>
        </w:rPr>
        <w:t>等效室外声功率值按下式计算：</w:t>
      </w:r>
    </w:p>
    <w:p>
      <w:pPr>
        <w:adjustRightInd w:val="0"/>
        <w:snapToGrid w:val="0"/>
        <w:spacing w:line="360" w:lineRule="auto"/>
        <w:ind w:firstLine="480" w:firstLineChars="200"/>
        <w:jc w:val="center"/>
        <w:rPr>
          <w:bCs/>
          <w:color w:val="auto"/>
          <w:sz w:val="24"/>
          <w:highlight w:val="none"/>
        </w:rPr>
      </w:pPr>
      <w:r>
        <w:rPr>
          <w:color w:val="auto"/>
          <w:position w:val="-12"/>
          <w:sz w:val="24"/>
          <w:highlight w:val="none"/>
        </w:rPr>
        <w:object>
          <v:shape id="_x0000_i1033" o:spt="75" type="#_x0000_t75" style="height:18pt;width:100.5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p>
    <w:p>
      <w:pPr>
        <w:adjustRightInd w:val="0"/>
        <w:snapToGrid w:val="0"/>
        <w:spacing w:line="360" w:lineRule="auto"/>
        <w:ind w:firstLine="480" w:firstLineChars="200"/>
        <w:rPr>
          <w:bCs/>
          <w:color w:val="auto"/>
          <w:sz w:val="24"/>
          <w:highlight w:val="none"/>
        </w:rPr>
      </w:pPr>
      <w:r>
        <w:rPr>
          <w:bCs/>
          <w:color w:val="auto"/>
          <w:sz w:val="24"/>
          <w:highlight w:val="none"/>
        </w:rPr>
        <w:t>式中：L</w:t>
      </w:r>
      <w:r>
        <w:rPr>
          <w:bCs/>
          <w:color w:val="auto"/>
          <w:sz w:val="24"/>
          <w:highlight w:val="none"/>
          <w:vertAlign w:val="subscript"/>
        </w:rPr>
        <w:t>w</w:t>
      </w:r>
      <w:r>
        <w:rPr>
          <w:bCs/>
          <w:color w:val="auto"/>
          <w:sz w:val="24"/>
          <w:highlight w:val="none"/>
        </w:rPr>
        <w:t>——中心位置位于透声面积（S）处的等效声源的倍频声功率级，dB；</w:t>
      </w:r>
    </w:p>
    <w:p>
      <w:pPr>
        <w:adjustRightInd w:val="0"/>
        <w:snapToGrid w:val="0"/>
        <w:spacing w:line="360" w:lineRule="auto"/>
        <w:ind w:firstLine="1200" w:firstLineChars="500"/>
        <w:rPr>
          <w:bCs/>
          <w:color w:val="auto"/>
          <w:sz w:val="24"/>
          <w:highlight w:val="none"/>
        </w:rPr>
      </w:pPr>
      <w:r>
        <w:rPr>
          <w:bCs/>
          <w:color w:val="auto"/>
          <w:sz w:val="24"/>
          <w:highlight w:val="none"/>
        </w:rPr>
        <w:t>L</w:t>
      </w:r>
      <w:r>
        <w:rPr>
          <w:bCs/>
          <w:color w:val="auto"/>
          <w:sz w:val="24"/>
          <w:highlight w:val="none"/>
          <w:vertAlign w:val="subscript"/>
        </w:rPr>
        <w:t>P2</w:t>
      </w:r>
      <w:r>
        <w:rPr>
          <w:bCs/>
          <w:color w:val="auto"/>
          <w:sz w:val="24"/>
          <w:highlight w:val="none"/>
        </w:rPr>
        <w:t>（T）——靠近围护结构处室外声源的声压级，dB；</w:t>
      </w:r>
    </w:p>
    <w:p>
      <w:pPr>
        <w:adjustRightInd w:val="0"/>
        <w:snapToGrid w:val="0"/>
        <w:spacing w:line="360" w:lineRule="auto"/>
        <w:ind w:firstLine="1200" w:firstLineChars="500"/>
        <w:rPr>
          <w:bCs/>
          <w:color w:val="auto"/>
          <w:sz w:val="24"/>
          <w:highlight w:val="none"/>
        </w:rPr>
      </w:pPr>
      <w:r>
        <w:rPr>
          <w:bCs/>
          <w:color w:val="auto"/>
          <w:sz w:val="24"/>
          <w:highlight w:val="none"/>
        </w:rPr>
        <w:t>S——透声面积，m</w:t>
      </w:r>
      <w:r>
        <w:rPr>
          <w:bCs/>
          <w:color w:val="auto"/>
          <w:sz w:val="24"/>
          <w:highlight w:val="none"/>
          <w:vertAlign w:val="superscript"/>
        </w:rPr>
        <w:t>2</w:t>
      </w:r>
      <w:r>
        <w:rPr>
          <w:bCs/>
          <w:color w:val="auto"/>
          <w:sz w:val="24"/>
          <w:highlight w:val="none"/>
        </w:rPr>
        <w:t>。</w:t>
      </w:r>
    </w:p>
    <w:p>
      <w:pPr>
        <w:adjustRightInd w:val="0"/>
        <w:snapToGrid w:val="0"/>
        <w:spacing w:line="360" w:lineRule="auto"/>
        <w:ind w:firstLine="480" w:firstLineChars="200"/>
        <w:rPr>
          <w:bCs/>
          <w:color w:val="auto"/>
          <w:sz w:val="24"/>
          <w:highlight w:val="none"/>
        </w:rPr>
      </w:pPr>
      <w:r>
        <w:rPr>
          <w:bCs/>
          <w:color w:val="auto"/>
          <w:sz w:val="24"/>
          <w:highlight w:val="none"/>
        </w:rPr>
        <w:t>拟建工程对预测点产生的贡献值按照下式计算：</w:t>
      </w:r>
    </w:p>
    <w:p>
      <w:pPr>
        <w:adjustRightInd w:val="0"/>
        <w:snapToGrid w:val="0"/>
        <w:spacing w:line="360" w:lineRule="auto"/>
        <w:ind w:firstLine="480" w:firstLineChars="200"/>
        <w:jc w:val="center"/>
        <w:rPr>
          <w:bCs/>
          <w:color w:val="auto"/>
          <w:sz w:val="24"/>
          <w:highlight w:val="none"/>
        </w:rPr>
      </w:pPr>
      <m:oMathPara>
        <m:oMath>
          <m:sSub>
            <m:sSubPr>
              <m:ctrlPr>
                <w:rPr>
                  <w:rFonts w:ascii="Cambria Math" w:hAnsi="Cambria Math"/>
                  <w:bCs/>
                  <w:color w:val="auto"/>
                  <w:sz w:val="24"/>
                  <w:highlight w:val="none"/>
                </w:rPr>
              </m:ctrlPr>
            </m:sSubPr>
            <m:e>
              <m:r>
                <m:rPr>
                  <m:sty m:val="p"/>
                </m:rPr>
                <w:rPr>
                  <w:rFonts w:ascii="Cambria Math" w:hAnsi="Cambria Math"/>
                  <w:color w:val="auto"/>
                  <w:sz w:val="24"/>
                  <w:highlight w:val="none"/>
                </w:rPr>
                <m:t>L</m:t>
              </m:r>
              <m:ctrlPr>
                <w:rPr>
                  <w:rFonts w:ascii="Cambria Math" w:hAnsi="Cambria Math"/>
                  <w:bCs/>
                  <w:color w:val="auto"/>
                  <w:sz w:val="24"/>
                  <w:highlight w:val="none"/>
                </w:rPr>
              </m:ctrlPr>
            </m:e>
            <m:sub>
              <m:r>
                <m:rPr>
                  <m:sty m:val="p"/>
                </m:rPr>
                <w:rPr>
                  <w:rFonts w:ascii="Cambria Math" w:hAnsi="Cambria Math"/>
                  <w:color w:val="auto"/>
                  <w:sz w:val="24"/>
                  <w:highlight w:val="none"/>
                </w:rPr>
                <m:t>eqg</m:t>
              </m:r>
              <m:ctrlPr>
                <w:rPr>
                  <w:rFonts w:ascii="Cambria Math" w:hAnsi="Cambria Math"/>
                  <w:bCs/>
                  <w:color w:val="auto"/>
                  <w:sz w:val="24"/>
                  <w:highlight w:val="none"/>
                </w:rPr>
              </m:ctrlPr>
            </m:sub>
          </m:sSub>
          <m:r>
            <m:rPr>
              <m:sty m:val="p"/>
            </m:rPr>
            <w:rPr>
              <w:rFonts w:ascii="Cambria Math" w:hAnsi="Cambria Math"/>
              <w:color w:val="auto"/>
              <w:sz w:val="24"/>
              <w:highlight w:val="none"/>
            </w:rPr>
            <m:t>=10lg(</m:t>
          </m:r>
          <m:f>
            <m:fPr>
              <m:ctrlPr>
                <w:rPr>
                  <w:rFonts w:ascii="Cambria Math" w:hAnsi="Cambria Math"/>
                  <w:bCs/>
                  <w:color w:val="auto"/>
                  <w:sz w:val="24"/>
                  <w:highlight w:val="none"/>
                </w:rPr>
              </m:ctrlPr>
            </m:fPr>
            <m:num>
              <m:r>
                <m:rPr>
                  <m:sty m:val="p"/>
                </m:rPr>
                <w:rPr>
                  <w:rFonts w:ascii="Cambria Math" w:hAnsi="Cambria Math"/>
                  <w:color w:val="auto"/>
                  <w:sz w:val="24"/>
                  <w:highlight w:val="none"/>
                </w:rPr>
                <m:t>1</m:t>
              </m:r>
              <m:ctrlPr>
                <w:rPr>
                  <w:rFonts w:ascii="Cambria Math" w:hAnsi="Cambria Math"/>
                  <w:bCs/>
                  <w:color w:val="auto"/>
                  <w:sz w:val="24"/>
                  <w:highlight w:val="none"/>
                </w:rPr>
              </m:ctrlPr>
            </m:num>
            <m:den>
              <m:r>
                <m:rPr>
                  <m:sty m:val="p"/>
                </m:rPr>
                <w:rPr>
                  <w:rFonts w:ascii="Cambria Math" w:hAnsi="Cambria Math"/>
                  <w:color w:val="auto"/>
                  <w:sz w:val="24"/>
                  <w:highlight w:val="none"/>
                </w:rPr>
                <m:t>T</m:t>
              </m:r>
              <m:ctrlPr>
                <w:rPr>
                  <w:rFonts w:ascii="Cambria Math" w:hAnsi="Cambria Math"/>
                  <w:bCs/>
                  <w:color w:val="auto"/>
                  <w:sz w:val="24"/>
                  <w:highlight w:val="none"/>
                </w:rPr>
              </m:ctrlPr>
            </m:den>
          </m:f>
          <m:r>
            <m:rPr>
              <m:sty m:val="p"/>
            </m:rPr>
            <w:rPr>
              <w:rFonts w:ascii="Cambria Math" w:hAnsi="Cambria Math"/>
              <w:color w:val="auto"/>
              <w:sz w:val="24"/>
              <w:highlight w:val="none"/>
            </w:rPr>
            <m:t>（</m:t>
          </m:r>
          <m:nary>
            <m:naryPr>
              <m:chr m:val="∑"/>
              <m:limLoc m:val="undOvr"/>
              <m:ctrlPr>
                <w:rPr>
                  <w:rFonts w:ascii="Cambria Math" w:hAnsi="Cambria Math"/>
                  <w:bCs/>
                  <w:color w:val="auto"/>
                  <w:sz w:val="24"/>
                  <w:highlight w:val="none"/>
                </w:rPr>
              </m:ctrlPr>
            </m:naryPr>
            <m:sub>
              <m:r>
                <m:rPr>
                  <m:sty m:val="p"/>
                </m:rPr>
                <w:rPr>
                  <w:rFonts w:ascii="Cambria Math" w:hAnsi="Cambria Math"/>
                  <w:color w:val="auto"/>
                  <w:sz w:val="24"/>
                  <w:highlight w:val="none"/>
                </w:rPr>
                <m:t>i=1</m:t>
              </m:r>
              <m:ctrlPr>
                <w:rPr>
                  <w:rFonts w:ascii="Cambria Math" w:hAnsi="Cambria Math"/>
                  <w:bCs/>
                  <w:color w:val="auto"/>
                  <w:sz w:val="24"/>
                  <w:highlight w:val="none"/>
                </w:rPr>
              </m:ctrlPr>
            </m:sub>
            <m:sup>
              <m:r>
                <m:rPr>
                  <m:sty m:val="p"/>
                </m:rPr>
                <w:rPr>
                  <w:rFonts w:ascii="Cambria Math" w:hAnsi="Cambria Math"/>
                  <w:color w:val="auto"/>
                  <w:sz w:val="24"/>
                  <w:highlight w:val="none"/>
                </w:rPr>
                <m:t>N</m:t>
              </m:r>
              <m:ctrlPr>
                <w:rPr>
                  <w:rFonts w:ascii="Cambria Math" w:hAnsi="Cambria Math"/>
                  <w:bCs/>
                  <w:color w:val="auto"/>
                  <w:sz w:val="24"/>
                  <w:highlight w:val="none"/>
                </w:rPr>
              </m:ctrlPr>
            </m:sup>
            <m:e>
              <m:sSub>
                <m:sSubPr>
                  <m:ctrlPr>
                    <w:rPr>
                      <w:rFonts w:ascii="Cambria Math" w:hAnsi="Cambria Math"/>
                      <w:bCs/>
                      <w:color w:val="auto"/>
                      <w:sz w:val="24"/>
                      <w:highlight w:val="none"/>
                    </w:rPr>
                  </m:ctrlPr>
                </m:sSubPr>
                <m:e>
                  <m:r>
                    <m:rPr>
                      <m:sty m:val="p"/>
                    </m:rPr>
                    <w:rPr>
                      <w:rFonts w:ascii="Cambria Math" w:hAnsi="Cambria Math"/>
                      <w:color w:val="auto"/>
                      <w:sz w:val="24"/>
                      <w:highlight w:val="none"/>
                    </w:rPr>
                    <m:t>t</m:t>
                  </m:r>
                  <m:ctrlPr>
                    <w:rPr>
                      <w:rFonts w:ascii="Cambria Math" w:hAnsi="Cambria Math"/>
                      <w:bCs/>
                      <w:color w:val="auto"/>
                      <w:sz w:val="24"/>
                      <w:highlight w:val="none"/>
                    </w:rPr>
                  </m:ctrlPr>
                </m:e>
                <m:sub>
                  <m:r>
                    <m:rPr>
                      <m:sty m:val="p"/>
                    </m:rPr>
                    <w:rPr>
                      <w:rFonts w:ascii="Cambria Math" w:hAnsi="Cambria Math"/>
                      <w:color w:val="auto"/>
                      <w:sz w:val="24"/>
                      <w:highlight w:val="none"/>
                    </w:rPr>
                    <m:t>i</m:t>
                  </m:r>
                  <m:ctrlPr>
                    <w:rPr>
                      <w:rFonts w:ascii="Cambria Math" w:hAnsi="Cambria Math"/>
                      <w:bCs/>
                      <w:color w:val="auto"/>
                      <w:sz w:val="24"/>
                      <w:highlight w:val="none"/>
                    </w:rPr>
                  </m:ctrlPr>
                </m:sub>
              </m:sSub>
              <m:sSup>
                <m:sSupPr>
                  <m:ctrlPr>
                    <w:rPr>
                      <w:rFonts w:ascii="Cambria Math" w:hAnsi="Cambria Math"/>
                      <w:bCs/>
                      <w:color w:val="auto"/>
                      <w:sz w:val="24"/>
                      <w:highlight w:val="none"/>
                    </w:rPr>
                  </m:ctrlPr>
                </m:sSupPr>
                <m:e>
                  <m:r>
                    <m:rPr>
                      <m:sty m:val="p"/>
                    </m:rPr>
                    <w:rPr>
                      <w:rFonts w:ascii="Cambria Math" w:hAnsi="Cambria Math"/>
                      <w:color w:val="auto"/>
                      <w:sz w:val="24"/>
                      <w:highlight w:val="none"/>
                    </w:rPr>
                    <m:t>10</m:t>
                  </m:r>
                  <m:ctrlPr>
                    <w:rPr>
                      <w:rFonts w:ascii="Cambria Math" w:hAnsi="Cambria Math"/>
                      <w:bCs/>
                      <w:color w:val="auto"/>
                      <w:sz w:val="24"/>
                      <w:highlight w:val="none"/>
                    </w:rPr>
                  </m:ctrlPr>
                </m:e>
                <m:sup>
                  <m:sSub>
                    <m:sSubPr>
                      <m:ctrlPr>
                        <w:rPr>
                          <w:rFonts w:ascii="Cambria Math" w:hAnsi="Cambria Math"/>
                          <w:bCs/>
                          <w:color w:val="auto"/>
                          <w:sz w:val="24"/>
                          <w:highlight w:val="none"/>
                        </w:rPr>
                      </m:ctrlPr>
                    </m:sSubPr>
                    <m:e>
                      <m:r>
                        <m:rPr>
                          <m:sty m:val="p"/>
                        </m:rPr>
                        <w:rPr>
                          <w:rFonts w:ascii="Cambria Math" w:hAnsi="Cambria Math"/>
                          <w:color w:val="auto"/>
                          <w:sz w:val="24"/>
                          <w:highlight w:val="none"/>
                        </w:rPr>
                        <m:t>0.1L</m:t>
                      </m:r>
                      <m:ctrlPr>
                        <w:rPr>
                          <w:rFonts w:ascii="Cambria Math" w:hAnsi="Cambria Math"/>
                          <w:bCs/>
                          <w:color w:val="auto"/>
                          <w:sz w:val="24"/>
                          <w:highlight w:val="none"/>
                        </w:rPr>
                      </m:ctrlPr>
                    </m:e>
                    <m:sub>
                      <m:r>
                        <m:rPr>
                          <m:sty m:val="p"/>
                        </m:rPr>
                        <w:rPr>
                          <w:rFonts w:ascii="Cambria Math" w:hAnsi="Cambria Math"/>
                          <w:color w:val="auto"/>
                          <w:sz w:val="24"/>
                          <w:highlight w:val="none"/>
                        </w:rPr>
                        <m:t>Ai</m:t>
                      </m:r>
                      <m:ctrlPr>
                        <w:rPr>
                          <w:rFonts w:ascii="Cambria Math" w:hAnsi="Cambria Math"/>
                          <w:bCs/>
                          <w:color w:val="auto"/>
                          <w:sz w:val="24"/>
                          <w:highlight w:val="none"/>
                        </w:rPr>
                      </m:ctrlPr>
                    </m:sub>
                  </m:sSub>
                  <m:ctrlPr>
                    <w:rPr>
                      <w:rFonts w:ascii="Cambria Math" w:hAnsi="Cambria Math"/>
                      <w:bCs/>
                      <w:color w:val="auto"/>
                      <w:sz w:val="24"/>
                      <w:highlight w:val="none"/>
                    </w:rPr>
                  </m:ctrlPr>
                </m:sup>
              </m:sSup>
              <m:ctrlPr>
                <w:rPr>
                  <w:rFonts w:ascii="Cambria Math" w:hAnsi="Cambria Math"/>
                  <w:bCs/>
                  <w:color w:val="auto"/>
                  <w:sz w:val="24"/>
                  <w:highlight w:val="none"/>
                </w:rPr>
              </m:ctrlPr>
            </m:e>
          </m:nary>
          <m:r>
            <m:rPr>
              <m:sty m:val="p"/>
            </m:rPr>
            <w:rPr>
              <w:rFonts w:ascii="Cambria Math" w:hAnsi="Cambria Math"/>
              <w:color w:val="auto"/>
              <w:sz w:val="24"/>
              <w:highlight w:val="none"/>
            </w:rPr>
            <m:t>+</m:t>
          </m:r>
          <m:nary>
            <m:naryPr>
              <m:chr m:val="∑"/>
              <m:limLoc m:val="undOvr"/>
              <m:ctrlPr>
                <w:rPr>
                  <w:rFonts w:ascii="Cambria Math" w:hAnsi="Cambria Math"/>
                  <w:bCs/>
                  <w:color w:val="auto"/>
                  <w:sz w:val="24"/>
                  <w:highlight w:val="none"/>
                </w:rPr>
              </m:ctrlPr>
            </m:naryPr>
            <m:sub>
              <m:r>
                <m:rPr>
                  <m:sty m:val="p"/>
                </m:rPr>
                <w:rPr>
                  <w:rFonts w:ascii="Cambria Math" w:hAnsi="Cambria Math"/>
                  <w:color w:val="auto"/>
                  <w:sz w:val="24"/>
                  <w:highlight w:val="none"/>
                </w:rPr>
                <m:t>j=1</m:t>
              </m:r>
              <m:ctrlPr>
                <w:rPr>
                  <w:rFonts w:ascii="Cambria Math" w:hAnsi="Cambria Math"/>
                  <w:bCs/>
                  <w:color w:val="auto"/>
                  <w:sz w:val="24"/>
                  <w:highlight w:val="none"/>
                </w:rPr>
              </m:ctrlPr>
            </m:sub>
            <m:sup>
              <m:r>
                <m:rPr>
                  <m:sty m:val="p"/>
                </m:rPr>
                <w:rPr>
                  <w:rFonts w:ascii="Cambria Math" w:hAnsi="Cambria Math"/>
                  <w:color w:val="auto"/>
                  <w:sz w:val="24"/>
                  <w:highlight w:val="none"/>
                </w:rPr>
                <m:t>M</m:t>
              </m:r>
              <m:ctrlPr>
                <w:rPr>
                  <w:rFonts w:ascii="Cambria Math" w:hAnsi="Cambria Math"/>
                  <w:bCs/>
                  <w:color w:val="auto"/>
                  <w:sz w:val="24"/>
                  <w:highlight w:val="none"/>
                </w:rPr>
              </m:ctrlPr>
            </m:sup>
            <m:e>
              <m:sSub>
                <m:sSubPr>
                  <m:ctrlPr>
                    <w:rPr>
                      <w:rFonts w:ascii="Cambria Math" w:hAnsi="Cambria Math"/>
                      <w:bCs/>
                      <w:color w:val="auto"/>
                      <w:sz w:val="24"/>
                      <w:highlight w:val="none"/>
                    </w:rPr>
                  </m:ctrlPr>
                </m:sSubPr>
                <m:e>
                  <m:r>
                    <m:rPr>
                      <m:sty m:val="p"/>
                    </m:rPr>
                    <w:rPr>
                      <w:rFonts w:ascii="Cambria Math" w:hAnsi="Cambria Math"/>
                      <w:color w:val="auto"/>
                      <w:sz w:val="24"/>
                      <w:highlight w:val="none"/>
                    </w:rPr>
                    <m:t>t</m:t>
                  </m:r>
                  <m:ctrlPr>
                    <w:rPr>
                      <w:rFonts w:ascii="Cambria Math" w:hAnsi="Cambria Math"/>
                      <w:bCs/>
                      <w:color w:val="auto"/>
                      <w:sz w:val="24"/>
                      <w:highlight w:val="none"/>
                    </w:rPr>
                  </m:ctrlPr>
                </m:e>
                <m:sub>
                  <m:r>
                    <m:rPr>
                      <m:sty m:val="p"/>
                    </m:rPr>
                    <w:rPr>
                      <w:rFonts w:ascii="Cambria Math" w:hAnsi="Cambria Math"/>
                      <w:color w:val="auto"/>
                      <w:sz w:val="24"/>
                      <w:highlight w:val="none"/>
                    </w:rPr>
                    <m:t>j</m:t>
                  </m:r>
                  <m:ctrlPr>
                    <w:rPr>
                      <w:rFonts w:ascii="Cambria Math" w:hAnsi="Cambria Math"/>
                      <w:bCs/>
                      <w:color w:val="auto"/>
                      <w:sz w:val="24"/>
                      <w:highlight w:val="none"/>
                    </w:rPr>
                  </m:ctrlPr>
                </m:sub>
              </m:sSub>
              <m:sSup>
                <m:sSupPr>
                  <m:ctrlPr>
                    <w:rPr>
                      <w:rFonts w:ascii="Cambria Math" w:hAnsi="Cambria Math"/>
                      <w:bCs/>
                      <w:color w:val="auto"/>
                      <w:sz w:val="24"/>
                      <w:highlight w:val="none"/>
                    </w:rPr>
                  </m:ctrlPr>
                </m:sSupPr>
                <m:e>
                  <m:r>
                    <m:rPr>
                      <m:sty m:val="p"/>
                    </m:rPr>
                    <w:rPr>
                      <w:rFonts w:ascii="Cambria Math" w:hAnsi="Cambria Math"/>
                      <w:color w:val="auto"/>
                      <w:sz w:val="24"/>
                      <w:highlight w:val="none"/>
                    </w:rPr>
                    <m:t>10</m:t>
                  </m:r>
                  <m:ctrlPr>
                    <w:rPr>
                      <w:rFonts w:ascii="Cambria Math" w:hAnsi="Cambria Math"/>
                      <w:bCs/>
                      <w:color w:val="auto"/>
                      <w:sz w:val="24"/>
                      <w:highlight w:val="none"/>
                    </w:rPr>
                  </m:ctrlPr>
                </m:e>
                <m:sup>
                  <m:sSub>
                    <m:sSubPr>
                      <m:ctrlPr>
                        <w:rPr>
                          <w:rFonts w:ascii="Cambria Math" w:hAnsi="Cambria Math"/>
                          <w:bCs/>
                          <w:color w:val="auto"/>
                          <w:sz w:val="24"/>
                          <w:highlight w:val="none"/>
                        </w:rPr>
                      </m:ctrlPr>
                    </m:sSubPr>
                    <m:e>
                      <m:r>
                        <m:rPr>
                          <m:sty m:val="p"/>
                        </m:rPr>
                        <w:rPr>
                          <w:rFonts w:ascii="Cambria Math" w:hAnsi="Cambria Math"/>
                          <w:color w:val="auto"/>
                          <w:sz w:val="24"/>
                          <w:highlight w:val="none"/>
                        </w:rPr>
                        <m:t>0.1L</m:t>
                      </m:r>
                      <m:ctrlPr>
                        <w:rPr>
                          <w:rFonts w:ascii="Cambria Math" w:hAnsi="Cambria Math"/>
                          <w:bCs/>
                          <w:color w:val="auto"/>
                          <w:sz w:val="24"/>
                          <w:highlight w:val="none"/>
                        </w:rPr>
                      </m:ctrlPr>
                    </m:e>
                    <m:sub>
                      <m:r>
                        <m:rPr>
                          <m:sty m:val="p"/>
                        </m:rPr>
                        <w:rPr>
                          <w:rFonts w:ascii="Cambria Math" w:hAnsi="Cambria Math"/>
                          <w:color w:val="auto"/>
                          <w:sz w:val="24"/>
                          <w:highlight w:val="none"/>
                        </w:rPr>
                        <m:t>Aj</m:t>
                      </m:r>
                      <m:ctrlPr>
                        <w:rPr>
                          <w:rFonts w:ascii="Cambria Math" w:hAnsi="Cambria Math"/>
                          <w:bCs/>
                          <w:color w:val="auto"/>
                          <w:sz w:val="24"/>
                          <w:highlight w:val="none"/>
                        </w:rPr>
                      </m:ctrlPr>
                    </m:sub>
                  </m:sSub>
                  <m:ctrlPr>
                    <w:rPr>
                      <w:rFonts w:ascii="Cambria Math" w:hAnsi="Cambria Math"/>
                      <w:bCs/>
                      <w:color w:val="auto"/>
                      <w:sz w:val="24"/>
                      <w:highlight w:val="none"/>
                    </w:rPr>
                  </m:ctrlPr>
                </m:sup>
              </m:sSup>
              <m:ctrlPr>
                <w:rPr>
                  <w:rFonts w:ascii="Cambria Math" w:hAnsi="Cambria Math"/>
                  <w:bCs/>
                  <w:color w:val="auto"/>
                  <w:sz w:val="24"/>
                  <w:highlight w:val="none"/>
                </w:rPr>
              </m:ctrlPr>
            </m:e>
          </m:nary>
          <m:r>
            <m:rPr>
              <m:sty m:val="p"/>
            </m:rPr>
            <w:rPr>
              <w:rFonts w:ascii="Cambria Math" w:hAnsi="Cambria Math"/>
              <w:color w:val="auto"/>
              <w:sz w:val="24"/>
              <w:highlight w:val="none"/>
            </w:rPr>
            <m:t>）)</m:t>
          </m:r>
        </m:oMath>
      </m:oMathPara>
    </w:p>
    <w:p>
      <w:pPr>
        <w:widowControl/>
        <w:adjustRightInd w:val="0"/>
        <w:snapToGrid w:val="0"/>
        <w:spacing w:line="360" w:lineRule="auto"/>
        <w:ind w:firstLine="480" w:firstLineChars="200"/>
        <w:rPr>
          <w:color w:val="auto"/>
          <w:sz w:val="24"/>
          <w:highlight w:val="none"/>
        </w:rPr>
      </w:pPr>
      <w:r>
        <w:rPr>
          <w:color w:val="auto"/>
          <w:sz w:val="24"/>
          <w:highlight w:val="none"/>
        </w:rPr>
        <w:t>式中：</w:t>
      </w:r>
      <m:oMath>
        <m:sSub>
          <m:sSubPr>
            <m:ctrlPr>
              <w:rPr>
                <w:rFonts w:ascii="Cambria Math" w:hAnsi="Cambria Math"/>
                <w:color w:val="auto"/>
                <w:sz w:val="24"/>
                <w:highlight w:val="none"/>
              </w:rPr>
            </m:ctrlPr>
          </m:sSubPr>
          <m:e>
            <m:r>
              <m:rPr>
                <m:sty m:val="p"/>
              </m:rPr>
              <w:rPr>
                <w:rFonts w:ascii="Cambria Math" w:hAnsi="Cambria Math"/>
                <w:color w:val="auto"/>
                <w:sz w:val="24"/>
                <w:highlight w:val="none"/>
              </w:rPr>
              <m:t>L</m:t>
            </m:r>
            <m:ctrlPr>
              <w:rPr>
                <w:rFonts w:ascii="Cambria Math" w:hAnsi="Cambria Math"/>
                <w:color w:val="auto"/>
                <w:sz w:val="24"/>
                <w:highlight w:val="none"/>
              </w:rPr>
            </m:ctrlPr>
          </m:e>
          <m:sub>
            <m:r>
              <m:rPr>
                <m:sty m:val="p"/>
              </m:rPr>
              <w:rPr>
                <w:rFonts w:ascii="Cambria Math" w:hAnsi="Cambria Math"/>
                <w:color w:val="auto"/>
                <w:sz w:val="24"/>
                <w:highlight w:val="none"/>
              </w:rPr>
              <m:t>eqg</m:t>
            </m:r>
            <m:ctrlPr>
              <w:rPr>
                <w:rFonts w:ascii="Cambria Math" w:hAnsi="Cambria Math"/>
                <w:color w:val="auto"/>
                <w:sz w:val="24"/>
                <w:highlight w:val="none"/>
              </w:rPr>
            </m:ctrlPr>
          </m:sub>
        </m:sSub>
      </m:oMath>
      <w:r>
        <w:rPr>
          <w:color w:val="auto"/>
          <w:sz w:val="24"/>
          <w:highlight w:val="none"/>
        </w:rPr>
        <w:t>——建设项目声源在预测点产生的噪声贡献值，dB；</w:t>
      </w:r>
    </w:p>
    <w:p>
      <w:pPr>
        <w:widowControl/>
        <w:adjustRightInd w:val="0"/>
        <w:snapToGrid w:val="0"/>
        <w:spacing w:line="360" w:lineRule="auto"/>
        <w:ind w:firstLine="1200" w:firstLineChars="500"/>
        <w:rPr>
          <w:color w:val="auto"/>
          <w:sz w:val="24"/>
          <w:highlight w:val="none"/>
        </w:rPr>
      </w:pPr>
      <w:r>
        <w:rPr>
          <w:color w:val="auto"/>
          <w:sz w:val="24"/>
          <w:highlight w:val="none"/>
        </w:rPr>
        <w:t>T——用于计算等效声级的时间，s；</w:t>
      </w:r>
    </w:p>
    <w:p>
      <w:pPr>
        <w:widowControl/>
        <w:adjustRightInd w:val="0"/>
        <w:snapToGrid w:val="0"/>
        <w:spacing w:line="360" w:lineRule="auto"/>
        <w:ind w:firstLine="1200" w:firstLineChars="500"/>
        <w:rPr>
          <w:color w:val="auto"/>
          <w:sz w:val="24"/>
          <w:highlight w:val="none"/>
        </w:rPr>
      </w:pPr>
      <w:r>
        <w:rPr>
          <w:color w:val="auto"/>
          <w:sz w:val="24"/>
          <w:highlight w:val="none"/>
        </w:rPr>
        <w:t>ti——T时段内i声源工作时间，s；</w:t>
      </w:r>
    </w:p>
    <w:p>
      <w:pPr>
        <w:widowControl/>
        <w:adjustRightInd w:val="0"/>
        <w:snapToGrid w:val="0"/>
        <w:spacing w:line="360" w:lineRule="auto"/>
        <w:ind w:firstLine="1200" w:firstLineChars="500"/>
        <w:rPr>
          <w:color w:val="auto"/>
          <w:sz w:val="24"/>
          <w:highlight w:val="none"/>
        </w:rPr>
      </w:pPr>
      <w:r>
        <w:rPr>
          <w:color w:val="auto"/>
          <w:sz w:val="24"/>
          <w:highlight w:val="none"/>
        </w:rPr>
        <w:t>tj——T时段内j声源工作时间，s；</w:t>
      </w:r>
    </w:p>
    <w:p>
      <w:pPr>
        <w:widowControl/>
        <w:adjustRightInd w:val="0"/>
        <w:snapToGrid w:val="0"/>
        <w:spacing w:line="360" w:lineRule="auto"/>
        <w:ind w:firstLine="1200" w:firstLineChars="500"/>
        <w:rPr>
          <w:color w:val="auto"/>
          <w:sz w:val="24"/>
          <w:highlight w:val="none"/>
        </w:rPr>
      </w:pPr>
      <w:r>
        <w:rPr>
          <w:color w:val="auto"/>
          <w:sz w:val="24"/>
          <w:highlight w:val="none"/>
        </w:rPr>
        <w:t>N——等效室外声源个数；</w:t>
      </w:r>
    </w:p>
    <w:p>
      <w:pPr>
        <w:adjustRightInd w:val="0"/>
        <w:snapToGrid w:val="0"/>
        <w:spacing w:line="360" w:lineRule="auto"/>
        <w:ind w:firstLine="1200" w:firstLineChars="500"/>
        <w:rPr>
          <w:color w:val="auto"/>
          <w:sz w:val="24"/>
          <w:highlight w:val="none"/>
        </w:rPr>
      </w:pPr>
      <w:r>
        <w:rPr>
          <w:color w:val="auto"/>
          <w:sz w:val="24"/>
          <w:highlight w:val="none"/>
        </w:rPr>
        <w:t>M——等效室内声源个数。</w:t>
      </w:r>
    </w:p>
    <w:p>
      <w:pPr>
        <w:tabs>
          <w:tab w:val="left" w:pos="564"/>
        </w:tabs>
        <w:spacing w:line="360" w:lineRule="auto"/>
        <w:ind w:firstLine="482" w:firstLineChars="200"/>
        <w:rPr>
          <w:color w:val="auto"/>
          <w:sz w:val="24"/>
          <w:highlight w:val="none"/>
        </w:rPr>
      </w:pPr>
      <w:r>
        <w:rPr>
          <w:b/>
          <w:bCs/>
          <w:color w:val="auto"/>
          <w:sz w:val="24"/>
          <w:highlight w:val="none"/>
        </w:rPr>
        <w:t>2、预测点达标评价</w:t>
      </w:r>
    </w:p>
    <w:p>
      <w:pPr>
        <w:spacing w:line="360" w:lineRule="auto"/>
        <w:ind w:firstLine="48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lang w:val="en-US" w:eastAsia="zh-CN"/>
        </w:rPr>
        <w:t>厂界预测结果</w:t>
      </w:r>
    </w:p>
    <w:p>
      <w:pPr>
        <w:spacing w:line="360" w:lineRule="auto"/>
        <w:ind w:firstLine="480"/>
        <w:rPr>
          <w:color w:val="auto"/>
          <w:sz w:val="24"/>
          <w:highlight w:val="none"/>
        </w:rPr>
      </w:pPr>
      <w:r>
        <w:rPr>
          <w:color w:val="auto"/>
          <w:sz w:val="24"/>
          <w:highlight w:val="none"/>
        </w:rPr>
        <w:t>项目</w:t>
      </w:r>
      <w:r>
        <w:rPr>
          <w:rFonts w:hint="eastAsia"/>
          <w:color w:val="auto"/>
          <w:sz w:val="24"/>
          <w:highlight w:val="none"/>
          <w:lang w:val="en-US" w:eastAsia="zh-CN"/>
        </w:rPr>
        <w:t>厂界预测</w:t>
      </w:r>
      <w:r>
        <w:rPr>
          <w:color w:val="auto"/>
          <w:sz w:val="24"/>
          <w:highlight w:val="none"/>
        </w:rPr>
        <w:t>的评价结果见表</w:t>
      </w:r>
      <w:r>
        <w:rPr>
          <w:rFonts w:hint="eastAsia"/>
          <w:color w:val="auto"/>
          <w:sz w:val="24"/>
          <w:highlight w:val="none"/>
        </w:rPr>
        <w:t>5.2-</w:t>
      </w:r>
      <w:r>
        <w:rPr>
          <w:rFonts w:hint="eastAsia"/>
          <w:color w:val="auto"/>
          <w:sz w:val="24"/>
          <w:highlight w:val="none"/>
          <w:lang w:val="en-US" w:eastAsia="zh-CN"/>
        </w:rPr>
        <w:t>14</w:t>
      </w:r>
      <w:r>
        <w:rPr>
          <w:color w:val="auto"/>
          <w:sz w:val="24"/>
          <w:highlight w:val="none"/>
        </w:rPr>
        <w:t>。</w:t>
      </w:r>
    </w:p>
    <w:p>
      <w:pPr>
        <w:spacing w:line="288" w:lineRule="auto"/>
        <w:jc w:val="center"/>
        <w:rPr>
          <w:b/>
          <w:bCs/>
          <w:color w:val="auto"/>
          <w:sz w:val="24"/>
          <w:szCs w:val="24"/>
          <w:highlight w:val="none"/>
        </w:rPr>
      </w:pPr>
      <w:r>
        <w:rPr>
          <w:rFonts w:hint="eastAsia"/>
          <w:b/>
          <w:bCs/>
          <w:color w:val="auto"/>
          <w:sz w:val="24"/>
          <w:szCs w:val="24"/>
          <w:highlight w:val="none"/>
        </w:rPr>
        <w:t>表</w:t>
      </w:r>
      <w:r>
        <w:rPr>
          <w:rFonts w:hint="eastAsia"/>
          <w:b/>
          <w:bCs/>
          <w:color w:val="auto"/>
          <w:sz w:val="24"/>
          <w:szCs w:val="24"/>
          <w:highlight w:val="none"/>
          <w:lang w:val="en-US" w:eastAsia="zh-CN"/>
        </w:rPr>
        <w:t>5.2-14</w:t>
      </w:r>
      <w:r>
        <w:rPr>
          <w:rFonts w:hint="eastAsia"/>
          <w:b/>
          <w:bCs/>
          <w:color w:val="auto"/>
          <w:sz w:val="24"/>
          <w:szCs w:val="24"/>
          <w:highlight w:val="none"/>
        </w:rPr>
        <w:t xml:space="preserve">  项目</w:t>
      </w:r>
      <w:r>
        <w:rPr>
          <w:rFonts w:hint="eastAsia"/>
          <w:b/>
          <w:bCs/>
          <w:color w:val="auto"/>
          <w:sz w:val="24"/>
          <w:szCs w:val="24"/>
          <w:highlight w:val="none"/>
          <w:lang w:val="en-US" w:eastAsia="zh-CN"/>
        </w:rPr>
        <w:t>厂界</w:t>
      </w:r>
      <w:r>
        <w:rPr>
          <w:rFonts w:hint="eastAsia"/>
          <w:b/>
          <w:bCs/>
          <w:color w:val="auto"/>
          <w:sz w:val="24"/>
          <w:szCs w:val="24"/>
          <w:highlight w:val="none"/>
        </w:rPr>
        <w:t>预测结果一览表</w:t>
      </w:r>
    </w:p>
    <w:tbl>
      <w:tblPr>
        <w:tblStyle w:val="55"/>
        <w:tblpPr w:leftFromText="181" w:rightFromText="181" w:bottomFromText="113" w:vertAnchor="text" w:tblpXSpec="center" w:tblpY="1"/>
        <w:tblOverlap w:val="never"/>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30"/>
        <w:gridCol w:w="830"/>
        <w:gridCol w:w="597"/>
        <w:gridCol w:w="677"/>
        <w:gridCol w:w="1072"/>
        <w:gridCol w:w="968"/>
        <w:gridCol w:w="1009"/>
        <w:gridCol w:w="1036"/>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60" w:type="dxa"/>
            <w:vMerge w:val="restart"/>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预测方位</w:t>
            </w:r>
          </w:p>
        </w:tc>
        <w:tc>
          <w:tcPr>
            <w:tcW w:w="2257" w:type="dxa"/>
            <w:gridSpan w:val="3"/>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最大值点空间相对位置/m</w:t>
            </w:r>
          </w:p>
        </w:tc>
        <w:tc>
          <w:tcPr>
            <w:tcW w:w="677" w:type="dxa"/>
            <w:vMerge w:val="restart"/>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时段</w:t>
            </w:r>
          </w:p>
        </w:tc>
        <w:tc>
          <w:tcPr>
            <w:tcW w:w="1072" w:type="dxa"/>
            <w:vMerge w:val="restart"/>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贡献值（dB(A)）</w:t>
            </w:r>
          </w:p>
        </w:tc>
        <w:tc>
          <w:tcPr>
            <w:tcW w:w="968" w:type="dxa"/>
            <w:vMerge w:val="restart"/>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背景</w:t>
            </w:r>
            <w:r>
              <w:rPr>
                <w:rFonts w:hint="default" w:ascii="Times New Roman" w:hAnsi="Times New Roman" w:cs="Times New Roman"/>
                <w:b/>
                <w:bCs/>
                <w:color w:val="auto"/>
                <w:sz w:val="21"/>
                <w:szCs w:val="21"/>
                <w:highlight w:val="none"/>
              </w:rPr>
              <w:t>值（dB(A)）</w:t>
            </w:r>
          </w:p>
        </w:tc>
        <w:tc>
          <w:tcPr>
            <w:tcW w:w="1009" w:type="dxa"/>
            <w:vMerge w:val="restart"/>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叠加</w:t>
            </w:r>
            <w:r>
              <w:rPr>
                <w:rFonts w:hint="default" w:ascii="Times New Roman" w:hAnsi="Times New Roman" w:cs="Times New Roman"/>
                <w:b/>
                <w:bCs/>
                <w:color w:val="auto"/>
                <w:sz w:val="21"/>
                <w:szCs w:val="21"/>
                <w:highlight w:val="none"/>
              </w:rPr>
              <w:t>值（dB(A)）</w:t>
            </w:r>
          </w:p>
        </w:tc>
        <w:tc>
          <w:tcPr>
            <w:tcW w:w="1036" w:type="dxa"/>
            <w:vMerge w:val="restart"/>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标准限值（dB(A)）</w:t>
            </w:r>
          </w:p>
        </w:tc>
        <w:tc>
          <w:tcPr>
            <w:tcW w:w="667" w:type="dxa"/>
            <w:vMerge w:val="restart"/>
            <w:shd w:val="clear" w:color="auto" w:fill="auto"/>
            <w:vAlign w:val="center"/>
          </w:tcPr>
          <w:p>
            <w:pPr>
              <w:pStyle w:val="21"/>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60" w:type="dxa"/>
            <w:vMerge w:val="continue"/>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p>
        </w:tc>
        <w:tc>
          <w:tcPr>
            <w:tcW w:w="830"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X</w:t>
            </w:r>
          </w:p>
        </w:tc>
        <w:tc>
          <w:tcPr>
            <w:tcW w:w="830"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w:t>
            </w:r>
          </w:p>
        </w:tc>
        <w:tc>
          <w:tcPr>
            <w:tcW w:w="59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w:t>
            </w:r>
          </w:p>
        </w:tc>
        <w:tc>
          <w:tcPr>
            <w:tcW w:w="677" w:type="dxa"/>
            <w:vMerge w:val="continue"/>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p>
        </w:tc>
        <w:tc>
          <w:tcPr>
            <w:tcW w:w="1072" w:type="dxa"/>
            <w:vMerge w:val="continue"/>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p>
        </w:tc>
        <w:tc>
          <w:tcPr>
            <w:tcW w:w="968" w:type="dxa"/>
            <w:vMerge w:val="continue"/>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p>
        </w:tc>
        <w:tc>
          <w:tcPr>
            <w:tcW w:w="1009" w:type="dxa"/>
            <w:vMerge w:val="continue"/>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p>
        </w:tc>
        <w:tc>
          <w:tcPr>
            <w:tcW w:w="1036" w:type="dxa"/>
            <w:vMerge w:val="continue"/>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p>
        </w:tc>
        <w:tc>
          <w:tcPr>
            <w:tcW w:w="667" w:type="dxa"/>
            <w:vMerge w:val="continue"/>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0"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东侧</w:t>
            </w:r>
          </w:p>
        </w:tc>
        <w:tc>
          <w:tcPr>
            <w:tcW w:w="830" w:type="dxa"/>
            <w:shd w:val="clear" w:color="auto" w:fill="auto"/>
            <w:vAlign w:val="center"/>
          </w:tcPr>
          <w:p>
            <w:pPr>
              <w:spacing w:line="240" w:lineRule="auto"/>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24.1</w:t>
            </w:r>
          </w:p>
        </w:tc>
        <w:tc>
          <w:tcPr>
            <w:tcW w:w="830" w:type="dxa"/>
            <w:shd w:val="clear" w:color="auto" w:fill="auto"/>
            <w:vAlign w:val="center"/>
          </w:tcPr>
          <w:p>
            <w:pPr>
              <w:spacing w:line="240" w:lineRule="auto"/>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-9.1</w:t>
            </w:r>
          </w:p>
        </w:tc>
        <w:tc>
          <w:tcPr>
            <w:tcW w:w="597" w:type="dxa"/>
            <w:shd w:val="clear" w:color="auto" w:fill="auto"/>
            <w:vAlign w:val="center"/>
          </w:tcPr>
          <w:p>
            <w:pPr>
              <w:spacing w:line="240" w:lineRule="auto"/>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67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072"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56.6</w:t>
            </w:r>
          </w:p>
        </w:tc>
        <w:tc>
          <w:tcPr>
            <w:tcW w:w="968"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w:t>
            </w:r>
          </w:p>
        </w:tc>
        <w:tc>
          <w:tcPr>
            <w:tcW w:w="1009" w:type="dxa"/>
            <w:shd w:val="clear" w:color="auto" w:fill="auto"/>
            <w:vAlign w:val="center"/>
          </w:tcPr>
          <w:p>
            <w:pPr>
              <w:pStyle w:val="2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59.1</w:t>
            </w:r>
          </w:p>
        </w:tc>
        <w:tc>
          <w:tcPr>
            <w:tcW w:w="1036"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0</w:t>
            </w:r>
          </w:p>
        </w:tc>
        <w:tc>
          <w:tcPr>
            <w:tcW w:w="66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60"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南侧</w:t>
            </w:r>
          </w:p>
        </w:tc>
        <w:tc>
          <w:tcPr>
            <w:tcW w:w="830"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830"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-23.7</w:t>
            </w:r>
          </w:p>
        </w:tc>
        <w:tc>
          <w:tcPr>
            <w:tcW w:w="597"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67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072"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56.7</w:t>
            </w:r>
          </w:p>
        </w:tc>
        <w:tc>
          <w:tcPr>
            <w:tcW w:w="968"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009" w:type="dxa"/>
            <w:shd w:val="clear" w:color="auto" w:fill="auto"/>
            <w:vAlign w:val="center"/>
          </w:tcPr>
          <w:p>
            <w:pPr>
              <w:pStyle w:val="2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59.3</w:t>
            </w:r>
          </w:p>
        </w:tc>
        <w:tc>
          <w:tcPr>
            <w:tcW w:w="1036"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0</w:t>
            </w:r>
          </w:p>
        </w:tc>
        <w:tc>
          <w:tcPr>
            <w:tcW w:w="66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860"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西侧</w:t>
            </w:r>
          </w:p>
        </w:tc>
        <w:tc>
          <w:tcPr>
            <w:tcW w:w="830"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-18.9</w:t>
            </w:r>
          </w:p>
        </w:tc>
        <w:tc>
          <w:tcPr>
            <w:tcW w:w="830"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.9</w:t>
            </w:r>
          </w:p>
        </w:tc>
        <w:tc>
          <w:tcPr>
            <w:tcW w:w="597"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67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072"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47.3</w:t>
            </w:r>
          </w:p>
        </w:tc>
        <w:tc>
          <w:tcPr>
            <w:tcW w:w="968"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1009" w:type="dxa"/>
            <w:shd w:val="clear" w:color="auto" w:fill="auto"/>
            <w:vAlign w:val="center"/>
          </w:tcPr>
          <w:p>
            <w:pPr>
              <w:pStyle w:val="2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56.5</w:t>
            </w:r>
          </w:p>
        </w:tc>
        <w:tc>
          <w:tcPr>
            <w:tcW w:w="1036"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0</w:t>
            </w:r>
          </w:p>
        </w:tc>
        <w:tc>
          <w:tcPr>
            <w:tcW w:w="66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60"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北侧</w:t>
            </w:r>
          </w:p>
        </w:tc>
        <w:tc>
          <w:tcPr>
            <w:tcW w:w="830"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830"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18.7</w:t>
            </w:r>
          </w:p>
        </w:tc>
        <w:tc>
          <w:tcPr>
            <w:tcW w:w="597" w:type="dxa"/>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67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072"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58.3</w:t>
            </w:r>
          </w:p>
        </w:tc>
        <w:tc>
          <w:tcPr>
            <w:tcW w:w="968"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58</w:t>
            </w:r>
          </w:p>
        </w:tc>
        <w:tc>
          <w:tcPr>
            <w:tcW w:w="1009" w:type="dxa"/>
            <w:shd w:val="clear" w:color="auto" w:fill="auto"/>
            <w:vAlign w:val="center"/>
          </w:tcPr>
          <w:p>
            <w:pPr>
              <w:pStyle w:val="2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61.1</w:t>
            </w:r>
          </w:p>
        </w:tc>
        <w:tc>
          <w:tcPr>
            <w:tcW w:w="1036"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667" w:type="dxa"/>
            <w:shd w:val="clear" w:color="auto" w:fill="auto"/>
            <w:vAlign w:val="center"/>
          </w:tcPr>
          <w:p>
            <w:pPr>
              <w:pStyle w:val="2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numPr>
          <w:ilvl w:val="0"/>
          <w:numId w:val="5"/>
        </w:numPr>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rPr>
        <w:t>敏感点噪声影响预测</w:t>
      </w:r>
    </w:p>
    <w:p>
      <w:pPr>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项目区200m范围内最近的环境保护目标为</w:t>
      </w:r>
      <w:r>
        <w:rPr>
          <w:rFonts w:hint="eastAsia" w:ascii="Times New Roman" w:hAnsi="Times New Roman" w:eastAsia="宋体" w:cs="Times New Roman"/>
          <w:color w:val="auto"/>
          <w:sz w:val="24"/>
          <w:highlight w:val="none"/>
          <w:lang w:val="en-US" w:eastAsia="zh-CN"/>
        </w:rPr>
        <w:t>东面70m处的三月三散户和东面165m处的三月三村，</w:t>
      </w:r>
      <w:r>
        <w:rPr>
          <w:rFonts w:ascii="Times New Roman" w:hAnsi="Times New Roman" w:eastAsia="宋体" w:cs="Times New Roman"/>
          <w:color w:val="auto"/>
          <w:sz w:val="24"/>
          <w:highlight w:val="none"/>
        </w:rPr>
        <w:t>项目对关心点产生贡献值及声环境质量预测结果见下表。</w:t>
      </w:r>
    </w:p>
    <w:p>
      <w:pPr>
        <w:spacing w:line="288" w:lineRule="auto"/>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表5.2-</w:t>
      </w:r>
      <w:r>
        <w:rPr>
          <w:rFonts w:hint="eastAsia" w:ascii="Times New Roman" w:hAnsi="Times New Roman" w:eastAsia="宋体" w:cs="Times New Roman"/>
          <w:b/>
          <w:bCs/>
          <w:color w:val="auto"/>
          <w:sz w:val="24"/>
          <w:szCs w:val="24"/>
          <w:highlight w:val="none"/>
          <w:lang w:val="en-US" w:eastAsia="zh-CN"/>
        </w:rPr>
        <w:t>15</w:t>
      </w:r>
      <w:r>
        <w:rPr>
          <w:rFonts w:hint="eastAsia" w:ascii="Times New Roman" w:hAnsi="Times New Roman" w:eastAsia="宋体" w:cs="Times New Roman"/>
          <w:b/>
          <w:bCs/>
          <w:color w:val="auto"/>
          <w:sz w:val="24"/>
          <w:szCs w:val="24"/>
          <w:highlight w:val="none"/>
        </w:rPr>
        <w:t xml:space="preserve">  对敏感点噪声预测结果  dB(A)</w:t>
      </w:r>
    </w:p>
    <w:tbl>
      <w:tblPr>
        <w:tblStyle w:val="55"/>
        <w:tblW w:w="8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45"/>
        <w:gridCol w:w="696"/>
        <w:gridCol w:w="641"/>
        <w:gridCol w:w="668"/>
        <w:gridCol w:w="682"/>
        <w:gridCol w:w="654"/>
        <w:gridCol w:w="696"/>
        <w:gridCol w:w="750"/>
        <w:gridCol w:w="654"/>
        <w:gridCol w:w="682"/>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69" w:type="dxa"/>
            <w:vMerge w:val="restart"/>
            <w:vAlign w:val="center"/>
          </w:tcPr>
          <w:p>
            <w:pPr>
              <w:pStyle w:val="496"/>
              <w:spacing w:line="240" w:lineRule="auto"/>
              <w:rPr>
                <w:rFonts w:ascii="Times New Roman" w:hAnsi="Times New Roman"/>
                <w:bCs/>
                <w:smallCaps w:val="0"/>
                <w:color w:val="auto"/>
                <w:sz w:val="21"/>
                <w:szCs w:val="21"/>
                <w:highlight w:val="none"/>
              </w:rPr>
            </w:pPr>
            <w:r>
              <w:rPr>
                <w:rFonts w:hint="eastAsia" w:ascii="Times New Roman" w:hAnsi="Times New Roman"/>
                <w:bCs/>
                <w:smallCaps w:val="0"/>
                <w:color w:val="auto"/>
                <w:sz w:val="21"/>
                <w:szCs w:val="21"/>
                <w:highlight w:val="none"/>
                <w:lang w:val="en-US" w:eastAsia="zh-CN"/>
              </w:rPr>
              <w:t>敏感</w:t>
            </w:r>
            <w:r>
              <w:rPr>
                <w:rFonts w:ascii="Times New Roman" w:hAnsi="Times New Roman"/>
                <w:bCs/>
                <w:smallCaps w:val="0"/>
                <w:color w:val="auto"/>
                <w:sz w:val="21"/>
                <w:szCs w:val="21"/>
                <w:highlight w:val="none"/>
              </w:rPr>
              <w:t>点</w:t>
            </w:r>
          </w:p>
        </w:tc>
        <w:tc>
          <w:tcPr>
            <w:tcW w:w="845" w:type="dxa"/>
            <w:vMerge w:val="restart"/>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与项目位置关系</w:t>
            </w:r>
          </w:p>
        </w:tc>
        <w:tc>
          <w:tcPr>
            <w:tcW w:w="1337" w:type="dxa"/>
            <w:gridSpan w:val="2"/>
            <w:vAlign w:val="center"/>
          </w:tcPr>
          <w:p>
            <w:pPr>
              <w:pStyle w:val="496"/>
              <w:spacing w:line="240" w:lineRule="auto"/>
              <w:rPr>
                <w:rFonts w:hint="default" w:ascii="Times New Roman" w:hAnsi="Times New Roman" w:eastAsia="宋体"/>
                <w:bCs/>
                <w:smallCaps w:val="0"/>
                <w:color w:val="auto"/>
                <w:sz w:val="21"/>
                <w:szCs w:val="21"/>
                <w:highlight w:val="none"/>
                <w:lang w:val="en-US" w:eastAsia="zh-CN"/>
              </w:rPr>
            </w:pPr>
            <w:r>
              <w:rPr>
                <w:rFonts w:ascii="Times New Roman" w:hAnsi="Times New Roman"/>
                <w:bCs/>
                <w:smallCaps w:val="0"/>
                <w:color w:val="auto"/>
                <w:sz w:val="21"/>
                <w:szCs w:val="21"/>
                <w:highlight w:val="none"/>
              </w:rPr>
              <w:t>背景值</w:t>
            </w:r>
            <w:r>
              <w:rPr>
                <w:rFonts w:hint="eastAsia" w:ascii="Times New Roman" w:hAnsi="Times New Roman"/>
                <w:bCs/>
                <w:smallCaps w:val="0"/>
                <w:color w:val="auto"/>
                <w:sz w:val="21"/>
                <w:szCs w:val="21"/>
                <w:highlight w:val="none"/>
                <w:lang w:val="en-US" w:eastAsia="zh-CN"/>
              </w:rPr>
              <w:t>/dB（A）</w:t>
            </w:r>
          </w:p>
        </w:tc>
        <w:tc>
          <w:tcPr>
            <w:tcW w:w="1350" w:type="dxa"/>
            <w:gridSpan w:val="2"/>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贡献值</w:t>
            </w:r>
            <w:r>
              <w:rPr>
                <w:rFonts w:hint="eastAsia" w:ascii="Times New Roman" w:hAnsi="Times New Roman"/>
                <w:bCs/>
                <w:smallCaps w:val="0"/>
                <w:color w:val="auto"/>
                <w:sz w:val="21"/>
                <w:szCs w:val="21"/>
                <w:highlight w:val="none"/>
                <w:lang w:val="en-US" w:eastAsia="zh-CN"/>
              </w:rPr>
              <w:t>/dB（A）</w:t>
            </w:r>
          </w:p>
        </w:tc>
        <w:tc>
          <w:tcPr>
            <w:tcW w:w="1350" w:type="dxa"/>
            <w:gridSpan w:val="2"/>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预测值</w:t>
            </w:r>
            <w:r>
              <w:rPr>
                <w:rFonts w:hint="eastAsia" w:ascii="Times New Roman" w:hAnsi="Times New Roman"/>
                <w:bCs/>
                <w:smallCaps w:val="0"/>
                <w:color w:val="auto"/>
                <w:sz w:val="21"/>
                <w:szCs w:val="21"/>
                <w:highlight w:val="none"/>
                <w:lang w:val="en-US" w:eastAsia="zh-CN"/>
              </w:rPr>
              <w:t>/dB（A）</w:t>
            </w:r>
          </w:p>
        </w:tc>
        <w:tc>
          <w:tcPr>
            <w:tcW w:w="1404" w:type="dxa"/>
            <w:gridSpan w:val="2"/>
            <w:vAlign w:val="center"/>
          </w:tcPr>
          <w:p>
            <w:pPr>
              <w:pStyle w:val="496"/>
              <w:spacing w:line="240" w:lineRule="auto"/>
              <w:rPr>
                <w:rFonts w:hint="default" w:ascii="Times New Roman" w:hAnsi="Times New Roman" w:eastAsia="宋体"/>
                <w:bCs/>
                <w:smallCaps w:val="0"/>
                <w:color w:val="auto"/>
                <w:sz w:val="21"/>
                <w:szCs w:val="21"/>
                <w:highlight w:val="none"/>
                <w:lang w:val="en-US" w:eastAsia="zh-CN"/>
              </w:rPr>
            </w:pPr>
            <w:r>
              <w:rPr>
                <w:rFonts w:hint="eastAsia" w:ascii="Times New Roman" w:hAnsi="Times New Roman"/>
                <w:bCs/>
                <w:smallCaps w:val="0"/>
                <w:color w:val="auto"/>
                <w:sz w:val="21"/>
                <w:szCs w:val="21"/>
                <w:highlight w:val="none"/>
                <w:lang w:val="en-US" w:eastAsia="zh-CN"/>
              </w:rPr>
              <w:t>较现状增量/dB（A）</w:t>
            </w:r>
          </w:p>
        </w:tc>
        <w:tc>
          <w:tcPr>
            <w:tcW w:w="1358" w:type="dxa"/>
            <w:gridSpan w:val="2"/>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9" w:type="dxa"/>
            <w:vMerge w:val="continue"/>
            <w:vAlign w:val="center"/>
          </w:tcPr>
          <w:p>
            <w:pPr>
              <w:pStyle w:val="496"/>
              <w:spacing w:line="240" w:lineRule="auto"/>
              <w:rPr>
                <w:rFonts w:ascii="Times New Roman" w:hAnsi="Times New Roman"/>
                <w:bCs/>
                <w:smallCaps w:val="0"/>
                <w:color w:val="auto"/>
                <w:sz w:val="21"/>
                <w:szCs w:val="21"/>
                <w:highlight w:val="none"/>
              </w:rPr>
            </w:pPr>
          </w:p>
        </w:tc>
        <w:tc>
          <w:tcPr>
            <w:tcW w:w="845" w:type="dxa"/>
            <w:vMerge w:val="continue"/>
            <w:vAlign w:val="center"/>
          </w:tcPr>
          <w:p>
            <w:pPr>
              <w:pStyle w:val="496"/>
              <w:spacing w:line="240" w:lineRule="auto"/>
              <w:rPr>
                <w:rFonts w:ascii="Times New Roman" w:hAnsi="Times New Roman"/>
                <w:bCs/>
                <w:smallCaps w:val="0"/>
                <w:color w:val="auto"/>
                <w:sz w:val="21"/>
                <w:szCs w:val="21"/>
                <w:highlight w:val="none"/>
              </w:rPr>
            </w:pPr>
          </w:p>
        </w:tc>
        <w:tc>
          <w:tcPr>
            <w:tcW w:w="696"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昼间</w:t>
            </w:r>
          </w:p>
        </w:tc>
        <w:tc>
          <w:tcPr>
            <w:tcW w:w="641"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夜间</w:t>
            </w:r>
          </w:p>
        </w:tc>
        <w:tc>
          <w:tcPr>
            <w:tcW w:w="668"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昼间</w:t>
            </w:r>
          </w:p>
        </w:tc>
        <w:tc>
          <w:tcPr>
            <w:tcW w:w="682"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夜间</w:t>
            </w:r>
          </w:p>
        </w:tc>
        <w:tc>
          <w:tcPr>
            <w:tcW w:w="654"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昼间</w:t>
            </w:r>
          </w:p>
        </w:tc>
        <w:tc>
          <w:tcPr>
            <w:tcW w:w="696"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夜间</w:t>
            </w:r>
          </w:p>
        </w:tc>
        <w:tc>
          <w:tcPr>
            <w:tcW w:w="750" w:type="dxa"/>
            <w:vAlign w:val="center"/>
          </w:tcPr>
          <w:p>
            <w:pPr>
              <w:pStyle w:val="496"/>
              <w:spacing w:line="240" w:lineRule="auto"/>
              <w:rPr>
                <w:rFonts w:hint="eastAsia" w:ascii="Times New Roman" w:hAnsi="Times New Roman" w:eastAsia="宋体"/>
                <w:bCs/>
                <w:smallCaps w:val="0"/>
                <w:color w:val="auto"/>
                <w:sz w:val="21"/>
                <w:szCs w:val="21"/>
                <w:highlight w:val="none"/>
                <w:lang w:val="en-US" w:eastAsia="zh-CN"/>
              </w:rPr>
            </w:pPr>
            <w:r>
              <w:rPr>
                <w:rFonts w:hint="eastAsia" w:ascii="Times New Roman" w:hAnsi="Times New Roman"/>
                <w:bCs/>
                <w:smallCaps w:val="0"/>
                <w:color w:val="auto"/>
                <w:sz w:val="21"/>
                <w:szCs w:val="21"/>
                <w:highlight w:val="none"/>
                <w:lang w:val="en-US" w:eastAsia="zh-CN"/>
              </w:rPr>
              <w:t>昼间</w:t>
            </w:r>
          </w:p>
        </w:tc>
        <w:tc>
          <w:tcPr>
            <w:tcW w:w="654" w:type="dxa"/>
            <w:vAlign w:val="center"/>
          </w:tcPr>
          <w:p>
            <w:pPr>
              <w:pStyle w:val="496"/>
              <w:spacing w:line="240" w:lineRule="auto"/>
              <w:rPr>
                <w:rFonts w:hint="eastAsia" w:ascii="Times New Roman" w:hAnsi="Times New Roman" w:eastAsia="宋体"/>
                <w:bCs/>
                <w:smallCaps w:val="0"/>
                <w:color w:val="auto"/>
                <w:sz w:val="21"/>
                <w:szCs w:val="21"/>
                <w:highlight w:val="none"/>
                <w:lang w:val="en-US" w:eastAsia="zh-CN"/>
              </w:rPr>
            </w:pPr>
            <w:r>
              <w:rPr>
                <w:rFonts w:hint="eastAsia" w:ascii="Times New Roman" w:hAnsi="Times New Roman"/>
                <w:bCs/>
                <w:smallCaps w:val="0"/>
                <w:color w:val="auto"/>
                <w:sz w:val="21"/>
                <w:szCs w:val="21"/>
                <w:highlight w:val="none"/>
                <w:lang w:val="en-US" w:eastAsia="zh-CN"/>
              </w:rPr>
              <w:t>夜间</w:t>
            </w:r>
          </w:p>
        </w:tc>
        <w:tc>
          <w:tcPr>
            <w:tcW w:w="682"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昼间</w:t>
            </w:r>
          </w:p>
        </w:tc>
        <w:tc>
          <w:tcPr>
            <w:tcW w:w="676" w:type="dxa"/>
            <w:vAlign w:val="center"/>
          </w:tcPr>
          <w:p>
            <w:pPr>
              <w:pStyle w:val="496"/>
              <w:spacing w:line="240" w:lineRule="auto"/>
              <w:rPr>
                <w:rFonts w:ascii="Times New Roman" w:hAnsi="Times New Roman"/>
                <w:bCs/>
                <w:smallCaps w:val="0"/>
                <w:color w:val="auto"/>
                <w:sz w:val="21"/>
                <w:szCs w:val="21"/>
                <w:highlight w:val="none"/>
              </w:rPr>
            </w:pPr>
            <w:r>
              <w:rPr>
                <w:rFonts w:ascii="Times New Roman" w:hAnsi="Times New Roman"/>
                <w:bCs/>
                <w:smallCaps w:val="0"/>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pStyle w:val="496"/>
              <w:spacing w:line="240" w:lineRule="auto"/>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三月三散户</w:t>
            </w:r>
          </w:p>
        </w:tc>
        <w:tc>
          <w:tcPr>
            <w:tcW w:w="845" w:type="dxa"/>
            <w:vAlign w:val="center"/>
          </w:tcPr>
          <w:p>
            <w:pPr>
              <w:pStyle w:val="496"/>
              <w:spacing w:line="240" w:lineRule="auto"/>
              <w:rPr>
                <w:rFonts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东</w:t>
            </w:r>
            <w:r>
              <w:rPr>
                <w:rFonts w:ascii="Times New Roman" w:hAnsi="Times New Roman"/>
                <w:smallCaps w:val="0"/>
                <w:color w:val="auto"/>
                <w:sz w:val="21"/>
                <w:szCs w:val="21"/>
                <w:highlight w:val="none"/>
              </w:rPr>
              <w:t>面</w:t>
            </w:r>
            <w:r>
              <w:rPr>
                <w:rFonts w:hint="eastAsia" w:ascii="Times New Roman" w:hAnsi="Times New Roman"/>
                <w:smallCaps w:val="0"/>
                <w:color w:val="auto"/>
                <w:sz w:val="21"/>
                <w:szCs w:val="21"/>
                <w:highlight w:val="none"/>
                <w:lang w:val="en-US" w:eastAsia="zh-CN"/>
              </w:rPr>
              <w:t>70</w:t>
            </w:r>
            <w:r>
              <w:rPr>
                <w:rFonts w:ascii="Times New Roman" w:hAnsi="Times New Roman"/>
                <w:smallCaps w:val="0"/>
                <w:color w:val="auto"/>
                <w:sz w:val="21"/>
                <w:szCs w:val="21"/>
                <w:highlight w:val="none"/>
              </w:rPr>
              <w:t>m</w:t>
            </w:r>
          </w:p>
        </w:tc>
        <w:tc>
          <w:tcPr>
            <w:tcW w:w="696" w:type="dxa"/>
            <w:vAlign w:val="center"/>
          </w:tcPr>
          <w:p>
            <w:pPr>
              <w:pStyle w:val="496"/>
              <w:spacing w:line="240" w:lineRule="auto"/>
              <w:rPr>
                <w:rFonts w:hint="default" w:ascii="Times New Roman" w:hAnsi="Times New Roman"/>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58</w:t>
            </w:r>
          </w:p>
        </w:tc>
        <w:tc>
          <w:tcPr>
            <w:tcW w:w="641" w:type="dxa"/>
            <w:vAlign w:val="center"/>
          </w:tcPr>
          <w:p>
            <w:pPr>
              <w:pStyle w:val="496"/>
              <w:spacing w:line="240" w:lineRule="auto"/>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49</w:t>
            </w:r>
          </w:p>
        </w:tc>
        <w:tc>
          <w:tcPr>
            <w:tcW w:w="668" w:type="dxa"/>
            <w:vAlign w:val="center"/>
          </w:tcPr>
          <w:p>
            <w:pPr>
              <w:spacing w:line="240" w:lineRule="auto"/>
              <w:jc w:val="center"/>
              <w:rPr>
                <w:rFonts w:ascii="Times New Roman" w:hAnsi="Times New Roman"/>
                <w:smallCaps w:val="0"/>
                <w:color w:val="auto"/>
                <w:kern w:val="0"/>
                <w:sz w:val="21"/>
                <w:szCs w:val="21"/>
                <w:highlight w:val="none"/>
              </w:rPr>
            </w:pPr>
            <w:r>
              <w:rPr>
                <w:rFonts w:hint="eastAsia" w:ascii="Times New Roman" w:hAnsi="Times New Roman"/>
                <w:smallCaps w:val="0"/>
                <w:color w:val="auto"/>
                <w:kern w:val="0"/>
                <w:sz w:val="21"/>
                <w:szCs w:val="21"/>
                <w:highlight w:val="none"/>
                <w:lang w:val="en-US" w:eastAsia="zh-CN"/>
              </w:rPr>
              <w:t>27.0</w:t>
            </w:r>
          </w:p>
        </w:tc>
        <w:tc>
          <w:tcPr>
            <w:tcW w:w="682" w:type="dxa"/>
            <w:vAlign w:val="center"/>
          </w:tcPr>
          <w:p>
            <w:pPr>
              <w:spacing w:line="240" w:lineRule="auto"/>
              <w:jc w:val="center"/>
              <w:rPr>
                <w:rFonts w:hint="eastAsia" w:ascii="Times New Roman" w:hAnsi="Times New Roman" w:eastAsia="宋体"/>
                <w:smallCaps w:val="0"/>
                <w:color w:val="auto"/>
                <w:kern w:val="0"/>
                <w:sz w:val="21"/>
                <w:szCs w:val="21"/>
                <w:highlight w:val="none"/>
                <w:lang w:val="en-US" w:eastAsia="zh-CN"/>
              </w:rPr>
            </w:pPr>
            <w:r>
              <w:rPr>
                <w:rFonts w:hint="eastAsia" w:ascii="Times New Roman" w:hAnsi="Times New Roman"/>
                <w:smallCaps w:val="0"/>
                <w:color w:val="auto"/>
                <w:kern w:val="0"/>
                <w:sz w:val="21"/>
                <w:szCs w:val="21"/>
                <w:highlight w:val="none"/>
                <w:lang w:val="en-US" w:eastAsia="zh-CN"/>
              </w:rPr>
              <w:t>0</w:t>
            </w:r>
          </w:p>
        </w:tc>
        <w:tc>
          <w:tcPr>
            <w:tcW w:w="654" w:type="dxa"/>
            <w:vAlign w:val="center"/>
          </w:tcPr>
          <w:p>
            <w:pPr>
              <w:spacing w:line="240" w:lineRule="auto"/>
              <w:jc w:val="center"/>
              <w:rPr>
                <w:rFonts w:hint="default" w:ascii="Times New Roman" w:hAnsi="Times New Roman" w:eastAsia="宋体"/>
                <w:smallCaps w:val="0"/>
                <w:color w:val="auto"/>
                <w:kern w:val="0"/>
                <w:sz w:val="21"/>
                <w:szCs w:val="21"/>
                <w:highlight w:val="none"/>
                <w:lang w:val="en-US" w:eastAsia="zh-CN"/>
              </w:rPr>
            </w:pPr>
            <w:r>
              <w:rPr>
                <w:rFonts w:hint="eastAsia" w:ascii="Times New Roman" w:hAnsi="Times New Roman"/>
                <w:smallCaps w:val="0"/>
                <w:color w:val="auto"/>
                <w:kern w:val="0"/>
                <w:sz w:val="21"/>
                <w:szCs w:val="21"/>
                <w:highlight w:val="none"/>
                <w:lang w:val="en-US" w:eastAsia="zh-CN"/>
              </w:rPr>
              <w:t>58.0</w:t>
            </w:r>
          </w:p>
        </w:tc>
        <w:tc>
          <w:tcPr>
            <w:tcW w:w="696" w:type="dxa"/>
            <w:vAlign w:val="center"/>
          </w:tcPr>
          <w:p>
            <w:pPr>
              <w:spacing w:line="240" w:lineRule="auto"/>
              <w:jc w:val="center"/>
              <w:rPr>
                <w:rFonts w:hint="default" w:ascii="Times New Roman" w:hAnsi="Times New Roman" w:eastAsia="宋体"/>
                <w:smallCaps w:val="0"/>
                <w:color w:val="auto"/>
                <w:kern w:val="0"/>
                <w:sz w:val="21"/>
                <w:szCs w:val="21"/>
                <w:highlight w:val="none"/>
                <w:lang w:val="en-US" w:eastAsia="zh-CN"/>
              </w:rPr>
            </w:pPr>
            <w:r>
              <w:rPr>
                <w:rFonts w:hint="eastAsia" w:ascii="Times New Roman" w:hAnsi="Times New Roman"/>
                <w:smallCaps w:val="0"/>
                <w:color w:val="auto"/>
                <w:kern w:val="0"/>
                <w:sz w:val="21"/>
                <w:szCs w:val="21"/>
                <w:highlight w:val="none"/>
                <w:lang w:val="en-US" w:eastAsia="zh-CN"/>
              </w:rPr>
              <w:t>49</w:t>
            </w:r>
          </w:p>
        </w:tc>
        <w:tc>
          <w:tcPr>
            <w:tcW w:w="750" w:type="dxa"/>
            <w:vAlign w:val="center"/>
          </w:tcPr>
          <w:p>
            <w:pPr>
              <w:spacing w:line="240" w:lineRule="auto"/>
              <w:jc w:val="center"/>
              <w:rPr>
                <w:rFonts w:hint="default" w:ascii="Times New Roman" w:hAnsi="Times New Roman"/>
                <w:smallCaps w:val="0"/>
                <w:color w:val="auto"/>
                <w:kern w:val="0"/>
                <w:sz w:val="21"/>
                <w:szCs w:val="21"/>
                <w:highlight w:val="none"/>
                <w:lang w:val="en-US" w:eastAsia="zh-CN"/>
              </w:rPr>
            </w:pPr>
            <w:r>
              <w:rPr>
                <w:rFonts w:hint="eastAsia"/>
                <w:smallCaps w:val="0"/>
                <w:color w:val="auto"/>
                <w:kern w:val="0"/>
                <w:sz w:val="21"/>
                <w:szCs w:val="21"/>
                <w:highlight w:val="none"/>
                <w:lang w:val="en-US" w:eastAsia="zh-CN"/>
              </w:rPr>
              <w:t>0</w:t>
            </w:r>
          </w:p>
        </w:tc>
        <w:tc>
          <w:tcPr>
            <w:tcW w:w="654" w:type="dxa"/>
            <w:vAlign w:val="center"/>
          </w:tcPr>
          <w:p>
            <w:pPr>
              <w:spacing w:line="240" w:lineRule="auto"/>
              <w:jc w:val="center"/>
              <w:rPr>
                <w:rFonts w:hint="default" w:ascii="Times New Roman" w:hAnsi="Times New Roman"/>
                <w:smallCaps w:val="0"/>
                <w:color w:val="auto"/>
                <w:kern w:val="0"/>
                <w:sz w:val="21"/>
                <w:szCs w:val="21"/>
                <w:highlight w:val="none"/>
                <w:lang w:val="en-US" w:eastAsia="zh-CN"/>
              </w:rPr>
            </w:pPr>
            <w:r>
              <w:rPr>
                <w:rFonts w:hint="eastAsia"/>
                <w:smallCaps w:val="0"/>
                <w:color w:val="auto"/>
                <w:kern w:val="0"/>
                <w:sz w:val="21"/>
                <w:szCs w:val="21"/>
                <w:highlight w:val="none"/>
                <w:lang w:val="en-US" w:eastAsia="zh-CN"/>
              </w:rPr>
              <w:t>0</w:t>
            </w:r>
          </w:p>
        </w:tc>
        <w:tc>
          <w:tcPr>
            <w:tcW w:w="682" w:type="dxa"/>
            <w:vAlign w:val="center"/>
          </w:tcPr>
          <w:p>
            <w:pPr>
              <w:pStyle w:val="496"/>
              <w:spacing w:line="240" w:lineRule="auto"/>
              <w:rPr>
                <w:rFonts w:ascii="Times New Roman" w:hAnsi="Times New Roman"/>
                <w:smallCaps w:val="0"/>
                <w:color w:val="auto"/>
                <w:sz w:val="21"/>
                <w:szCs w:val="21"/>
                <w:highlight w:val="none"/>
              </w:rPr>
            </w:pPr>
            <w:r>
              <w:rPr>
                <w:rFonts w:ascii="Times New Roman" w:hAnsi="Times New Roman"/>
                <w:smallCaps w:val="0"/>
                <w:color w:val="auto"/>
                <w:sz w:val="21"/>
                <w:szCs w:val="21"/>
                <w:highlight w:val="none"/>
              </w:rPr>
              <w:t>达标</w:t>
            </w:r>
          </w:p>
        </w:tc>
        <w:tc>
          <w:tcPr>
            <w:tcW w:w="676" w:type="dxa"/>
            <w:vAlign w:val="center"/>
          </w:tcPr>
          <w:p>
            <w:pPr>
              <w:pStyle w:val="496"/>
              <w:spacing w:line="240" w:lineRule="auto"/>
              <w:rPr>
                <w:rFonts w:ascii="Times New Roman" w:hAnsi="Times New Roman"/>
                <w:smallCaps w:val="0"/>
                <w:color w:val="auto"/>
                <w:sz w:val="21"/>
                <w:szCs w:val="21"/>
                <w:highlight w:val="none"/>
              </w:rPr>
            </w:pPr>
            <w:r>
              <w:rPr>
                <w:rFonts w:ascii="Times New Roman" w:hAnsi="Times New Roman"/>
                <w:smallCaps w:val="0"/>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pStyle w:val="496"/>
              <w:spacing w:line="240" w:lineRule="auto"/>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三月三村</w:t>
            </w:r>
          </w:p>
        </w:tc>
        <w:tc>
          <w:tcPr>
            <w:tcW w:w="845" w:type="dxa"/>
            <w:vAlign w:val="center"/>
          </w:tcPr>
          <w:p>
            <w:pPr>
              <w:pStyle w:val="496"/>
              <w:spacing w:line="240" w:lineRule="auto"/>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东面165m</w:t>
            </w:r>
          </w:p>
        </w:tc>
        <w:tc>
          <w:tcPr>
            <w:tcW w:w="696" w:type="dxa"/>
            <w:vAlign w:val="center"/>
          </w:tcPr>
          <w:p>
            <w:pPr>
              <w:pStyle w:val="496"/>
              <w:spacing w:line="240" w:lineRule="auto"/>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58</w:t>
            </w:r>
          </w:p>
        </w:tc>
        <w:tc>
          <w:tcPr>
            <w:tcW w:w="641" w:type="dxa"/>
            <w:vAlign w:val="center"/>
          </w:tcPr>
          <w:p>
            <w:pPr>
              <w:pStyle w:val="496"/>
              <w:spacing w:line="240" w:lineRule="auto"/>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49</w:t>
            </w:r>
          </w:p>
        </w:tc>
        <w:tc>
          <w:tcPr>
            <w:tcW w:w="668" w:type="dxa"/>
            <w:vAlign w:val="center"/>
          </w:tcPr>
          <w:p>
            <w:pPr>
              <w:spacing w:line="240" w:lineRule="auto"/>
              <w:jc w:val="center"/>
              <w:rPr>
                <w:rFonts w:hint="default" w:ascii="Times New Roman" w:hAnsi="Times New Roman"/>
                <w:smallCaps w:val="0"/>
                <w:color w:val="auto"/>
                <w:kern w:val="0"/>
                <w:sz w:val="21"/>
                <w:szCs w:val="21"/>
                <w:highlight w:val="none"/>
                <w:lang w:val="en-US" w:eastAsia="zh-CN"/>
              </w:rPr>
            </w:pPr>
            <w:r>
              <w:rPr>
                <w:rFonts w:hint="eastAsia" w:ascii="Times New Roman" w:hAnsi="Times New Roman"/>
                <w:smallCaps w:val="0"/>
                <w:color w:val="auto"/>
                <w:kern w:val="0"/>
                <w:sz w:val="21"/>
                <w:szCs w:val="21"/>
                <w:highlight w:val="none"/>
                <w:lang w:val="en-US" w:eastAsia="zh-CN"/>
              </w:rPr>
              <w:t>25.8</w:t>
            </w:r>
          </w:p>
        </w:tc>
        <w:tc>
          <w:tcPr>
            <w:tcW w:w="682" w:type="dxa"/>
            <w:vAlign w:val="center"/>
          </w:tcPr>
          <w:p>
            <w:pPr>
              <w:spacing w:line="240" w:lineRule="auto"/>
              <w:jc w:val="center"/>
              <w:rPr>
                <w:rFonts w:hint="default" w:ascii="Times New Roman" w:hAnsi="Times New Roman"/>
                <w:smallCaps w:val="0"/>
                <w:color w:val="auto"/>
                <w:kern w:val="0"/>
                <w:sz w:val="21"/>
                <w:szCs w:val="21"/>
                <w:highlight w:val="none"/>
                <w:lang w:val="en-US" w:eastAsia="zh-CN"/>
              </w:rPr>
            </w:pPr>
            <w:r>
              <w:rPr>
                <w:rFonts w:hint="eastAsia" w:ascii="Times New Roman" w:hAnsi="Times New Roman"/>
                <w:smallCaps w:val="0"/>
                <w:color w:val="auto"/>
                <w:kern w:val="0"/>
                <w:sz w:val="21"/>
                <w:szCs w:val="21"/>
                <w:highlight w:val="none"/>
                <w:lang w:val="en-US" w:eastAsia="zh-CN"/>
              </w:rPr>
              <w:t>0</w:t>
            </w:r>
          </w:p>
        </w:tc>
        <w:tc>
          <w:tcPr>
            <w:tcW w:w="654" w:type="dxa"/>
            <w:vAlign w:val="center"/>
          </w:tcPr>
          <w:p>
            <w:pPr>
              <w:spacing w:line="240" w:lineRule="auto"/>
              <w:jc w:val="center"/>
              <w:rPr>
                <w:rFonts w:hint="default" w:ascii="Times New Roman" w:hAnsi="Times New Roman" w:eastAsia="宋体"/>
                <w:smallCaps w:val="0"/>
                <w:color w:val="auto"/>
                <w:kern w:val="0"/>
                <w:sz w:val="21"/>
                <w:szCs w:val="21"/>
                <w:highlight w:val="none"/>
                <w:lang w:val="en-US" w:eastAsia="zh-CN"/>
              </w:rPr>
            </w:pPr>
            <w:r>
              <w:rPr>
                <w:rFonts w:hint="eastAsia" w:ascii="Times New Roman" w:hAnsi="Times New Roman"/>
                <w:smallCaps w:val="0"/>
                <w:color w:val="auto"/>
                <w:kern w:val="0"/>
                <w:sz w:val="21"/>
                <w:szCs w:val="21"/>
                <w:highlight w:val="none"/>
                <w:lang w:val="en-US" w:eastAsia="zh-CN"/>
              </w:rPr>
              <w:t>58.0</w:t>
            </w:r>
          </w:p>
        </w:tc>
        <w:tc>
          <w:tcPr>
            <w:tcW w:w="696" w:type="dxa"/>
            <w:vAlign w:val="center"/>
          </w:tcPr>
          <w:p>
            <w:pPr>
              <w:spacing w:line="240" w:lineRule="auto"/>
              <w:jc w:val="center"/>
              <w:rPr>
                <w:rFonts w:hint="default" w:ascii="Times New Roman" w:hAnsi="Times New Roman" w:eastAsia="宋体"/>
                <w:smallCaps w:val="0"/>
                <w:color w:val="auto"/>
                <w:kern w:val="0"/>
                <w:sz w:val="21"/>
                <w:szCs w:val="21"/>
                <w:highlight w:val="none"/>
                <w:lang w:val="en-US" w:eastAsia="zh-CN"/>
              </w:rPr>
            </w:pPr>
            <w:r>
              <w:rPr>
                <w:rFonts w:hint="eastAsia" w:ascii="Times New Roman" w:hAnsi="Times New Roman"/>
                <w:smallCaps w:val="0"/>
                <w:color w:val="auto"/>
                <w:kern w:val="0"/>
                <w:sz w:val="21"/>
                <w:szCs w:val="21"/>
                <w:highlight w:val="none"/>
                <w:lang w:val="en-US" w:eastAsia="zh-CN"/>
              </w:rPr>
              <w:t>49</w:t>
            </w:r>
          </w:p>
        </w:tc>
        <w:tc>
          <w:tcPr>
            <w:tcW w:w="750" w:type="dxa"/>
            <w:vAlign w:val="center"/>
          </w:tcPr>
          <w:p>
            <w:pPr>
              <w:spacing w:line="240" w:lineRule="auto"/>
              <w:jc w:val="center"/>
              <w:rPr>
                <w:rFonts w:hint="default" w:ascii="Times New Roman" w:hAnsi="Times New Roman"/>
                <w:smallCaps w:val="0"/>
                <w:color w:val="auto"/>
                <w:kern w:val="0"/>
                <w:sz w:val="21"/>
                <w:szCs w:val="21"/>
                <w:highlight w:val="none"/>
                <w:lang w:val="en-US" w:eastAsia="zh-CN"/>
              </w:rPr>
            </w:pPr>
            <w:r>
              <w:rPr>
                <w:rFonts w:hint="eastAsia"/>
                <w:smallCaps w:val="0"/>
                <w:color w:val="auto"/>
                <w:kern w:val="0"/>
                <w:sz w:val="21"/>
                <w:szCs w:val="21"/>
                <w:highlight w:val="none"/>
                <w:lang w:val="en-US" w:eastAsia="zh-CN"/>
              </w:rPr>
              <w:t>0</w:t>
            </w:r>
          </w:p>
        </w:tc>
        <w:tc>
          <w:tcPr>
            <w:tcW w:w="654" w:type="dxa"/>
            <w:vAlign w:val="center"/>
          </w:tcPr>
          <w:p>
            <w:pPr>
              <w:spacing w:line="240" w:lineRule="auto"/>
              <w:jc w:val="center"/>
              <w:rPr>
                <w:rFonts w:hint="default" w:ascii="Times New Roman" w:hAnsi="Times New Roman"/>
                <w:smallCaps w:val="0"/>
                <w:color w:val="auto"/>
                <w:kern w:val="0"/>
                <w:sz w:val="21"/>
                <w:szCs w:val="21"/>
                <w:highlight w:val="none"/>
                <w:lang w:val="en-US" w:eastAsia="zh-CN"/>
              </w:rPr>
            </w:pPr>
            <w:r>
              <w:rPr>
                <w:rFonts w:hint="eastAsia"/>
                <w:smallCaps w:val="0"/>
                <w:color w:val="auto"/>
                <w:kern w:val="0"/>
                <w:sz w:val="21"/>
                <w:szCs w:val="21"/>
                <w:highlight w:val="none"/>
                <w:lang w:val="en-US" w:eastAsia="zh-CN"/>
              </w:rPr>
              <w:t>0</w:t>
            </w:r>
          </w:p>
        </w:tc>
        <w:tc>
          <w:tcPr>
            <w:tcW w:w="682" w:type="dxa"/>
            <w:vAlign w:val="center"/>
          </w:tcPr>
          <w:p>
            <w:pPr>
              <w:pStyle w:val="496"/>
              <w:spacing w:line="240" w:lineRule="auto"/>
              <w:rPr>
                <w:rFonts w:hint="eastAsia"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达标</w:t>
            </w:r>
          </w:p>
        </w:tc>
        <w:tc>
          <w:tcPr>
            <w:tcW w:w="676" w:type="dxa"/>
            <w:vAlign w:val="center"/>
          </w:tcPr>
          <w:p>
            <w:pPr>
              <w:pStyle w:val="496"/>
              <w:spacing w:line="240" w:lineRule="auto"/>
              <w:rPr>
                <w:rFonts w:hint="eastAsia"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达标</w:t>
            </w:r>
          </w:p>
        </w:tc>
      </w:tr>
    </w:tbl>
    <w:p>
      <w:pPr>
        <w:spacing w:line="360" w:lineRule="auto"/>
        <w:ind w:firstLine="480"/>
        <w:rPr>
          <w:rFonts w:hint="default"/>
          <w:color w:val="auto"/>
          <w:highlight w:val="none"/>
          <w:lang w:val="en-US" w:eastAsia="zh-CN"/>
        </w:rPr>
      </w:pPr>
      <w:r>
        <w:rPr>
          <w:rFonts w:ascii="Times New Roman" w:hAnsi="Times New Roman" w:eastAsia="宋体" w:cs="Times New Roman"/>
          <w:color w:val="auto"/>
          <w:sz w:val="24"/>
          <w:highlight w:val="none"/>
        </w:rPr>
        <w:t>由上表可知，</w:t>
      </w:r>
      <w:r>
        <w:rPr>
          <w:rFonts w:hint="eastAsia" w:ascii="Times New Roman" w:hAnsi="Times New Roman" w:eastAsia="宋体" w:cs="Times New Roman"/>
          <w:color w:val="auto"/>
          <w:sz w:val="24"/>
          <w:highlight w:val="none"/>
          <w:lang w:val="en-US" w:eastAsia="zh-CN"/>
        </w:rPr>
        <w:t>三月三散户和三月三村</w:t>
      </w:r>
      <w:r>
        <w:rPr>
          <w:rFonts w:ascii="Times New Roman" w:hAnsi="Times New Roman" w:eastAsia="宋体" w:cs="Times New Roman"/>
          <w:color w:val="auto"/>
          <w:sz w:val="24"/>
          <w:highlight w:val="none"/>
        </w:rPr>
        <w:t>噪声预测值可达到《声环境质量标准》（GB3095-2008）2类标准。</w:t>
      </w:r>
    </w:p>
    <w:p>
      <w:pPr>
        <w:spacing w:line="360" w:lineRule="auto"/>
        <w:ind w:firstLine="482" w:firstLineChars="200"/>
        <w:rPr>
          <w:b/>
          <w:bCs/>
          <w:color w:val="auto"/>
          <w:sz w:val="24"/>
          <w:highlight w:val="none"/>
        </w:rPr>
      </w:pPr>
      <w:r>
        <w:rPr>
          <w:b/>
          <w:bCs/>
          <w:color w:val="auto"/>
          <w:sz w:val="24"/>
          <w:highlight w:val="none"/>
        </w:rPr>
        <w:t>3、影响分析</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highlight w:val="none"/>
          <w:lang w:val="zh-CN"/>
        </w:rPr>
        <w:t>根据表</w:t>
      </w:r>
      <w:r>
        <w:rPr>
          <w:rFonts w:hint="eastAsia" w:ascii="Times New Roman" w:hAnsi="Times New Roman" w:eastAsia="宋体" w:cs="Times New Roman"/>
          <w:color w:val="auto"/>
          <w:sz w:val="24"/>
          <w:highlight w:val="none"/>
        </w:rPr>
        <w:t>5.2-26</w:t>
      </w:r>
      <w:r>
        <w:rPr>
          <w:rFonts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lang w:val="zh-CN"/>
        </w:rPr>
        <w:t>项目夜间不运营</w:t>
      </w:r>
      <w:r>
        <w:rPr>
          <w:rFonts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lang w:val="zh-CN"/>
        </w:rPr>
        <w:t>昼间</w:t>
      </w:r>
      <w:r>
        <w:rPr>
          <w:rFonts w:hint="eastAsia" w:ascii="Times New Roman" w:hAnsi="Times New Roman" w:eastAsia="宋体" w:cs="Times New Roman"/>
          <w:color w:val="auto"/>
          <w:sz w:val="24"/>
          <w:highlight w:val="none"/>
          <w:lang w:val="en-US" w:eastAsia="zh-CN"/>
        </w:rPr>
        <w:t>北侧</w:t>
      </w:r>
      <w:r>
        <w:rPr>
          <w:rFonts w:ascii="Times New Roman" w:hAnsi="Times New Roman" w:eastAsia="宋体" w:cs="Times New Roman"/>
          <w:color w:val="auto"/>
          <w:sz w:val="24"/>
          <w:highlight w:val="none"/>
          <w:lang w:val="zh-CN"/>
        </w:rPr>
        <w:t>噪声能满足</w:t>
      </w:r>
      <w:r>
        <w:rPr>
          <w:rFonts w:ascii="Times New Roman" w:hAnsi="Times New Roman" w:eastAsia="宋体" w:cs="Times New Roman"/>
          <w:color w:val="auto"/>
          <w:sz w:val="24"/>
          <w:highlight w:val="none"/>
        </w:rPr>
        <w:t>《工业企业厂界环境噪声排放标准》（GB12348-2008）中</w:t>
      </w:r>
      <w:r>
        <w:rPr>
          <w:rFonts w:hint="eastAsia" w:ascii="Times New Roman" w:hAnsi="Times New Roman" w:eastAsia="宋体" w:cs="Times New Roman"/>
          <w:color w:val="auto"/>
          <w:sz w:val="24"/>
          <w:highlight w:val="none"/>
          <w:lang w:val="en-US" w:eastAsia="zh-CN"/>
        </w:rPr>
        <w:t>4</w:t>
      </w:r>
      <w:r>
        <w:rPr>
          <w:rFonts w:ascii="Times New Roman" w:hAnsi="Times New Roman" w:eastAsia="宋体" w:cs="Times New Roman"/>
          <w:color w:val="auto"/>
          <w:sz w:val="24"/>
          <w:highlight w:val="none"/>
          <w:lang w:val="zh-CN"/>
        </w:rPr>
        <w:t>类标准，</w:t>
      </w:r>
      <w:r>
        <w:rPr>
          <w:rFonts w:ascii="Times New Roman" w:hAnsi="Times New Roman" w:eastAsia="宋体" w:cs="Times New Roman"/>
          <w:color w:val="auto"/>
          <w:sz w:val="24"/>
          <w:highlight w:val="none"/>
        </w:rPr>
        <w:t>即</w:t>
      </w:r>
      <w:r>
        <w:rPr>
          <w:rFonts w:ascii="Times New Roman" w:hAnsi="Times New Roman" w:eastAsia="宋体" w:cs="Times New Roman"/>
          <w:color w:val="auto"/>
          <w:sz w:val="24"/>
          <w:highlight w:val="none"/>
          <w:lang w:val="zh-CN"/>
        </w:rPr>
        <w:t>昼间</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70</w:t>
      </w:r>
      <w:r>
        <w:rPr>
          <w:rFonts w:ascii="Times New Roman" w:hAnsi="Times New Roman" w:eastAsia="宋体" w:cs="Times New Roman"/>
          <w:color w:val="auto"/>
          <w:sz w:val="24"/>
          <w:highlight w:val="none"/>
          <w:lang w:val="zh-CN"/>
        </w:rPr>
        <w:t>dB（A）的要求，</w:t>
      </w:r>
      <w:r>
        <w:rPr>
          <w:rFonts w:hint="eastAsia" w:ascii="Times New Roman" w:hAnsi="Times New Roman" w:eastAsia="宋体" w:cs="Times New Roman"/>
          <w:color w:val="auto"/>
          <w:sz w:val="24"/>
          <w:highlight w:val="none"/>
          <w:lang w:val="en-US" w:eastAsia="zh-CN"/>
        </w:rPr>
        <w:t>其余厂界能够满足《工业企业厂界环境噪声排放标准》（GB12348-2008）2类标准，即昼间≤60dB（A），项目</w:t>
      </w:r>
      <w:r>
        <w:rPr>
          <w:rFonts w:ascii="Times New Roman" w:hAnsi="Times New Roman" w:eastAsia="宋体" w:cs="Times New Roman"/>
          <w:color w:val="auto"/>
          <w:sz w:val="24"/>
          <w:highlight w:val="none"/>
        </w:rPr>
        <w:t>夜间不生产</w:t>
      </w:r>
      <w:r>
        <w:rPr>
          <w:rFonts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en-US" w:eastAsia="zh-CN"/>
        </w:rPr>
        <w:t>根据背景叠加，项目北厂界1m处噪声可达到最大值，最大</w:t>
      </w:r>
      <w:r>
        <w:rPr>
          <w:rFonts w:hint="eastAsia" w:cs="Times New Roman"/>
          <w:color w:val="auto"/>
          <w:sz w:val="24"/>
          <w:highlight w:val="none"/>
          <w:lang w:val="en-US" w:eastAsia="zh-CN"/>
        </w:rPr>
        <w:t>预测值</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59.7</w:t>
      </w:r>
      <w:r>
        <w:rPr>
          <w:rFonts w:hint="default" w:ascii="Times New Roman" w:hAnsi="Times New Roman" w:eastAsia="宋体" w:cs="Times New Roman"/>
          <w:color w:val="auto"/>
          <w:sz w:val="24"/>
          <w:highlight w:val="none"/>
          <w:lang w:val="en-US" w:eastAsia="zh-CN"/>
        </w:rPr>
        <w:t>dB（A）。</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本项目区200m范围内声环境保护目标为</w:t>
      </w:r>
      <w:r>
        <w:rPr>
          <w:rFonts w:hint="eastAsia" w:ascii="Times New Roman" w:hAnsi="Times New Roman" w:eastAsia="宋体" w:cs="Times New Roman"/>
          <w:color w:val="auto"/>
          <w:sz w:val="24"/>
          <w:highlight w:val="none"/>
          <w:lang w:val="en-US" w:eastAsia="zh-CN"/>
        </w:rPr>
        <w:t>三月三散户</w:t>
      </w:r>
      <w:r>
        <w:rPr>
          <w:rFonts w:hint="eastAsia"/>
          <w:color w:val="auto"/>
          <w:sz w:val="24"/>
          <w:szCs w:val="24"/>
          <w:highlight w:val="none"/>
          <w:lang w:val="en-US" w:eastAsia="zh-CN"/>
        </w:rPr>
        <w:t>和三月三村</w:t>
      </w:r>
      <w:r>
        <w:rPr>
          <w:rFonts w:hint="default" w:ascii="Times New Roman" w:hAnsi="Times New Roman" w:eastAsia="宋体" w:cs="Times New Roman"/>
          <w:color w:val="auto"/>
          <w:sz w:val="24"/>
          <w:highlight w:val="none"/>
          <w:lang w:val="en-US" w:eastAsia="zh-CN"/>
        </w:rPr>
        <w:t>，经过预测叠加，噪声传播到</w:t>
      </w:r>
      <w:r>
        <w:rPr>
          <w:rFonts w:hint="eastAsia" w:ascii="Times New Roman" w:hAnsi="Times New Roman" w:eastAsia="宋体" w:cs="Times New Roman"/>
          <w:color w:val="auto"/>
          <w:sz w:val="24"/>
          <w:highlight w:val="none"/>
          <w:lang w:val="en-US" w:eastAsia="zh-CN"/>
        </w:rPr>
        <w:t>三月三散户</w:t>
      </w:r>
      <w:r>
        <w:rPr>
          <w:rFonts w:hint="eastAsia" w:cs="Times New Roman"/>
          <w:color w:val="auto"/>
          <w:sz w:val="24"/>
          <w:highlight w:val="none"/>
          <w:lang w:val="en-US" w:eastAsia="zh-CN"/>
        </w:rPr>
        <w:t>和三月三村</w:t>
      </w:r>
      <w:r>
        <w:rPr>
          <w:rFonts w:hint="default" w:ascii="Times New Roman" w:hAnsi="Times New Roman" w:eastAsia="宋体" w:cs="Times New Roman"/>
          <w:color w:val="auto"/>
          <w:sz w:val="24"/>
          <w:highlight w:val="none"/>
          <w:lang w:val="en-US" w:eastAsia="zh-CN"/>
        </w:rPr>
        <w:t>时可达</w:t>
      </w:r>
      <w:r>
        <w:rPr>
          <w:rFonts w:hint="eastAsia" w:cs="Times New Roman"/>
          <w:color w:val="auto"/>
          <w:sz w:val="24"/>
          <w:highlight w:val="none"/>
          <w:lang w:val="en-US" w:eastAsia="zh-CN"/>
        </w:rPr>
        <w:t>《声环境质量标准》（GB3095-2008）2类标准，对厂界外的噪声环境保护目标产生的影响较小</w:t>
      </w:r>
      <w:r>
        <w:rPr>
          <w:rFonts w:hint="default" w:ascii="Times New Roman" w:hAnsi="Times New Roman" w:eastAsia="宋体" w:cs="Times New Roman"/>
          <w:color w:val="auto"/>
          <w:sz w:val="24"/>
          <w:highlight w:val="none"/>
          <w:lang w:val="en-US" w:eastAsia="zh-CN"/>
        </w:rPr>
        <w:t>。</w:t>
      </w:r>
    </w:p>
    <w:p>
      <w:pPr>
        <w:adjustRightInd w:val="0"/>
        <w:snapToGrid w:val="0"/>
        <w:ind w:firstLine="0" w:firstLineChars="0"/>
        <w:jc w:val="center"/>
        <w:rPr>
          <w:b/>
          <w:bCs/>
          <w:color w:val="auto"/>
          <w:sz w:val="24"/>
          <w:szCs w:val="24"/>
          <w:highlight w:val="none"/>
          <w:lang w:eastAsia="zh-CN"/>
        </w:rPr>
      </w:pPr>
      <w:r>
        <w:rPr>
          <w:color w:val="auto"/>
          <w:highlight w:val="none"/>
        </w:rPr>
        <w:drawing>
          <wp:inline distT="0" distB="0" distL="114300" distR="114300">
            <wp:extent cx="5285105" cy="3002915"/>
            <wp:effectExtent l="0" t="0" r="10795" b="698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35"/>
                    <a:stretch>
                      <a:fillRect/>
                    </a:stretch>
                  </pic:blipFill>
                  <pic:spPr>
                    <a:xfrm>
                      <a:off x="0" y="0"/>
                      <a:ext cx="5285105" cy="3002915"/>
                    </a:xfrm>
                    <a:prstGeom prst="rect">
                      <a:avLst/>
                    </a:prstGeom>
                    <a:noFill/>
                    <a:ln>
                      <a:noFill/>
                    </a:ln>
                  </pic:spPr>
                </pic:pic>
              </a:graphicData>
            </a:graphic>
          </wp:inline>
        </w:drawing>
      </w:r>
      <w:r>
        <w:rPr>
          <w:rFonts w:hint="eastAsia"/>
          <w:b/>
          <w:bCs/>
          <w:color w:val="auto"/>
          <w:sz w:val="24"/>
          <w:szCs w:val="24"/>
          <w:highlight w:val="none"/>
          <w:lang w:eastAsia="zh-CN"/>
        </w:rPr>
        <w:t>图</w:t>
      </w:r>
      <w:r>
        <w:rPr>
          <w:rFonts w:hint="eastAsia"/>
          <w:b/>
          <w:bCs/>
          <w:color w:val="auto"/>
          <w:sz w:val="24"/>
          <w:szCs w:val="24"/>
          <w:highlight w:val="none"/>
          <w:lang w:val="en-US" w:eastAsia="zh-CN"/>
        </w:rPr>
        <w:t>5-1</w:t>
      </w:r>
      <w:r>
        <w:rPr>
          <w:rFonts w:hint="eastAsia"/>
          <w:b/>
          <w:bCs/>
          <w:color w:val="auto"/>
          <w:sz w:val="24"/>
          <w:szCs w:val="24"/>
          <w:highlight w:val="none"/>
          <w:lang w:eastAsia="zh-CN"/>
        </w:rPr>
        <w:t xml:space="preserve">  项目等声</w:t>
      </w:r>
      <w:r>
        <w:rPr>
          <w:rFonts w:hint="eastAsia"/>
          <w:b/>
          <w:bCs/>
          <w:color w:val="auto"/>
          <w:sz w:val="24"/>
          <w:szCs w:val="24"/>
          <w:highlight w:val="none"/>
          <w:lang w:val="en-US" w:eastAsia="zh-CN"/>
        </w:rPr>
        <w:t>级线</w:t>
      </w:r>
      <w:r>
        <w:rPr>
          <w:rFonts w:hint="eastAsia"/>
          <w:b/>
          <w:bCs/>
          <w:color w:val="auto"/>
          <w:sz w:val="24"/>
          <w:szCs w:val="24"/>
          <w:highlight w:val="none"/>
          <w:lang w:eastAsia="zh-CN"/>
        </w:rPr>
        <w:t>图</w:t>
      </w:r>
    </w:p>
    <w:p>
      <w:pPr>
        <w:pStyle w:val="21"/>
        <w:rPr>
          <w:rFonts w:hint="default"/>
          <w:color w:val="auto"/>
          <w:highlight w:val="none"/>
          <w:lang w:val="en-US" w:eastAsia="zh-CN"/>
        </w:rPr>
      </w:pPr>
    </w:p>
    <w:p>
      <w:pPr>
        <w:spacing w:line="360" w:lineRule="auto"/>
        <w:ind w:firstLine="472" w:firstLineChars="196"/>
        <w:rPr>
          <w:b/>
          <w:color w:val="auto"/>
          <w:sz w:val="24"/>
          <w:highlight w:val="none"/>
        </w:rPr>
      </w:pPr>
      <w:r>
        <w:rPr>
          <w:b/>
          <w:color w:val="auto"/>
          <w:sz w:val="24"/>
          <w:highlight w:val="none"/>
        </w:rPr>
        <w:t>4、交通噪声</w:t>
      </w:r>
    </w:p>
    <w:p>
      <w:pPr>
        <w:spacing w:line="360" w:lineRule="auto"/>
        <w:ind w:firstLine="480" w:firstLineChars="200"/>
        <w:rPr>
          <w:color w:val="auto"/>
          <w:sz w:val="24"/>
          <w:highlight w:val="none"/>
        </w:rPr>
      </w:pPr>
      <w:r>
        <w:rPr>
          <w:color w:val="auto"/>
          <w:sz w:val="24"/>
          <w:highlight w:val="none"/>
        </w:rPr>
        <w:t>项目运营期，车辆产生的噪声值在75～85dB(A)之间，属于间歇性噪声，在考虑几何扩散衰减的情况下，对周边环境产生的影响不大。但为了防止交通噪声对周边居民住户可能造成影响，环评提出如下要求：①项目合理运输时间，尽量避开夜间（22:00至次日6:00之间）运输。②运输车辆进出场区时减速慢行、相互避让，禁止鸣笛，从而减少对周边居民住户的影响。</w:t>
      </w:r>
    </w:p>
    <w:p>
      <w:pPr>
        <w:spacing w:line="360" w:lineRule="auto"/>
        <w:ind w:firstLine="472" w:firstLineChars="196"/>
        <w:rPr>
          <w:b/>
          <w:color w:val="auto"/>
          <w:sz w:val="24"/>
          <w:highlight w:val="none"/>
        </w:rPr>
      </w:pPr>
      <w:r>
        <w:rPr>
          <w:b/>
          <w:color w:val="auto"/>
          <w:sz w:val="24"/>
          <w:highlight w:val="none"/>
        </w:rPr>
        <w:t>5、防噪减震措施</w:t>
      </w:r>
    </w:p>
    <w:p>
      <w:pPr>
        <w:spacing w:line="360" w:lineRule="auto"/>
        <w:ind w:firstLine="480" w:firstLineChars="200"/>
        <w:rPr>
          <w:color w:val="auto"/>
          <w:sz w:val="24"/>
          <w:highlight w:val="none"/>
          <w:lang w:val="zh-CN"/>
        </w:rPr>
      </w:pPr>
      <w:r>
        <w:rPr>
          <w:color w:val="auto"/>
          <w:sz w:val="24"/>
          <w:highlight w:val="none"/>
          <w:lang w:val="zh-CN"/>
        </w:rPr>
        <w:t>为降低噪声对周围环境的影响，防止噪声影响周围</w:t>
      </w:r>
      <w:r>
        <w:rPr>
          <w:color w:val="auto"/>
          <w:sz w:val="24"/>
          <w:highlight w:val="none"/>
        </w:rPr>
        <w:t>敏感目标</w:t>
      </w:r>
      <w:r>
        <w:rPr>
          <w:color w:val="auto"/>
          <w:sz w:val="24"/>
          <w:highlight w:val="none"/>
          <w:lang w:val="zh-CN"/>
        </w:rPr>
        <w:t>正常的生活。针对本项目生产特点，评价提出的噪声防治措施包括以下几个方面：</w:t>
      </w:r>
    </w:p>
    <w:p>
      <w:pPr>
        <w:spacing w:line="360" w:lineRule="auto"/>
        <w:ind w:firstLine="480" w:firstLineChars="200"/>
        <w:rPr>
          <w:color w:val="auto"/>
          <w:sz w:val="24"/>
          <w:highlight w:val="none"/>
          <w:lang w:val="zh-CN"/>
        </w:rPr>
      </w:pPr>
      <w:r>
        <w:rPr>
          <w:color w:val="auto"/>
          <w:sz w:val="24"/>
          <w:highlight w:val="none"/>
          <w:lang w:val="zh-CN"/>
        </w:rPr>
        <w:t>（1）合理选择机械设备，从声源上控制噪声</w:t>
      </w:r>
      <w:r>
        <w:rPr>
          <w:color w:val="auto"/>
          <w:sz w:val="24"/>
          <w:highlight w:val="none"/>
        </w:rPr>
        <w:t>源强</w:t>
      </w:r>
      <w:r>
        <w:rPr>
          <w:color w:val="auto"/>
          <w:sz w:val="24"/>
          <w:highlight w:val="none"/>
          <w:lang w:val="zh-CN"/>
        </w:rPr>
        <w:t>，应尽可能选择噪声小、振动小的低噪声设备。</w:t>
      </w:r>
    </w:p>
    <w:p>
      <w:pPr>
        <w:spacing w:line="360" w:lineRule="auto"/>
        <w:ind w:firstLine="480" w:firstLineChars="200"/>
        <w:rPr>
          <w:color w:val="auto"/>
          <w:sz w:val="24"/>
          <w:highlight w:val="none"/>
          <w:lang w:val="zh-CN"/>
        </w:rPr>
      </w:pPr>
      <w:r>
        <w:rPr>
          <w:color w:val="auto"/>
          <w:sz w:val="24"/>
          <w:highlight w:val="none"/>
          <w:lang w:val="zh-CN"/>
        </w:rPr>
        <w:t>（2）配套减噪隔振设施对于主要生产设备要做好合理安装，合理布局，做好减振工作。安装适当的消声器，消声器的选择应注意噪声源的频率特性、设备的工艺要求和使用环境，对具有中、高频特性的设备，应采用阻性消声器，而对于具有低、中频特性的空压机噪声，则宜安装抗性消声器。</w:t>
      </w:r>
    </w:p>
    <w:p>
      <w:pPr>
        <w:spacing w:line="360" w:lineRule="auto"/>
        <w:ind w:firstLine="480" w:firstLineChars="200"/>
        <w:rPr>
          <w:color w:val="auto"/>
          <w:sz w:val="24"/>
          <w:highlight w:val="none"/>
          <w:lang w:val="zh-CN"/>
        </w:rPr>
      </w:pPr>
      <w:r>
        <w:rPr>
          <w:color w:val="auto"/>
          <w:sz w:val="24"/>
          <w:highlight w:val="none"/>
          <w:lang w:val="zh-CN"/>
        </w:rPr>
        <w:t>（3）设备置于室内，将设备等置于厂房内，利用厂房防护降低噪声。</w:t>
      </w:r>
    </w:p>
    <w:p>
      <w:pPr>
        <w:spacing w:line="360" w:lineRule="auto"/>
        <w:ind w:firstLine="480" w:firstLineChars="200"/>
        <w:rPr>
          <w:color w:val="auto"/>
          <w:sz w:val="24"/>
          <w:highlight w:val="none"/>
          <w:lang w:val="zh-CN"/>
        </w:rPr>
      </w:pPr>
      <w:r>
        <w:rPr>
          <w:color w:val="auto"/>
          <w:sz w:val="24"/>
          <w:highlight w:val="none"/>
          <w:lang w:val="zh-CN"/>
        </w:rPr>
        <w:t>（4）充分重视操作人员的劳动保护，为其发放耳塞、耳罩，并设置操作人员值班室，避免操作人员长期处于高噪声环境中，从噪声受体保护方面减轻噪声对操作人员的直接影响。</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5）重视绿化工作也是噪声防治的一项积极措施。绿化不仅可以美化环境、调节气候，而且还可阻滞噪声传播、吸收尘等污染物，减轻污染。应根据当地的气候特点，选取适宜当地生长的树种，种植于高噪声源及厂界四周。</w:t>
      </w:r>
    </w:p>
    <w:p>
      <w:pPr>
        <w:spacing w:line="360" w:lineRule="auto"/>
        <w:ind w:firstLine="472" w:firstLineChars="196"/>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6、小结</w:t>
      </w:r>
    </w:p>
    <w:p>
      <w:pPr>
        <w:spacing w:line="360" w:lineRule="auto"/>
        <w:ind w:firstLine="480" w:firstLineChars="200"/>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根据预测结果，本项目</w:t>
      </w:r>
      <w:r>
        <w:rPr>
          <w:rFonts w:hint="eastAsia" w:ascii="Times New Roman" w:hAnsi="Times New Roman" w:eastAsia="宋体" w:cs="Times New Roman"/>
          <w:color w:val="auto"/>
          <w:sz w:val="24"/>
          <w:highlight w:val="none"/>
          <w:lang w:val="en-US" w:eastAsia="zh-CN"/>
        </w:rPr>
        <w:t>北侧</w:t>
      </w:r>
      <w:r>
        <w:rPr>
          <w:rFonts w:hint="default" w:ascii="Times New Roman" w:hAnsi="Times New Roman" w:eastAsia="宋体" w:cs="Times New Roman"/>
          <w:color w:val="auto"/>
          <w:sz w:val="24"/>
          <w:highlight w:val="none"/>
          <w:lang w:val="en-US" w:eastAsia="zh-CN"/>
        </w:rPr>
        <w:t>厂界噪声可达到《工业企业厂界环境噪声排放标准》（GB12348-2008）</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类标准，</w:t>
      </w:r>
      <w:r>
        <w:rPr>
          <w:rFonts w:hint="eastAsia" w:ascii="Times New Roman" w:hAnsi="Times New Roman" w:eastAsia="宋体" w:cs="Times New Roman"/>
          <w:color w:val="auto"/>
          <w:sz w:val="24"/>
          <w:highlight w:val="none"/>
          <w:lang w:val="en-US" w:eastAsia="zh-CN"/>
        </w:rPr>
        <w:t>其余厂界噪声可达到</w:t>
      </w:r>
      <w:r>
        <w:rPr>
          <w:rFonts w:hint="default" w:ascii="Times New Roman" w:hAnsi="Times New Roman" w:eastAsia="宋体" w:cs="Times New Roman"/>
          <w:color w:val="auto"/>
          <w:sz w:val="24"/>
          <w:highlight w:val="none"/>
          <w:lang w:val="en-US" w:eastAsia="zh-CN"/>
        </w:rPr>
        <w:t>《工业企业厂界环境噪声排放标准》（GB12348-2008）</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类标准</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项目运营期各设备通过合理选型、合理布局、厂房隔声、几何衰减等措施后，对厂界外的噪声环境保护目标影响不大。另外，社会噪声值较小，对周边环境的影响也较小。</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本项目声环境影响评价自查如下表所示：</w:t>
      </w:r>
    </w:p>
    <w:p>
      <w:pPr>
        <w:pStyle w:val="349"/>
        <w:bidi w:val="0"/>
        <w:rPr>
          <w:rFonts w:hint="default" w:ascii="Times New Roman" w:hAnsi="Times New Roman" w:cs="Times New Roman"/>
          <w:color w:val="auto"/>
          <w:highlight w:val="none"/>
          <w:lang w:val="en-US" w:eastAsia="zh-CN"/>
        </w:rPr>
      </w:pPr>
    </w:p>
    <w:p>
      <w:pPr>
        <w:pStyle w:val="34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 xml:space="preserve">5.2-16  </w:t>
      </w:r>
      <w:r>
        <w:rPr>
          <w:rFonts w:hint="default" w:ascii="Times New Roman" w:hAnsi="Times New Roman" w:cs="Times New Roman"/>
          <w:color w:val="auto"/>
          <w:highlight w:val="none"/>
          <w:lang w:val="en-US" w:eastAsia="zh-CN"/>
        </w:rPr>
        <w:t>声环境影响评价自查表</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09"/>
        <w:gridCol w:w="1079"/>
        <w:gridCol w:w="520"/>
        <w:gridCol w:w="19"/>
        <w:gridCol w:w="540"/>
        <w:gridCol w:w="3"/>
        <w:gridCol w:w="1077"/>
        <w:gridCol w:w="1079"/>
        <w:gridCol w:w="5"/>
        <w:gridCol w:w="533"/>
        <w:gridCol w:w="54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57" w:type="dxa"/>
            <w:gridSpan w:val="2"/>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工作内容</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restart"/>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评价等级与范围</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评价等级</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一级</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二级</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三级</w:t>
            </w:r>
            <w:r>
              <w:rPr>
                <w:rFonts w:hint="default" w:ascii="Times New Roman" w:hAnsi="Times New Roman" w:eastAsia="宋体" w:cs="Times New Roman"/>
                <w:b w:val="0"/>
                <w:bCs/>
                <w:color w:val="auto"/>
                <w:sz w:val="21"/>
                <w:szCs w:val="21"/>
                <w:highlight w:val="none"/>
              </w:rPr>
              <w:sym w:font="Wingdings" w:char="F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评价范围</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200m</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大于200m</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小于200m</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评价因子</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评价因子</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等效连续A声级</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最大A声级</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计权等效连续感觉噪声级</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评价标准</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评价标准</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国家标准</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地方标准</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国外标准</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restart"/>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现状评价</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环境功能区</w:t>
            </w:r>
          </w:p>
        </w:tc>
        <w:tc>
          <w:tcPr>
            <w:tcW w:w="107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0类区</w:t>
            </w:r>
            <w:r>
              <w:rPr>
                <w:rFonts w:hint="default" w:ascii="Times New Roman" w:hAnsi="Times New Roman" w:eastAsia="宋体" w:cs="Times New Roman"/>
                <w:b w:val="0"/>
                <w:bCs/>
                <w:color w:val="auto"/>
                <w:sz w:val="21"/>
                <w:szCs w:val="21"/>
                <w:highlight w:val="none"/>
              </w:rPr>
              <w:sym w:font="Wingdings" w:char="00A8"/>
            </w:r>
          </w:p>
        </w:tc>
        <w:tc>
          <w:tcPr>
            <w:tcW w:w="1079" w:type="dxa"/>
            <w:gridSpan w:val="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1类区</w:t>
            </w:r>
            <w:r>
              <w:rPr>
                <w:rFonts w:hint="default" w:ascii="Times New Roman" w:hAnsi="Times New Roman" w:eastAsia="宋体" w:cs="Times New Roman"/>
                <w:b w:val="0"/>
                <w:bCs/>
                <w:color w:val="auto"/>
                <w:sz w:val="21"/>
                <w:szCs w:val="21"/>
                <w:highlight w:val="none"/>
              </w:rPr>
              <w:sym w:font="Wingdings" w:char="00A8"/>
            </w:r>
          </w:p>
        </w:tc>
        <w:tc>
          <w:tcPr>
            <w:tcW w:w="1080" w:type="dxa"/>
            <w:gridSpan w:val="2"/>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2类区</w:t>
            </w:r>
            <w:r>
              <w:rPr>
                <w:rFonts w:hint="default" w:ascii="Times New Roman" w:hAnsi="Times New Roman" w:eastAsia="宋体" w:cs="Times New Roman"/>
                <w:b w:val="0"/>
                <w:bCs/>
                <w:color w:val="auto"/>
                <w:sz w:val="21"/>
                <w:szCs w:val="21"/>
                <w:highlight w:val="none"/>
              </w:rPr>
              <w:sym w:font="Wingdings" w:char="00FE"/>
            </w:r>
          </w:p>
        </w:tc>
        <w:tc>
          <w:tcPr>
            <w:tcW w:w="107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3类区</w:t>
            </w:r>
            <w:r>
              <w:rPr>
                <w:rFonts w:hint="default" w:ascii="Times New Roman" w:hAnsi="Times New Roman" w:eastAsia="宋体" w:cs="Times New Roman"/>
                <w:b w:val="0"/>
                <w:bCs/>
                <w:color w:val="auto"/>
                <w:sz w:val="21"/>
                <w:szCs w:val="21"/>
                <w:highlight w:val="none"/>
              </w:rPr>
              <w:sym w:font="Wingdings" w:char="00A8"/>
            </w:r>
          </w:p>
        </w:tc>
        <w:tc>
          <w:tcPr>
            <w:tcW w:w="1078" w:type="dxa"/>
            <w:gridSpan w:val="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4a类区</w:t>
            </w:r>
            <w:r>
              <w:rPr>
                <w:rFonts w:hint="default" w:ascii="Times New Roman" w:hAnsi="Times New Roman" w:eastAsia="宋体" w:cs="Times New Roman"/>
                <w:b w:val="0"/>
                <w:bCs/>
                <w:color w:val="auto"/>
                <w:sz w:val="21"/>
                <w:szCs w:val="21"/>
                <w:highlight w:val="none"/>
              </w:rPr>
              <w:sym w:font="Wingdings" w:char="00FE"/>
            </w:r>
          </w:p>
        </w:tc>
        <w:tc>
          <w:tcPr>
            <w:tcW w:w="1097"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4b类区</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评价年度</w:t>
            </w:r>
          </w:p>
        </w:tc>
        <w:tc>
          <w:tcPr>
            <w:tcW w:w="1618" w:type="dxa"/>
            <w:gridSpan w:val="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初期</w:t>
            </w:r>
            <w:r>
              <w:rPr>
                <w:rFonts w:hint="default" w:ascii="Times New Roman" w:hAnsi="Times New Roman" w:eastAsia="宋体" w:cs="Times New Roman"/>
                <w:b w:val="0"/>
                <w:bCs/>
                <w:color w:val="auto"/>
                <w:sz w:val="21"/>
                <w:szCs w:val="21"/>
                <w:highlight w:val="none"/>
              </w:rPr>
              <w:sym w:font="Wingdings" w:char="00A8"/>
            </w:r>
          </w:p>
        </w:tc>
        <w:tc>
          <w:tcPr>
            <w:tcW w:w="1620" w:type="dxa"/>
            <w:gridSpan w:val="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近期</w:t>
            </w:r>
            <w:r>
              <w:rPr>
                <w:rFonts w:hint="default" w:ascii="Times New Roman" w:hAnsi="Times New Roman" w:eastAsia="宋体" w:cs="Times New Roman"/>
                <w:b w:val="0"/>
                <w:bCs/>
                <w:color w:val="auto"/>
                <w:sz w:val="21"/>
                <w:szCs w:val="21"/>
                <w:highlight w:val="none"/>
              </w:rPr>
              <w:sym w:font="Wingdings" w:char="00FE"/>
            </w:r>
          </w:p>
        </w:tc>
        <w:tc>
          <w:tcPr>
            <w:tcW w:w="1617" w:type="dxa"/>
            <w:gridSpan w:val="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中期</w:t>
            </w:r>
            <w:r>
              <w:rPr>
                <w:rFonts w:hint="default" w:ascii="Times New Roman" w:hAnsi="Times New Roman" w:eastAsia="宋体" w:cs="Times New Roman"/>
                <w:b w:val="0"/>
                <w:bCs/>
                <w:color w:val="auto"/>
                <w:sz w:val="21"/>
                <w:szCs w:val="21"/>
                <w:highlight w:val="none"/>
              </w:rPr>
              <w:sym w:font="Wingdings" w:char="00A8"/>
            </w:r>
          </w:p>
        </w:tc>
        <w:tc>
          <w:tcPr>
            <w:tcW w:w="1637" w:type="dxa"/>
            <w:gridSpan w:val="2"/>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远期</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现状调查方法</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现场实测法</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现场实测加模型计算法</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收集资料</w:t>
            </w:r>
            <w:r>
              <w:rPr>
                <w:rFonts w:hint="default" w:ascii="Times New Roman" w:hAnsi="Times New Roman" w:eastAsia="宋体" w:cs="Times New Roman"/>
                <w:b w:val="0"/>
                <w:bCs/>
                <w:color w:val="auto"/>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现状评价</w:t>
            </w:r>
          </w:p>
        </w:tc>
        <w:tc>
          <w:tcPr>
            <w:tcW w:w="1599" w:type="dxa"/>
            <w:gridSpan w:val="2"/>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达标百分比</w:t>
            </w:r>
          </w:p>
        </w:tc>
        <w:tc>
          <w:tcPr>
            <w:tcW w:w="4893" w:type="dxa"/>
            <w:gridSpan w:val="9"/>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噪声源调查</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噪声源调查方法</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现场实测</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已有资料</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研究成果</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restart"/>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声环境影响预测与评价</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预测模型 </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导则推荐模型</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其他</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预测范围  </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200m</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大于200m</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小于200m</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预测因子</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等效连续A声级</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最大A声级</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计权等效连续感觉噪声级</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厂界噪声贡献值</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不达标</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声环境保护目标处噪声值</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不达标</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restart"/>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环境监测计划</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排放监测</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厂界噪声</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固定位置监测</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自动监测</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手动监测</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 xml:space="preserve">  无监测</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vMerge w:val="continue"/>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声环境保护目标处噪声监测</w:t>
            </w:r>
          </w:p>
        </w:tc>
        <w:tc>
          <w:tcPr>
            <w:tcW w:w="2161" w:type="dxa"/>
            <w:gridSpan w:val="5"/>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监测因子：（  ）</w:t>
            </w:r>
          </w:p>
        </w:tc>
        <w:tc>
          <w:tcPr>
            <w:tcW w:w="2161" w:type="dxa"/>
            <w:gridSpan w:val="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监测点位数：（  ）</w:t>
            </w:r>
          </w:p>
        </w:tc>
        <w:tc>
          <w:tcPr>
            <w:tcW w:w="2170" w:type="dxa"/>
            <w:gridSpan w:val="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无监测</w:t>
            </w:r>
            <w:r>
              <w:rPr>
                <w:rFonts w:hint="default" w:ascii="Times New Roman" w:hAnsi="Times New Roman" w:eastAsia="宋体" w:cs="Times New Roman"/>
                <w:b w:val="0"/>
                <w:bCs/>
                <w:color w:val="auto"/>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8"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评价结论</w:t>
            </w:r>
          </w:p>
        </w:tc>
        <w:tc>
          <w:tcPr>
            <w:tcW w:w="1209" w:type="dxa"/>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环境影响</w:t>
            </w:r>
          </w:p>
        </w:tc>
        <w:tc>
          <w:tcPr>
            <w:tcW w:w="6492" w:type="dxa"/>
            <w:gridSpan w:val="11"/>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可行</w:t>
            </w:r>
            <w:r>
              <w:rPr>
                <w:rFonts w:hint="default" w:ascii="Times New Roman" w:hAnsi="Times New Roman" w:eastAsia="宋体" w:cs="Times New Roman"/>
                <w:b w:val="0"/>
                <w:bCs/>
                <w:color w:val="auto"/>
                <w:sz w:val="21"/>
                <w:szCs w:val="21"/>
                <w:highlight w:val="none"/>
              </w:rPr>
              <w:sym w:font="Wingdings" w:char="00FE"/>
            </w:r>
            <w:r>
              <w:rPr>
                <w:rFonts w:hint="default" w:ascii="Times New Roman" w:hAnsi="Times New Roman" w:eastAsia="宋体" w:cs="Times New Roman"/>
                <w:b w:val="0"/>
                <w:bCs/>
                <w:color w:val="auto"/>
                <w:sz w:val="21"/>
                <w:szCs w:val="21"/>
                <w:highlight w:val="none"/>
                <w:lang w:val="en-US" w:eastAsia="zh-CN"/>
              </w:rPr>
              <w:t xml:space="preserve">   不可行</w:t>
            </w:r>
            <w:r>
              <w:rPr>
                <w:rFonts w:hint="default" w:ascii="Times New Roman" w:hAnsi="Times New Roman" w:eastAsia="宋体" w:cs="Times New Roman"/>
                <w:b w:val="0"/>
                <w:bCs/>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49" w:type="dxa"/>
            <w:gridSpan w:val="13"/>
            <w:tcBorders>
              <w:tl2br w:val="nil"/>
              <w:tr2bl w:val="nil"/>
            </w:tcBorders>
            <w:vAlign w:val="center"/>
          </w:tcPr>
          <w:p>
            <w:pPr>
              <w:pStyle w:val="348"/>
              <w:keepNext w:val="0"/>
              <w:keepLines w:val="0"/>
              <w:pageBreakBefore w:val="0"/>
              <w:widowControl w:val="0"/>
              <w:kinsoku/>
              <w:wordWrap/>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注：“</w:t>
            </w:r>
            <w:r>
              <w:rPr>
                <w:rFonts w:hint="default" w:ascii="Times New Roman" w:hAnsi="Times New Roman" w:eastAsia="宋体" w:cs="Times New Roman"/>
                <w:b w:val="0"/>
                <w:bCs/>
                <w:color w:val="auto"/>
                <w:sz w:val="21"/>
                <w:szCs w:val="21"/>
                <w:highlight w:val="none"/>
              </w:rPr>
              <w:sym w:font="Wingdings" w:char="00A8"/>
            </w:r>
            <w:r>
              <w:rPr>
                <w:rFonts w:hint="default" w:ascii="Times New Roman" w:hAnsi="Times New Roman" w:eastAsia="宋体" w:cs="Times New Roman"/>
                <w:b w:val="0"/>
                <w:bCs/>
                <w:color w:val="auto"/>
                <w:sz w:val="21"/>
                <w:szCs w:val="21"/>
                <w:highlight w:val="none"/>
                <w:lang w:val="en-US" w:eastAsia="zh-CN"/>
              </w:rPr>
              <w:t>”为勾选项，可√；“（ ）”为内容填写项</w:t>
            </w:r>
          </w:p>
        </w:tc>
      </w:tr>
    </w:tbl>
    <w:p>
      <w:pPr>
        <w:rPr>
          <w:rFonts w:hint="default"/>
          <w:color w:val="auto"/>
          <w:highlight w:val="none"/>
          <w:lang w:val="en-US" w:eastAsia="zh-CN"/>
        </w:rPr>
      </w:pPr>
    </w:p>
    <w:p>
      <w:pPr>
        <w:keepNext/>
        <w:keepLines/>
        <w:spacing w:line="360" w:lineRule="auto"/>
        <w:outlineLvl w:val="2"/>
        <w:rPr>
          <w:b/>
          <w:bCs/>
          <w:color w:val="auto"/>
          <w:sz w:val="24"/>
          <w:highlight w:val="none"/>
        </w:rPr>
      </w:pPr>
      <w:bookmarkStart w:id="599" w:name="_Toc15365"/>
      <w:r>
        <w:rPr>
          <w:b/>
          <w:bCs/>
          <w:color w:val="auto"/>
          <w:sz w:val="24"/>
          <w:highlight w:val="none"/>
        </w:rPr>
        <w:t>5.2.5</w:t>
      </w:r>
      <w:r>
        <w:rPr>
          <w:rFonts w:hint="eastAsia"/>
          <w:b/>
          <w:bCs/>
          <w:color w:val="auto"/>
          <w:sz w:val="24"/>
          <w:highlight w:val="none"/>
        </w:rPr>
        <w:t>固体废物</w:t>
      </w:r>
      <w:r>
        <w:rPr>
          <w:b/>
          <w:bCs/>
          <w:color w:val="auto"/>
          <w:sz w:val="24"/>
          <w:highlight w:val="none"/>
        </w:rPr>
        <w:t>环境影响分析</w:t>
      </w:r>
      <w:bookmarkEnd w:id="599"/>
    </w:p>
    <w:p>
      <w:pPr>
        <w:widowControl/>
        <w:spacing w:line="360" w:lineRule="auto"/>
        <w:ind w:firstLine="480" w:firstLineChars="200"/>
        <w:jc w:val="left"/>
        <w:rPr>
          <w:color w:val="auto"/>
          <w:sz w:val="24"/>
          <w:highlight w:val="none"/>
        </w:rPr>
      </w:pPr>
      <w:r>
        <w:rPr>
          <w:rFonts w:hint="eastAsia" w:cs="宋体"/>
          <w:color w:val="auto"/>
          <w:kern w:val="0"/>
          <w:sz w:val="24"/>
          <w:highlight w:val="none"/>
          <w:lang w:val="en-US" w:eastAsia="zh-CN" w:bidi="ar"/>
        </w:rPr>
        <w:t>根据工程分析可知，项目运营期产生的固体废物主要为废包装材料、边角料及不合格产品、生活垃圾、废机油、废活性炭。</w:t>
      </w:r>
    </w:p>
    <w:p>
      <w:pPr>
        <w:widowControl/>
        <w:adjustRightInd w:val="0"/>
        <w:snapToGrid w:val="0"/>
        <w:spacing w:line="360" w:lineRule="auto"/>
        <w:ind w:firstLine="482" w:firstLineChars="200"/>
        <w:jc w:val="left"/>
        <w:rPr>
          <w:color w:val="auto"/>
          <w:sz w:val="24"/>
          <w:highlight w:val="none"/>
        </w:rPr>
      </w:pPr>
      <w:r>
        <w:rPr>
          <w:b/>
          <w:bCs/>
          <w:color w:val="auto"/>
          <w:kern w:val="0"/>
          <w:sz w:val="24"/>
          <w:highlight w:val="none"/>
          <w:lang w:bidi="ar"/>
        </w:rPr>
        <w:t>1</w:t>
      </w:r>
      <w:r>
        <w:rPr>
          <w:rFonts w:hint="eastAsia" w:cs="宋体"/>
          <w:b/>
          <w:bCs/>
          <w:color w:val="auto"/>
          <w:kern w:val="0"/>
          <w:sz w:val="24"/>
          <w:highlight w:val="none"/>
          <w:lang w:bidi="ar"/>
        </w:rPr>
        <w:t>、一般固废</w:t>
      </w:r>
    </w:p>
    <w:p>
      <w:pPr>
        <w:widowControl/>
        <w:adjustRightInd w:val="0"/>
        <w:snapToGrid w:val="0"/>
        <w:spacing w:line="360" w:lineRule="auto"/>
        <w:ind w:firstLine="480" w:firstLineChars="200"/>
        <w:jc w:val="left"/>
        <w:rPr>
          <w:rFonts w:hint="default" w:eastAsia="宋体"/>
          <w:color w:val="auto"/>
          <w:sz w:val="24"/>
          <w:highlight w:val="none"/>
          <w:lang w:val="en-US" w:eastAsia="zh-CN"/>
        </w:rPr>
      </w:pPr>
      <w:r>
        <w:rPr>
          <w:rFonts w:hint="eastAsia" w:cs="宋体"/>
          <w:color w:val="auto"/>
          <w:kern w:val="0"/>
          <w:sz w:val="24"/>
          <w:highlight w:val="none"/>
          <w:lang w:bidi="ar"/>
        </w:rPr>
        <w:t>（</w:t>
      </w:r>
      <w:r>
        <w:rPr>
          <w:color w:val="auto"/>
          <w:kern w:val="0"/>
          <w:sz w:val="24"/>
          <w:highlight w:val="none"/>
          <w:lang w:bidi="ar"/>
        </w:rPr>
        <w:t>1</w:t>
      </w:r>
      <w:r>
        <w:rPr>
          <w:rFonts w:hint="eastAsia" w:cs="宋体"/>
          <w:color w:val="auto"/>
          <w:kern w:val="0"/>
          <w:sz w:val="24"/>
          <w:highlight w:val="none"/>
          <w:lang w:bidi="ar"/>
        </w:rPr>
        <w:t>）</w:t>
      </w:r>
      <w:r>
        <w:rPr>
          <w:rFonts w:hint="eastAsia" w:cs="宋体"/>
          <w:color w:val="auto"/>
          <w:kern w:val="0"/>
          <w:sz w:val="24"/>
          <w:highlight w:val="none"/>
          <w:lang w:val="en-US" w:eastAsia="zh-CN" w:bidi="ar"/>
        </w:rPr>
        <w:t>废包装袋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0"/>
          <w:highlight w:val="none"/>
        </w:rPr>
      </w:pPr>
      <w:r>
        <w:rPr>
          <w:rFonts w:hint="eastAsia" w:cs="宋体"/>
          <w:color w:val="auto"/>
          <w:kern w:val="0"/>
          <w:sz w:val="24"/>
          <w:highlight w:val="none"/>
          <w:lang w:val="en-US" w:eastAsia="zh-CN" w:bidi="ar"/>
        </w:rPr>
        <w:t>原辅料拆包产生的废包装袋</w:t>
      </w:r>
      <w:r>
        <w:rPr>
          <w:rFonts w:hint="eastAsia" w:cs="宋体"/>
          <w:color w:val="auto"/>
          <w:kern w:val="0"/>
          <w:sz w:val="24"/>
          <w:highlight w:val="none"/>
          <w:lang w:bidi="ar"/>
        </w:rPr>
        <w:t>约</w:t>
      </w:r>
      <w:r>
        <w:rPr>
          <w:rFonts w:hint="eastAsia"/>
          <w:color w:val="auto"/>
          <w:kern w:val="0"/>
          <w:sz w:val="24"/>
          <w:highlight w:val="none"/>
          <w:lang w:val="en-US" w:eastAsia="zh-CN" w:bidi="ar"/>
        </w:rPr>
        <w:t>5.02</w:t>
      </w:r>
      <w:r>
        <w:rPr>
          <w:color w:val="auto"/>
          <w:kern w:val="0"/>
          <w:sz w:val="24"/>
          <w:highlight w:val="none"/>
          <w:lang w:bidi="ar"/>
        </w:rPr>
        <w:t>t/a</w:t>
      </w:r>
      <w:r>
        <w:rPr>
          <w:rFonts w:hint="eastAsia" w:cs="宋体"/>
          <w:color w:val="auto"/>
          <w:kern w:val="0"/>
          <w:sz w:val="24"/>
          <w:highlight w:val="none"/>
          <w:lang w:bidi="ar"/>
        </w:rPr>
        <w:t>。</w:t>
      </w:r>
      <w:r>
        <w:rPr>
          <w:rFonts w:hint="eastAsia"/>
          <w:color w:val="auto"/>
          <w:sz w:val="24"/>
          <w:szCs w:val="20"/>
          <w:highlight w:val="none"/>
        </w:rPr>
        <w:t>收集后</w:t>
      </w:r>
      <w:r>
        <w:rPr>
          <w:rFonts w:hint="eastAsia"/>
          <w:color w:val="auto"/>
          <w:sz w:val="24"/>
          <w:szCs w:val="20"/>
          <w:highlight w:val="none"/>
          <w:lang w:val="en-US" w:eastAsia="zh-CN"/>
        </w:rPr>
        <w:t>外售</w:t>
      </w:r>
      <w:r>
        <w:rPr>
          <w:rFonts w:hint="eastAsia"/>
          <w:color w:val="auto"/>
          <w:sz w:val="24"/>
          <w:szCs w:val="20"/>
          <w:highlight w:val="none"/>
        </w:rPr>
        <w:t>废品回收站。</w:t>
      </w:r>
    </w:p>
    <w:p>
      <w:pPr>
        <w:widowControl/>
        <w:adjustRightInd w:val="0"/>
        <w:snapToGrid w:val="0"/>
        <w:spacing w:line="360" w:lineRule="auto"/>
        <w:ind w:firstLine="480" w:firstLineChars="200"/>
        <w:jc w:val="left"/>
        <w:rPr>
          <w:rFonts w:hint="default" w:eastAsia="宋体"/>
          <w:color w:val="auto"/>
          <w:sz w:val="24"/>
          <w:highlight w:val="none"/>
          <w:lang w:val="en-US" w:eastAsia="zh-CN"/>
        </w:rPr>
      </w:pPr>
      <w:r>
        <w:rPr>
          <w:rFonts w:hint="eastAsia" w:cs="宋体"/>
          <w:color w:val="auto"/>
          <w:kern w:val="0"/>
          <w:sz w:val="24"/>
          <w:highlight w:val="none"/>
          <w:lang w:bidi="ar"/>
        </w:rPr>
        <w:t>（</w:t>
      </w:r>
      <w:r>
        <w:rPr>
          <w:color w:val="auto"/>
          <w:kern w:val="0"/>
          <w:sz w:val="24"/>
          <w:highlight w:val="none"/>
          <w:lang w:bidi="ar"/>
        </w:rPr>
        <w:t>2</w:t>
      </w:r>
      <w:r>
        <w:rPr>
          <w:rFonts w:hint="eastAsia" w:cs="宋体"/>
          <w:color w:val="auto"/>
          <w:kern w:val="0"/>
          <w:sz w:val="24"/>
          <w:highlight w:val="none"/>
          <w:lang w:bidi="ar"/>
        </w:rPr>
        <w:t>）</w:t>
      </w:r>
      <w:r>
        <w:rPr>
          <w:rFonts w:hint="eastAsia" w:cs="宋体"/>
          <w:color w:val="auto"/>
          <w:kern w:val="0"/>
          <w:sz w:val="24"/>
          <w:highlight w:val="none"/>
          <w:lang w:val="en-US" w:eastAsia="zh-CN" w:bidi="ar"/>
        </w:rPr>
        <w:t>边角料及不合格产品</w:t>
      </w:r>
    </w:p>
    <w:p>
      <w:pPr>
        <w:spacing w:line="360" w:lineRule="auto"/>
        <w:ind w:firstLine="480" w:firstLineChars="200"/>
        <w:rPr>
          <w:color w:val="auto"/>
          <w:sz w:val="24"/>
          <w:highlight w:val="none"/>
        </w:rPr>
      </w:pPr>
      <w:r>
        <w:rPr>
          <w:rFonts w:hint="eastAsia" w:cs="宋体"/>
          <w:color w:val="auto"/>
          <w:kern w:val="0"/>
          <w:sz w:val="24"/>
          <w:highlight w:val="none"/>
          <w:lang w:val="en-US" w:eastAsia="zh-CN" w:bidi="ar"/>
        </w:rPr>
        <w:t>项目修边工序和检验工序会产生部分边角料和不合格产品，产生量约3.125t/a，边角料和不合格产品收集后放入破碎机破碎后返回注塑机重新热熔生产。</w:t>
      </w:r>
    </w:p>
    <w:p>
      <w:pPr>
        <w:widowControl/>
        <w:spacing w:line="360" w:lineRule="auto"/>
        <w:ind w:firstLine="480" w:firstLineChars="200"/>
        <w:jc w:val="left"/>
        <w:rPr>
          <w:rFonts w:hint="eastAsia" w:ascii="Times New Roman" w:hAnsi="Times New Roman" w:eastAsia="宋体" w:cs="宋体"/>
          <w:color w:val="auto"/>
          <w:kern w:val="0"/>
          <w:sz w:val="24"/>
          <w:highlight w:val="none"/>
          <w:lang w:val="en-US" w:eastAsia="zh-CN" w:bidi="ar"/>
        </w:rPr>
      </w:pPr>
      <w:r>
        <w:rPr>
          <w:rFonts w:hint="eastAsia" w:cs="宋体"/>
          <w:color w:val="auto"/>
          <w:kern w:val="0"/>
          <w:sz w:val="24"/>
          <w:highlight w:val="none"/>
          <w:lang w:val="en-US" w:eastAsia="zh-CN" w:bidi="ar"/>
        </w:rPr>
        <w:t>（3）</w:t>
      </w:r>
      <w:r>
        <w:rPr>
          <w:rFonts w:hint="eastAsia" w:ascii="Times New Roman" w:hAnsi="Times New Roman" w:eastAsia="宋体" w:cs="宋体"/>
          <w:color w:val="auto"/>
          <w:kern w:val="0"/>
          <w:sz w:val="24"/>
          <w:highlight w:val="none"/>
          <w:lang w:val="en-US" w:eastAsia="zh-CN" w:bidi="ar"/>
        </w:rPr>
        <w:t>布袋除尘器收集粉尘</w:t>
      </w:r>
    </w:p>
    <w:p>
      <w:pPr>
        <w:widowControl/>
        <w:spacing w:line="360" w:lineRule="auto"/>
        <w:ind w:firstLine="480" w:firstLineChars="200"/>
        <w:jc w:val="left"/>
        <w:rPr>
          <w:rFonts w:hint="eastAsia" w:cs="宋体"/>
          <w:color w:val="auto"/>
          <w:kern w:val="0"/>
          <w:sz w:val="24"/>
          <w:highlight w:val="none"/>
          <w:lang w:bidi="ar"/>
        </w:rPr>
      </w:pPr>
      <w:r>
        <w:rPr>
          <w:rFonts w:hint="eastAsia" w:ascii="Times New Roman" w:hAnsi="Times New Roman" w:eastAsia="宋体" w:cs="宋体"/>
          <w:color w:val="auto"/>
          <w:kern w:val="0"/>
          <w:sz w:val="24"/>
          <w:highlight w:val="none"/>
          <w:lang w:val="en-US" w:eastAsia="zh-CN" w:bidi="ar"/>
        </w:rPr>
        <w:t>项目破碎工段布袋除尘器收集的粉尘（颗粒物）量为0.00097</w:t>
      </w:r>
      <w:r>
        <w:rPr>
          <w:rFonts w:hint="default" w:ascii="Times New Roman" w:hAnsi="Times New Roman" w:eastAsia="宋体" w:cs="宋体"/>
          <w:color w:val="auto"/>
          <w:kern w:val="0"/>
          <w:sz w:val="24"/>
          <w:highlight w:val="none"/>
          <w:lang w:val="en-US" w:eastAsia="zh-CN" w:bidi="ar"/>
        </w:rPr>
        <w:t>t/a</w:t>
      </w:r>
      <w:r>
        <w:rPr>
          <w:rFonts w:hint="eastAsia" w:ascii="Times New Roman" w:hAnsi="Times New Roman" w:eastAsia="宋体" w:cs="宋体"/>
          <w:color w:val="auto"/>
          <w:kern w:val="0"/>
          <w:sz w:val="24"/>
          <w:highlight w:val="none"/>
          <w:lang w:val="en-US" w:eastAsia="zh-CN" w:bidi="ar"/>
        </w:rPr>
        <w:t>，布袋除尘器收集的粉尘主要为细微塑料颗粒，定期清灰后作为一般固废，暂存于一般固废暂存间定期委托环卫部门清运处置。</w:t>
      </w:r>
    </w:p>
    <w:p>
      <w:pPr>
        <w:widowControl/>
        <w:adjustRightInd w:val="0"/>
        <w:snapToGrid w:val="0"/>
        <w:spacing w:line="360" w:lineRule="auto"/>
        <w:ind w:firstLine="480" w:firstLineChars="200"/>
        <w:jc w:val="left"/>
        <w:rPr>
          <w:color w:val="auto"/>
          <w:sz w:val="24"/>
          <w:highlight w:val="none"/>
        </w:rPr>
      </w:pPr>
      <w:r>
        <w:rPr>
          <w:rFonts w:hint="eastAsia" w:cs="宋体"/>
          <w:color w:val="auto"/>
          <w:kern w:val="0"/>
          <w:sz w:val="24"/>
          <w:highlight w:val="none"/>
          <w:lang w:bidi="ar"/>
        </w:rPr>
        <w:t>（</w:t>
      </w:r>
      <w:r>
        <w:rPr>
          <w:rFonts w:hint="eastAsia" w:cs="宋体"/>
          <w:color w:val="auto"/>
          <w:kern w:val="0"/>
          <w:sz w:val="24"/>
          <w:highlight w:val="none"/>
          <w:lang w:val="en-US" w:eastAsia="zh-CN" w:bidi="ar"/>
        </w:rPr>
        <w:t>4</w:t>
      </w:r>
      <w:r>
        <w:rPr>
          <w:rFonts w:hint="eastAsia" w:cs="宋体"/>
          <w:color w:val="auto"/>
          <w:kern w:val="0"/>
          <w:sz w:val="24"/>
          <w:highlight w:val="none"/>
          <w:lang w:bidi="ar"/>
        </w:rPr>
        <w:t>）生活垃圾</w:t>
      </w:r>
    </w:p>
    <w:p>
      <w:pPr>
        <w:spacing w:line="360" w:lineRule="auto"/>
        <w:ind w:firstLine="480" w:firstLineChars="200"/>
        <w:rPr>
          <w:color w:val="auto"/>
          <w:sz w:val="24"/>
          <w:highlight w:val="none"/>
        </w:rPr>
      </w:pPr>
      <w:r>
        <w:rPr>
          <w:rFonts w:hint="eastAsia" w:cs="宋体"/>
          <w:color w:val="auto"/>
          <w:kern w:val="0"/>
          <w:sz w:val="24"/>
          <w:highlight w:val="none"/>
          <w:lang w:bidi="ar"/>
        </w:rPr>
        <w:t>本项目生活垃圾产生量为</w:t>
      </w:r>
      <w:r>
        <w:rPr>
          <w:rFonts w:hint="eastAsia"/>
          <w:color w:val="auto"/>
          <w:kern w:val="0"/>
          <w:sz w:val="24"/>
          <w:highlight w:val="none"/>
          <w:lang w:val="en-US" w:eastAsia="zh-CN" w:bidi="ar"/>
        </w:rPr>
        <w:t>0.9t</w:t>
      </w:r>
      <w:r>
        <w:rPr>
          <w:color w:val="auto"/>
          <w:kern w:val="0"/>
          <w:sz w:val="24"/>
          <w:highlight w:val="none"/>
          <w:lang w:bidi="ar"/>
        </w:rPr>
        <w:t>/a</w:t>
      </w:r>
      <w:r>
        <w:rPr>
          <w:rFonts w:hint="eastAsia" w:cs="宋体"/>
          <w:color w:val="auto"/>
          <w:kern w:val="0"/>
          <w:sz w:val="24"/>
          <w:highlight w:val="none"/>
          <w:lang w:bidi="ar"/>
        </w:rPr>
        <w:t>。分类收集于项目设置的垃圾桶内，</w:t>
      </w:r>
      <w:r>
        <w:rPr>
          <w:color w:val="auto"/>
          <w:sz w:val="24"/>
          <w:highlight w:val="none"/>
        </w:rPr>
        <w:t>生活垃圾统一收集后</w:t>
      </w:r>
      <w:r>
        <w:rPr>
          <w:color w:val="auto"/>
          <w:sz w:val="24"/>
          <w:szCs w:val="20"/>
          <w:highlight w:val="none"/>
        </w:rPr>
        <w:t>定期运往指定地点由环卫部门集中处置</w:t>
      </w:r>
      <w:r>
        <w:rPr>
          <w:color w:val="auto"/>
          <w:sz w:val="24"/>
          <w:highlight w:val="none"/>
        </w:rPr>
        <w:t>。</w:t>
      </w:r>
    </w:p>
    <w:p>
      <w:pPr>
        <w:widowControl/>
        <w:adjustRightInd w:val="0"/>
        <w:snapToGrid w:val="0"/>
        <w:spacing w:line="360" w:lineRule="auto"/>
        <w:ind w:firstLine="482" w:firstLineChars="200"/>
        <w:jc w:val="left"/>
        <w:rPr>
          <w:color w:val="auto"/>
          <w:sz w:val="24"/>
          <w:highlight w:val="none"/>
        </w:rPr>
      </w:pPr>
      <w:r>
        <w:rPr>
          <w:b/>
          <w:bCs/>
          <w:color w:val="auto"/>
          <w:kern w:val="0"/>
          <w:sz w:val="24"/>
          <w:highlight w:val="none"/>
          <w:lang w:bidi="ar"/>
        </w:rPr>
        <w:t>2</w:t>
      </w:r>
      <w:r>
        <w:rPr>
          <w:rFonts w:hint="eastAsia" w:cs="宋体"/>
          <w:b/>
          <w:bCs/>
          <w:color w:val="auto"/>
          <w:kern w:val="0"/>
          <w:sz w:val="24"/>
          <w:highlight w:val="none"/>
          <w:lang w:bidi="ar"/>
        </w:rPr>
        <w:t>、危险废物</w:t>
      </w:r>
    </w:p>
    <w:p>
      <w:pPr>
        <w:widowControl/>
        <w:adjustRightInd w:val="0"/>
        <w:snapToGrid w:val="0"/>
        <w:spacing w:line="360" w:lineRule="auto"/>
        <w:ind w:firstLine="480" w:firstLineChars="200"/>
        <w:jc w:val="left"/>
        <w:rPr>
          <w:color w:val="auto"/>
          <w:sz w:val="24"/>
          <w:highlight w:val="none"/>
        </w:rPr>
      </w:pPr>
      <w:r>
        <w:rPr>
          <w:rFonts w:hint="eastAsia" w:cs="宋体"/>
          <w:color w:val="auto"/>
          <w:kern w:val="0"/>
          <w:sz w:val="24"/>
          <w:highlight w:val="none"/>
          <w:lang w:bidi="ar"/>
        </w:rPr>
        <w:t>（</w:t>
      </w:r>
      <w:r>
        <w:rPr>
          <w:color w:val="auto"/>
          <w:kern w:val="0"/>
          <w:sz w:val="24"/>
          <w:highlight w:val="none"/>
          <w:lang w:bidi="ar"/>
        </w:rPr>
        <w:t>1</w:t>
      </w:r>
      <w:r>
        <w:rPr>
          <w:rFonts w:hint="eastAsia" w:cs="宋体"/>
          <w:color w:val="auto"/>
          <w:kern w:val="0"/>
          <w:sz w:val="24"/>
          <w:highlight w:val="none"/>
          <w:lang w:bidi="ar"/>
        </w:rPr>
        <w:t>）废活性炭</w:t>
      </w:r>
    </w:p>
    <w:p>
      <w:pPr>
        <w:spacing w:line="360" w:lineRule="auto"/>
        <w:ind w:firstLine="480" w:firstLineChars="200"/>
        <w:rPr>
          <w:color w:val="auto"/>
          <w:sz w:val="24"/>
          <w:highlight w:val="none"/>
        </w:rPr>
      </w:pPr>
      <w:r>
        <w:rPr>
          <w:rFonts w:hint="eastAsia" w:cs="宋体"/>
          <w:color w:val="auto"/>
          <w:kern w:val="0"/>
          <w:sz w:val="24"/>
          <w:highlight w:val="none"/>
          <w:lang w:bidi="ar"/>
        </w:rPr>
        <w:t>本项目废气处理装置中废活性炭产生量约为</w:t>
      </w:r>
      <w:r>
        <w:rPr>
          <w:rFonts w:hint="eastAsia"/>
          <w:color w:val="auto"/>
          <w:kern w:val="0"/>
          <w:sz w:val="24"/>
          <w:highlight w:val="none"/>
          <w:lang w:val="en-US" w:eastAsia="zh-CN" w:bidi="ar"/>
        </w:rPr>
        <w:t>11.11</w:t>
      </w:r>
      <w:r>
        <w:rPr>
          <w:color w:val="auto"/>
          <w:kern w:val="0"/>
          <w:sz w:val="24"/>
          <w:highlight w:val="none"/>
          <w:lang w:bidi="ar"/>
        </w:rPr>
        <w:t>t/a</w:t>
      </w:r>
      <w:r>
        <w:rPr>
          <w:rFonts w:hint="eastAsia" w:cs="宋体"/>
          <w:color w:val="auto"/>
          <w:kern w:val="0"/>
          <w:sz w:val="24"/>
          <w:highlight w:val="none"/>
          <w:lang w:bidi="ar"/>
        </w:rPr>
        <w:t>，危废类别</w:t>
      </w:r>
      <w:r>
        <w:rPr>
          <w:color w:val="auto"/>
          <w:kern w:val="0"/>
          <w:sz w:val="24"/>
          <w:highlight w:val="none"/>
          <w:lang w:bidi="ar"/>
        </w:rPr>
        <w:t>HW</w:t>
      </w:r>
      <w:r>
        <w:rPr>
          <w:rFonts w:hint="eastAsia"/>
          <w:color w:val="auto"/>
          <w:kern w:val="0"/>
          <w:sz w:val="24"/>
          <w:highlight w:val="none"/>
          <w:lang w:bidi="ar"/>
        </w:rPr>
        <w:t>49</w:t>
      </w:r>
      <w:r>
        <w:rPr>
          <w:rFonts w:hint="eastAsia" w:cs="宋体"/>
          <w:color w:val="auto"/>
          <w:kern w:val="0"/>
          <w:sz w:val="24"/>
          <w:highlight w:val="none"/>
          <w:lang w:bidi="ar"/>
        </w:rPr>
        <w:t>（</w:t>
      </w:r>
      <w:r>
        <w:rPr>
          <w:color w:val="auto"/>
          <w:kern w:val="0"/>
          <w:sz w:val="24"/>
          <w:highlight w:val="none"/>
          <w:lang w:bidi="ar"/>
        </w:rPr>
        <w:t>900-</w:t>
      </w:r>
      <w:r>
        <w:rPr>
          <w:rFonts w:hint="eastAsia"/>
          <w:color w:val="auto"/>
          <w:kern w:val="0"/>
          <w:sz w:val="24"/>
          <w:highlight w:val="none"/>
          <w:lang w:bidi="ar"/>
        </w:rPr>
        <w:t>0</w:t>
      </w:r>
      <w:r>
        <w:rPr>
          <w:rFonts w:hint="eastAsia"/>
          <w:color w:val="auto"/>
          <w:kern w:val="0"/>
          <w:sz w:val="24"/>
          <w:highlight w:val="none"/>
          <w:lang w:val="en-US" w:eastAsia="zh-CN" w:bidi="ar"/>
        </w:rPr>
        <w:t>39</w:t>
      </w:r>
      <w:r>
        <w:rPr>
          <w:rFonts w:hint="eastAsia"/>
          <w:color w:val="auto"/>
          <w:kern w:val="0"/>
          <w:sz w:val="24"/>
          <w:highlight w:val="none"/>
          <w:lang w:bidi="ar"/>
        </w:rPr>
        <w:t>-49</w:t>
      </w:r>
      <w:r>
        <w:rPr>
          <w:rFonts w:hint="eastAsia" w:cs="宋体"/>
          <w:color w:val="auto"/>
          <w:kern w:val="0"/>
          <w:sz w:val="24"/>
          <w:highlight w:val="none"/>
          <w:lang w:bidi="ar"/>
        </w:rPr>
        <w:t>），</w:t>
      </w:r>
      <w:r>
        <w:rPr>
          <w:color w:val="auto"/>
          <w:sz w:val="24"/>
          <w:highlight w:val="none"/>
        </w:rPr>
        <w:t>项目设置一间</w:t>
      </w:r>
      <w:r>
        <w:rPr>
          <w:rFonts w:hint="eastAsia"/>
          <w:color w:val="auto"/>
          <w:sz w:val="24"/>
          <w:highlight w:val="none"/>
          <w:lang w:val="en-US" w:eastAsia="zh-CN"/>
        </w:rPr>
        <w:t>5</w:t>
      </w:r>
      <w:r>
        <w:rPr>
          <w:color w:val="auto"/>
          <w:sz w:val="24"/>
          <w:highlight w:val="none"/>
        </w:rPr>
        <w:t>m</w:t>
      </w:r>
      <w:r>
        <w:rPr>
          <w:color w:val="auto"/>
          <w:sz w:val="24"/>
          <w:highlight w:val="none"/>
          <w:vertAlign w:val="superscript"/>
        </w:rPr>
        <w:t>2</w:t>
      </w:r>
      <w:r>
        <w:rPr>
          <w:color w:val="auto"/>
          <w:sz w:val="24"/>
          <w:highlight w:val="none"/>
        </w:rPr>
        <w:t>的危废暂存间，废活性炭经建设单位用专用容器收集后暂存于危废暂存间，委托有资质单位清运处置</w:t>
      </w:r>
      <w:r>
        <w:rPr>
          <w:rFonts w:hint="eastAsia" w:cs="宋体"/>
          <w:color w:val="auto"/>
          <w:kern w:val="0"/>
          <w:sz w:val="24"/>
          <w:highlight w:val="none"/>
          <w:lang w:bidi="ar"/>
        </w:rPr>
        <w:t>。</w:t>
      </w:r>
    </w:p>
    <w:p>
      <w:pPr>
        <w:widowControl/>
        <w:adjustRightInd w:val="0"/>
        <w:snapToGrid w:val="0"/>
        <w:spacing w:line="360" w:lineRule="auto"/>
        <w:ind w:firstLine="480" w:firstLineChars="200"/>
        <w:jc w:val="left"/>
        <w:rPr>
          <w:color w:val="auto"/>
          <w:sz w:val="24"/>
          <w:highlight w:val="none"/>
        </w:rPr>
      </w:pPr>
      <w:r>
        <w:rPr>
          <w:rFonts w:hint="eastAsia" w:cs="宋体"/>
          <w:color w:val="auto"/>
          <w:kern w:val="0"/>
          <w:sz w:val="24"/>
          <w:highlight w:val="none"/>
          <w:lang w:bidi="ar"/>
        </w:rPr>
        <w:t>（</w:t>
      </w:r>
      <w:r>
        <w:rPr>
          <w:color w:val="auto"/>
          <w:kern w:val="0"/>
          <w:sz w:val="24"/>
          <w:highlight w:val="none"/>
          <w:lang w:bidi="ar"/>
        </w:rPr>
        <w:t>2</w:t>
      </w:r>
      <w:r>
        <w:rPr>
          <w:rFonts w:hint="eastAsia" w:cs="宋体"/>
          <w:color w:val="auto"/>
          <w:kern w:val="0"/>
          <w:sz w:val="24"/>
          <w:highlight w:val="none"/>
          <w:lang w:bidi="ar"/>
        </w:rPr>
        <w:t>）废机油</w:t>
      </w:r>
    </w:p>
    <w:p>
      <w:pPr>
        <w:pStyle w:val="478"/>
        <w:ind w:firstLine="480"/>
        <w:rPr>
          <w:rFonts w:ascii="Times New Roman" w:hAnsi="Times New Roman"/>
          <w:color w:val="auto"/>
          <w:highlight w:val="none"/>
        </w:rPr>
      </w:pPr>
      <w:r>
        <w:rPr>
          <w:rFonts w:hint="eastAsia" w:ascii="Times New Roman" w:hAnsi="Times New Roman" w:cs="宋体"/>
          <w:color w:val="auto"/>
          <w:kern w:val="0"/>
          <w:szCs w:val="24"/>
          <w:highlight w:val="none"/>
          <w:lang w:bidi="ar"/>
        </w:rPr>
        <w:t>项目检修过程产生的废机油属危险废物，危废类别</w:t>
      </w:r>
      <w:r>
        <w:rPr>
          <w:rFonts w:ascii="Times New Roman" w:hAnsi="Times New Roman"/>
          <w:color w:val="auto"/>
          <w:kern w:val="0"/>
          <w:szCs w:val="24"/>
          <w:highlight w:val="none"/>
          <w:lang w:bidi="ar"/>
        </w:rPr>
        <w:t>HW08</w:t>
      </w:r>
      <w:r>
        <w:rPr>
          <w:rFonts w:hint="eastAsia" w:ascii="Times New Roman" w:hAnsi="Times New Roman" w:cs="宋体"/>
          <w:color w:val="auto"/>
          <w:kern w:val="0"/>
          <w:szCs w:val="24"/>
          <w:highlight w:val="none"/>
          <w:lang w:bidi="ar"/>
        </w:rPr>
        <w:t>（</w:t>
      </w:r>
      <w:r>
        <w:rPr>
          <w:rFonts w:ascii="Times New Roman" w:hAnsi="Times New Roman"/>
          <w:color w:val="auto"/>
          <w:kern w:val="0"/>
          <w:szCs w:val="24"/>
          <w:highlight w:val="none"/>
          <w:lang w:bidi="ar"/>
        </w:rPr>
        <w:t>900-214-08</w:t>
      </w:r>
      <w:r>
        <w:rPr>
          <w:rFonts w:hint="eastAsia" w:ascii="Times New Roman" w:hAnsi="Times New Roman" w:cs="宋体"/>
          <w:color w:val="auto"/>
          <w:kern w:val="0"/>
          <w:szCs w:val="24"/>
          <w:highlight w:val="none"/>
          <w:lang w:bidi="ar"/>
        </w:rPr>
        <w:t>），</w:t>
      </w:r>
      <w:r>
        <w:rPr>
          <w:rFonts w:hint="eastAsia" w:ascii="Times New Roman" w:hAnsi="Times New Roman"/>
          <w:color w:val="auto"/>
          <w:highlight w:val="none"/>
        </w:rPr>
        <w:t>废机油和废机油桶</w:t>
      </w:r>
      <w:r>
        <w:rPr>
          <w:rFonts w:ascii="Times New Roman" w:hAnsi="Times New Roman"/>
          <w:color w:val="auto"/>
          <w:highlight w:val="none"/>
        </w:rPr>
        <w:t>收集暂存</w:t>
      </w:r>
      <w:r>
        <w:rPr>
          <w:rFonts w:hint="eastAsia" w:ascii="Times New Roman" w:hAnsi="Times New Roman"/>
          <w:color w:val="auto"/>
          <w:highlight w:val="none"/>
        </w:rPr>
        <w:t>于</w:t>
      </w:r>
      <w:r>
        <w:rPr>
          <w:rFonts w:ascii="Times New Roman" w:hAnsi="Times New Roman"/>
          <w:color w:val="auto"/>
          <w:highlight w:val="none"/>
        </w:rPr>
        <w:t>危废暂存间，委托有资质单位处置，中间建立危废产生台账和转移联单管理</w:t>
      </w:r>
      <w:r>
        <w:rPr>
          <w:rFonts w:hint="eastAsia" w:ascii="Times New Roman" w:hAnsi="Times New Roman" w:cs="宋体"/>
          <w:color w:val="auto"/>
          <w:kern w:val="0"/>
          <w:szCs w:val="24"/>
          <w:highlight w:val="none"/>
          <w:lang w:bidi="ar"/>
        </w:rPr>
        <w:t>，产生量约为</w:t>
      </w:r>
      <w:r>
        <w:rPr>
          <w:rFonts w:ascii="Times New Roman" w:hAnsi="Times New Roman"/>
          <w:color w:val="auto"/>
          <w:kern w:val="0"/>
          <w:szCs w:val="24"/>
          <w:highlight w:val="none"/>
          <w:lang w:bidi="ar"/>
        </w:rPr>
        <w:t>0.</w:t>
      </w:r>
      <w:r>
        <w:rPr>
          <w:rFonts w:hint="eastAsia" w:ascii="Times New Roman" w:hAnsi="Times New Roman"/>
          <w:color w:val="auto"/>
          <w:kern w:val="0"/>
          <w:szCs w:val="24"/>
          <w:highlight w:val="none"/>
          <w:lang w:bidi="ar"/>
        </w:rPr>
        <w:t>02</w:t>
      </w:r>
      <w:r>
        <w:rPr>
          <w:rFonts w:ascii="Times New Roman" w:hAnsi="Times New Roman"/>
          <w:color w:val="auto"/>
          <w:kern w:val="0"/>
          <w:szCs w:val="24"/>
          <w:highlight w:val="none"/>
          <w:lang w:bidi="ar"/>
        </w:rPr>
        <w:t>t/a</w:t>
      </w:r>
      <w:r>
        <w:rPr>
          <w:rFonts w:hint="eastAsia" w:ascii="Times New Roman" w:hAnsi="Times New Roman" w:cs="宋体"/>
          <w:color w:val="auto"/>
          <w:kern w:val="0"/>
          <w:szCs w:val="24"/>
          <w:highlight w:val="none"/>
          <w:lang w:bidi="ar"/>
        </w:rPr>
        <w:t>；</w:t>
      </w:r>
    </w:p>
    <w:p>
      <w:pPr>
        <w:pStyle w:val="18"/>
        <w:spacing w:line="360" w:lineRule="auto"/>
        <w:ind w:firstLine="480" w:firstLineChars="200"/>
        <w:jc w:val="both"/>
        <w:rPr>
          <w:color w:val="auto"/>
          <w:sz w:val="24"/>
          <w:highlight w:val="none"/>
        </w:rPr>
      </w:pPr>
      <w:r>
        <w:rPr>
          <w:rFonts w:hint="eastAsia" w:cs="宋体"/>
          <w:color w:val="auto"/>
          <w:sz w:val="24"/>
          <w:highlight w:val="none"/>
          <w:lang w:bidi="ar"/>
        </w:rPr>
        <w:t>（</w:t>
      </w:r>
      <w:r>
        <w:rPr>
          <w:color w:val="auto"/>
          <w:sz w:val="24"/>
          <w:highlight w:val="none"/>
          <w:lang w:bidi="ar"/>
        </w:rPr>
        <w:t>3</w:t>
      </w:r>
      <w:r>
        <w:rPr>
          <w:rFonts w:hint="eastAsia" w:cs="宋体"/>
          <w:color w:val="auto"/>
          <w:sz w:val="24"/>
          <w:highlight w:val="none"/>
          <w:lang w:bidi="ar"/>
        </w:rPr>
        <w:t>）</w:t>
      </w:r>
      <w:r>
        <w:rPr>
          <w:rFonts w:hint="eastAsia"/>
          <w:color w:val="auto"/>
          <w:sz w:val="24"/>
          <w:highlight w:val="none"/>
        </w:rPr>
        <w:t>含油废手套、废抹布</w:t>
      </w:r>
    </w:p>
    <w:p>
      <w:pPr>
        <w:pStyle w:val="18"/>
        <w:spacing w:line="360" w:lineRule="auto"/>
        <w:ind w:firstLine="480" w:firstLineChars="200"/>
        <w:jc w:val="both"/>
        <w:rPr>
          <w:rFonts w:cs="宋体"/>
          <w:color w:val="auto"/>
          <w:sz w:val="24"/>
          <w:highlight w:val="none"/>
          <w:lang w:bidi="ar"/>
        </w:rPr>
      </w:pPr>
      <w:r>
        <w:rPr>
          <w:color w:val="auto"/>
          <w:sz w:val="24"/>
          <w:highlight w:val="none"/>
        </w:rPr>
        <w:t>设备检修过程中会产生含油废手套、废抹布。根据《国家危险废物名录（2021）》附录危险废物豁免清单可知，含油抹布及手套全部环节均豁免，全过程不按危险废物管理，混入生活垃圾处置。预计产生量约0.001t/a。</w:t>
      </w:r>
    </w:p>
    <w:p>
      <w:pPr>
        <w:widowControl/>
        <w:adjustRightInd w:val="0"/>
        <w:snapToGrid w:val="0"/>
        <w:spacing w:line="360" w:lineRule="auto"/>
        <w:ind w:firstLine="480" w:firstLineChars="200"/>
        <w:jc w:val="left"/>
        <w:rPr>
          <w:rFonts w:hint="eastAsia" w:cs="宋体"/>
          <w:color w:val="auto"/>
          <w:kern w:val="0"/>
          <w:sz w:val="24"/>
          <w:highlight w:val="none"/>
          <w:lang w:bidi="ar"/>
        </w:rPr>
      </w:pPr>
      <w:r>
        <w:rPr>
          <w:rFonts w:hint="eastAsia" w:cs="宋体"/>
          <w:color w:val="auto"/>
          <w:kern w:val="0"/>
          <w:sz w:val="24"/>
          <w:highlight w:val="none"/>
          <w:lang w:bidi="ar"/>
        </w:rPr>
        <w:t>危废暂存间是未来运营期的环保管理重点。危废暂存间应设置规范标识标牌，采取重点防渗措施，为确保渗透系数</w:t>
      </w:r>
      <w:r>
        <w:rPr>
          <w:color w:val="auto"/>
          <w:kern w:val="0"/>
          <w:sz w:val="24"/>
          <w:highlight w:val="none"/>
          <w:lang w:bidi="ar"/>
        </w:rPr>
        <w:t>K≤10</w:t>
      </w:r>
      <w:r>
        <w:rPr>
          <w:color w:val="auto"/>
          <w:kern w:val="0"/>
          <w:sz w:val="24"/>
          <w:szCs w:val="15"/>
          <w:highlight w:val="none"/>
          <w:vertAlign w:val="superscript"/>
          <w:lang w:bidi="ar"/>
        </w:rPr>
        <w:t>-</w:t>
      </w:r>
      <w:r>
        <w:rPr>
          <w:rFonts w:hint="eastAsia"/>
          <w:color w:val="auto"/>
          <w:kern w:val="0"/>
          <w:sz w:val="24"/>
          <w:szCs w:val="15"/>
          <w:highlight w:val="none"/>
          <w:vertAlign w:val="superscript"/>
          <w:lang w:bidi="ar"/>
        </w:rPr>
        <w:t>10</w:t>
      </w:r>
      <w:r>
        <w:rPr>
          <w:color w:val="auto"/>
          <w:kern w:val="0"/>
          <w:sz w:val="24"/>
          <w:highlight w:val="none"/>
          <w:lang w:bidi="ar"/>
        </w:rPr>
        <w:t>cm/s</w:t>
      </w:r>
      <w:r>
        <w:rPr>
          <w:rFonts w:hint="eastAsia" w:cs="宋体"/>
          <w:color w:val="auto"/>
          <w:kern w:val="0"/>
          <w:sz w:val="24"/>
          <w:highlight w:val="none"/>
          <w:lang w:bidi="ar"/>
        </w:rPr>
        <w:t>，可采用水泥硬化</w:t>
      </w:r>
      <w:r>
        <w:rPr>
          <w:color w:val="auto"/>
          <w:kern w:val="0"/>
          <w:sz w:val="24"/>
          <w:highlight w:val="none"/>
          <w:lang w:bidi="ar"/>
        </w:rPr>
        <w:t>+2mm</w:t>
      </w:r>
      <w:r>
        <w:rPr>
          <w:rFonts w:hint="eastAsia" w:cs="宋体"/>
          <w:color w:val="auto"/>
          <w:kern w:val="0"/>
          <w:sz w:val="24"/>
          <w:highlight w:val="none"/>
          <w:lang w:bidi="ar"/>
        </w:rPr>
        <w:t>厚</w:t>
      </w:r>
      <w:r>
        <w:rPr>
          <w:color w:val="auto"/>
          <w:kern w:val="0"/>
          <w:sz w:val="24"/>
          <w:highlight w:val="none"/>
          <w:lang w:bidi="ar"/>
        </w:rPr>
        <w:t>HDPE</w:t>
      </w:r>
      <w:r>
        <w:rPr>
          <w:rFonts w:hint="eastAsia"/>
          <w:color w:val="auto"/>
          <w:kern w:val="0"/>
          <w:sz w:val="24"/>
          <w:highlight w:val="none"/>
          <w:lang w:val="en-US" w:eastAsia="zh-CN" w:bidi="ar"/>
        </w:rPr>
        <w:t>膜</w:t>
      </w:r>
      <w:r>
        <w:rPr>
          <w:rFonts w:hint="eastAsia" w:cs="宋体"/>
          <w:color w:val="auto"/>
          <w:kern w:val="0"/>
          <w:sz w:val="24"/>
          <w:highlight w:val="none"/>
          <w:lang w:bidi="ar"/>
        </w:rPr>
        <w:t>组合防渗措施。危险废物的分类收集、分区暂存、运送、处置等过程须严格按照《危险废物贮存处置管理规定》执行。不同危险废物应分类收集，分类分区暂存，收集的容器和包装物须设置危险废物识别标志。危险废物暂存间应按《危险废物贮存污染控制标准》（</w:t>
      </w:r>
      <w:r>
        <w:rPr>
          <w:color w:val="auto"/>
          <w:kern w:val="0"/>
          <w:sz w:val="24"/>
          <w:highlight w:val="none"/>
          <w:lang w:bidi="ar"/>
        </w:rPr>
        <w:t>GB18597-20</w:t>
      </w:r>
      <w:r>
        <w:rPr>
          <w:rFonts w:hint="eastAsia"/>
          <w:color w:val="auto"/>
          <w:kern w:val="0"/>
          <w:sz w:val="24"/>
          <w:highlight w:val="none"/>
          <w:lang w:val="en-US" w:eastAsia="zh-CN" w:bidi="ar"/>
        </w:rPr>
        <w:t>23</w:t>
      </w:r>
      <w:r>
        <w:rPr>
          <w:rFonts w:hint="eastAsia" w:cs="宋体"/>
          <w:color w:val="auto"/>
          <w:kern w:val="0"/>
          <w:sz w:val="24"/>
          <w:highlight w:val="none"/>
          <w:lang w:bidi="ar"/>
        </w:rPr>
        <w:t>）的要求设置，做好防渗、防腐、防漏处理，设置明显环保标志，并建立危险废物台账、五联单制度和登记制度。指派人员管理，闲杂人等不得进入，做好危险废物的日常管理。</w:t>
      </w:r>
    </w:p>
    <w:p>
      <w:pPr>
        <w:pStyle w:val="69"/>
        <w:keepNext w:val="0"/>
        <w:keepLines w:val="0"/>
        <w:pageBreakBefore w:val="0"/>
        <w:widowControl/>
        <w:kinsoku/>
        <w:wordWrap/>
        <w:overflowPunct/>
        <w:topLinePunct w:val="0"/>
        <w:autoSpaceDE/>
        <w:autoSpaceDN/>
        <w:bidi w:val="0"/>
        <w:adjustRightInd/>
        <w:snapToGrid w:val="0"/>
        <w:jc w:val="left"/>
        <w:textAlignment w:val="auto"/>
        <w:rPr>
          <w:rFonts w:hint="eastAsia"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危废暂存间日常管理维护过程中还应遵循以下要求：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s="宋体"/>
          <w:color w:val="auto"/>
          <w:kern w:val="0"/>
          <w:sz w:val="24"/>
          <w:highlight w:val="none"/>
          <w:lang w:val="en-US" w:eastAsia="zh-CN" w:bidi="ar"/>
        </w:rPr>
      </w:pPr>
      <w:r>
        <w:rPr>
          <w:rFonts w:hint="eastAsia" w:cs="宋体"/>
          <w:color w:val="auto"/>
          <w:kern w:val="0"/>
          <w:sz w:val="24"/>
          <w:highlight w:val="none"/>
          <w:lang w:val="en-US" w:eastAsia="zh-CN" w:bidi="ar"/>
        </w:rPr>
        <w:t>a.应建造专用的危险废物贮存设施；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s="宋体"/>
          <w:color w:val="auto"/>
          <w:kern w:val="0"/>
          <w:sz w:val="24"/>
          <w:highlight w:val="none"/>
          <w:lang w:val="en-US" w:eastAsia="zh-CN" w:bidi="ar"/>
        </w:rPr>
      </w:pPr>
      <w:r>
        <w:rPr>
          <w:rFonts w:hint="eastAsia" w:cs="宋体"/>
          <w:color w:val="auto"/>
          <w:kern w:val="0"/>
          <w:sz w:val="24"/>
          <w:highlight w:val="none"/>
          <w:lang w:val="en-US" w:eastAsia="zh-CN" w:bidi="ar"/>
        </w:rPr>
        <w:t>b.必须将危险废物装入密闭容器内，并确保完好无损；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s="宋体"/>
          <w:color w:val="auto"/>
          <w:kern w:val="0"/>
          <w:sz w:val="24"/>
          <w:highlight w:val="none"/>
          <w:lang w:val="en-US" w:eastAsia="zh-CN" w:bidi="ar"/>
        </w:rPr>
      </w:pPr>
      <w:r>
        <w:rPr>
          <w:rFonts w:hint="eastAsia" w:cs="宋体"/>
          <w:color w:val="auto"/>
          <w:kern w:val="0"/>
          <w:sz w:val="24"/>
          <w:highlight w:val="none"/>
          <w:lang w:val="en-US" w:eastAsia="zh-CN" w:bidi="ar"/>
        </w:rPr>
        <w:t>c.装载液体、半固体危险废物的容器内须留足够的空间，容器顶部与液体表面之间保留100mm以上的空间；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s="宋体"/>
          <w:color w:val="auto"/>
          <w:kern w:val="0"/>
          <w:sz w:val="24"/>
          <w:highlight w:val="none"/>
          <w:lang w:val="en-US" w:eastAsia="zh-CN" w:bidi="ar"/>
        </w:rPr>
      </w:pPr>
      <w:r>
        <w:rPr>
          <w:rFonts w:hint="eastAsia" w:cs="宋体"/>
          <w:color w:val="auto"/>
          <w:kern w:val="0"/>
          <w:sz w:val="24"/>
          <w:highlight w:val="none"/>
          <w:lang w:val="en-US" w:eastAsia="zh-CN" w:bidi="ar"/>
        </w:rPr>
        <w:t>d.盛装危险废物的容器上必须粘贴符合标准的标签，不得接收未粘贴上述规定的标签或标签填写不规范的危险废物；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s="宋体"/>
          <w:color w:val="auto"/>
          <w:kern w:val="0"/>
          <w:sz w:val="24"/>
          <w:highlight w:val="none"/>
          <w:lang w:val="en-US" w:eastAsia="zh-CN" w:bidi="ar"/>
        </w:rPr>
      </w:pPr>
      <w:r>
        <w:rPr>
          <w:rFonts w:hint="eastAsia" w:cs="宋体"/>
          <w:color w:val="auto"/>
          <w:kern w:val="0"/>
          <w:sz w:val="24"/>
          <w:highlight w:val="none"/>
          <w:lang w:val="en-US" w:eastAsia="zh-CN" w:bidi="ar"/>
        </w:rPr>
        <w:t>e.装载危险废物的容器及材质要满足相应的强度要求；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s="宋体"/>
          <w:color w:val="auto"/>
          <w:kern w:val="0"/>
          <w:sz w:val="24"/>
          <w:highlight w:val="none"/>
          <w:lang w:val="en-US" w:eastAsia="zh-CN" w:bidi="ar"/>
        </w:rPr>
      </w:pPr>
      <w:r>
        <w:rPr>
          <w:rFonts w:hint="eastAsia" w:cs="宋体"/>
          <w:color w:val="auto"/>
          <w:kern w:val="0"/>
          <w:sz w:val="24"/>
          <w:highlight w:val="none"/>
          <w:lang w:val="en-US" w:eastAsia="zh-CN" w:bidi="ar"/>
        </w:rPr>
        <w:t>f.企业危险固废处置应安排专人负责，必须作好危险废物记录，记录上须注明危险废物的名称、来源、数量、特性和包装容器的类别、入库日期、存放库位、废物出库日期及接收单位名称；危险废物的记录和货单在危险废物回取后应继续保留三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s="宋体"/>
          <w:color w:val="auto"/>
          <w:kern w:val="0"/>
          <w:sz w:val="24"/>
          <w:highlight w:val="none"/>
          <w:lang w:val="en-US" w:eastAsia="zh-CN" w:bidi="ar"/>
        </w:rPr>
      </w:pPr>
      <w:r>
        <w:rPr>
          <w:rFonts w:hint="eastAsia" w:cs="宋体"/>
          <w:color w:val="auto"/>
          <w:kern w:val="0"/>
          <w:sz w:val="24"/>
          <w:highlight w:val="none"/>
          <w:lang w:val="en-US" w:eastAsia="zh-CN" w:bidi="ar"/>
        </w:rPr>
        <w:t>g.必须定期对所贮存的危险废物包装容器及贮存设施进行检查，发现破损，应及时采取措施清理更换；</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s="宋体"/>
          <w:color w:val="auto"/>
          <w:kern w:val="0"/>
          <w:sz w:val="24"/>
          <w:highlight w:val="none"/>
          <w:lang w:val="en-US" w:eastAsia="zh-CN" w:bidi="ar"/>
        </w:rPr>
      </w:pPr>
      <w:r>
        <w:rPr>
          <w:rFonts w:hint="eastAsia" w:cs="宋体"/>
          <w:color w:val="auto"/>
          <w:kern w:val="0"/>
          <w:sz w:val="24"/>
          <w:highlight w:val="none"/>
          <w:lang w:val="en-US" w:eastAsia="zh-CN" w:bidi="ar"/>
        </w:rPr>
        <w:t>h.建设单位必须如实填写联单中产生单位栏目，加盖公章，经交付危险废物运输单位核实验收签字后，将联单第一联福联自留存档，将联单第二联交当地环境保护行政主管部门，联单第一联正联及其余联交付运输单位随危险废物转移运行。联单保存期限为五年；贮存危险废物的，其联单保存期限与危险废物贮存期限相同。</w:t>
      </w:r>
    </w:p>
    <w:p>
      <w:pPr>
        <w:widowControl/>
        <w:adjustRightInd w:val="0"/>
        <w:snapToGrid w:val="0"/>
        <w:spacing w:line="360" w:lineRule="auto"/>
        <w:ind w:firstLine="482" w:firstLineChars="200"/>
        <w:jc w:val="left"/>
        <w:rPr>
          <w:color w:val="auto"/>
          <w:sz w:val="24"/>
          <w:highlight w:val="none"/>
        </w:rPr>
      </w:pPr>
      <w:r>
        <w:rPr>
          <w:b/>
          <w:bCs/>
          <w:color w:val="auto"/>
          <w:kern w:val="0"/>
          <w:sz w:val="24"/>
          <w:highlight w:val="none"/>
          <w:lang w:bidi="ar"/>
        </w:rPr>
        <w:t>3</w:t>
      </w:r>
      <w:r>
        <w:rPr>
          <w:rFonts w:hint="eastAsia" w:cs="宋体"/>
          <w:b/>
          <w:bCs/>
          <w:color w:val="auto"/>
          <w:kern w:val="0"/>
          <w:sz w:val="24"/>
          <w:highlight w:val="none"/>
          <w:lang w:bidi="ar"/>
        </w:rPr>
        <w:t xml:space="preserve">、结论 </w:t>
      </w:r>
    </w:p>
    <w:p>
      <w:pPr>
        <w:widowControl/>
        <w:adjustRightInd w:val="0"/>
        <w:snapToGrid w:val="0"/>
        <w:spacing w:line="360" w:lineRule="auto"/>
        <w:ind w:firstLine="480" w:firstLineChars="200"/>
        <w:jc w:val="left"/>
        <w:rPr>
          <w:color w:val="auto"/>
          <w:sz w:val="24"/>
          <w:highlight w:val="none"/>
        </w:rPr>
      </w:pPr>
      <w:r>
        <w:rPr>
          <w:rFonts w:hint="eastAsia" w:cs="宋体"/>
          <w:color w:val="auto"/>
          <w:kern w:val="0"/>
          <w:sz w:val="24"/>
          <w:highlight w:val="none"/>
          <w:lang w:bidi="ar"/>
        </w:rPr>
        <w:t>本项目固体废物的收集、贮存和处置严格按照《一般工业固体废物贮存和填埋污染控制标准》（</w:t>
      </w:r>
      <w:r>
        <w:rPr>
          <w:color w:val="auto"/>
          <w:kern w:val="0"/>
          <w:sz w:val="24"/>
          <w:highlight w:val="none"/>
          <w:lang w:bidi="ar"/>
        </w:rPr>
        <w:t>GB18599-2020</w:t>
      </w:r>
      <w:r>
        <w:rPr>
          <w:rFonts w:hint="eastAsia" w:cs="宋体"/>
          <w:color w:val="auto"/>
          <w:kern w:val="0"/>
          <w:sz w:val="24"/>
          <w:highlight w:val="none"/>
          <w:lang w:bidi="ar"/>
        </w:rPr>
        <w:t>）、《危险废物贮存污染控制标准》（</w:t>
      </w:r>
      <w:r>
        <w:rPr>
          <w:color w:val="auto"/>
          <w:kern w:val="0"/>
          <w:sz w:val="24"/>
          <w:highlight w:val="none"/>
          <w:lang w:bidi="ar"/>
        </w:rPr>
        <w:t>GB18597-20</w:t>
      </w:r>
      <w:r>
        <w:rPr>
          <w:rFonts w:hint="eastAsia"/>
          <w:color w:val="auto"/>
          <w:kern w:val="0"/>
          <w:sz w:val="24"/>
          <w:highlight w:val="none"/>
          <w:lang w:val="en-US" w:eastAsia="zh-CN" w:bidi="ar"/>
        </w:rPr>
        <w:t>23</w:t>
      </w:r>
      <w:r>
        <w:rPr>
          <w:rFonts w:hint="eastAsia" w:cs="宋体"/>
          <w:color w:val="auto"/>
          <w:kern w:val="0"/>
          <w:sz w:val="24"/>
          <w:highlight w:val="none"/>
          <w:lang w:bidi="ar"/>
        </w:rPr>
        <w:t>）以及《危险废物收集贮存运输技术规范》（</w:t>
      </w:r>
      <w:r>
        <w:rPr>
          <w:color w:val="auto"/>
          <w:kern w:val="0"/>
          <w:sz w:val="24"/>
          <w:highlight w:val="none"/>
          <w:lang w:bidi="ar"/>
        </w:rPr>
        <w:t>HJ2025-2012</w:t>
      </w:r>
      <w:r>
        <w:rPr>
          <w:rFonts w:hint="eastAsia" w:cs="宋体"/>
          <w:color w:val="auto"/>
          <w:kern w:val="0"/>
          <w:sz w:val="24"/>
          <w:highlight w:val="none"/>
          <w:lang w:bidi="ar"/>
        </w:rPr>
        <w:t>）等相关规范进行。综上所述，本项目运营期产生的固废均采取了合理可行的措施，固废收集、暂存、处置措施合理可行，固废均得到妥善处置，处置率</w:t>
      </w:r>
      <w:r>
        <w:rPr>
          <w:color w:val="auto"/>
          <w:kern w:val="0"/>
          <w:sz w:val="24"/>
          <w:highlight w:val="none"/>
          <w:lang w:bidi="ar"/>
        </w:rPr>
        <w:t>100%</w:t>
      </w:r>
      <w:r>
        <w:rPr>
          <w:rFonts w:hint="eastAsia" w:cs="宋体"/>
          <w:color w:val="auto"/>
          <w:kern w:val="0"/>
          <w:sz w:val="24"/>
          <w:highlight w:val="none"/>
          <w:lang w:bidi="ar"/>
        </w:rPr>
        <w:t>，固体废物对环境影响较小。</w:t>
      </w:r>
    </w:p>
    <w:p>
      <w:pPr>
        <w:keepNext/>
        <w:keepLines/>
        <w:spacing w:line="360" w:lineRule="auto"/>
        <w:outlineLvl w:val="2"/>
        <w:rPr>
          <w:b/>
          <w:bCs/>
          <w:color w:val="auto"/>
          <w:sz w:val="24"/>
          <w:highlight w:val="none"/>
        </w:rPr>
      </w:pPr>
      <w:bookmarkStart w:id="600" w:name="_Toc75908717"/>
      <w:bookmarkStart w:id="601" w:name="_Toc21313"/>
      <w:r>
        <w:rPr>
          <w:b/>
          <w:bCs/>
          <w:color w:val="auto"/>
          <w:sz w:val="24"/>
          <w:highlight w:val="none"/>
        </w:rPr>
        <w:t>5.2.</w:t>
      </w:r>
      <w:r>
        <w:rPr>
          <w:rFonts w:hint="eastAsia"/>
          <w:b/>
          <w:bCs/>
          <w:color w:val="auto"/>
          <w:sz w:val="24"/>
          <w:highlight w:val="none"/>
        </w:rPr>
        <w:t>6</w:t>
      </w:r>
      <w:r>
        <w:rPr>
          <w:b/>
          <w:bCs/>
          <w:color w:val="auto"/>
          <w:sz w:val="24"/>
          <w:highlight w:val="none"/>
        </w:rPr>
        <w:t>土壤环境影响分析</w:t>
      </w:r>
      <w:bookmarkEnd w:id="600"/>
      <w:bookmarkEnd w:id="601"/>
    </w:p>
    <w:bookmarkEnd w:id="543"/>
    <w:bookmarkEnd w:id="544"/>
    <w:bookmarkEnd w:id="545"/>
    <w:bookmarkEnd w:id="546"/>
    <w:bookmarkEnd w:id="547"/>
    <w:bookmarkEnd w:id="548"/>
    <w:bookmarkEnd w:id="549"/>
    <w:bookmarkEnd w:id="550"/>
    <w:bookmarkEnd w:id="551"/>
    <w:p>
      <w:pPr>
        <w:spacing w:line="360" w:lineRule="auto"/>
        <w:ind w:firstLine="480" w:firstLineChars="200"/>
        <w:rPr>
          <w:color w:val="auto"/>
          <w:kern w:val="0"/>
          <w:sz w:val="24"/>
          <w:highlight w:val="none"/>
        </w:rPr>
      </w:pPr>
      <w:bookmarkStart w:id="602" w:name="_Toc259129033"/>
      <w:bookmarkStart w:id="603" w:name="_Toc259104125"/>
      <w:bookmarkStart w:id="604" w:name="_Toc259104805"/>
      <w:bookmarkStart w:id="605" w:name="_Toc259130400"/>
      <w:r>
        <w:rPr>
          <w:color w:val="auto"/>
          <w:sz w:val="24"/>
          <w:highlight w:val="none"/>
        </w:rPr>
        <w:t>根据《环境影响评价技术导则土壤环境（试行）》（HJ 964-2018）附录A，</w:t>
      </w:r>
      <w:r>
        <w:rPr>
          <w:rFonts w:hint="eastAsia"/>
          <w:color w:val="auto"/>
          <w:sz w:val="24"/>
          <w:highlight w:val="none"/>
          <w:lang w:val="en-US" w:eastAsia="zh-CN"/>
        </w:rPr>
        <w:t>建设项目土壤环境影响评价项目类别不在表A.1的，可根据土壤环境影响源、影响途径、影响因子的识别结果，参照相近或相似项目类别确定。</w:t>
      </w:r>
      <w:r>
        <w:rPr>
          <w:color w:val="auto"/>
          <w:sz w:val="24"/>
          <w:highlight w:val="none"/>
        </w:rPr>
        <w:t>本项目为</w:t>
      </w:r>
      <w:r>
        <w:rPr>
          <w:rFonts w:hint="eastAsia"/>
          <w:color w:val="auto"/>
          <w:sz w:val="24"/>
          <w:highlight w:val="none"/>
          <w:lang w:val="en-US" w:eastAsia="zh-CN"/>
        </w:rPr>
        <w:t>蔬菜框生产项目，参照“制造业”行业类别中的“其他”类别，</w:t>
      </w:r>
      <w:r>
        <w:rPr>
          <w:color w:val="auto"/>
          <w:kern w:val="0"/>
          <w:sz w:val="24"/>
          <w:highlight w:val="none"/>
        </w:rPr>
        <w:t>其土壤环境影响评价类别属Ⅲ类。</w:t>
      </w:r>
    </w:p>
    <w:p>
      <w:pPr>
        <w:adjustRightInd w:val="0"/>
        <w:snapToGrid w:val="0"/>
        <w:spacing w:line="360" w:lineRule="auto"/>
        <w:ind w:firstLine="480" w:firstLineChars="200"/>
        <w:rPr>
          <w:color w:val="auto"/>
          <w:sz w:val="24"/>
          <w:highlight w:val="none"/>
          <w:lang w:val="zh-CN"/>
        </w:rPr>
      </w:pPr>
      <w:r>
        <w:rPr>
          <w:color w:val="auto"/>
          <w:sz w:val="24"/>
          <w:highlight w:val="none"/>
        </w:rPr>
        <w:t>项目位于寻甸</w:t>
      </w:r>
      <w:r>
        <w:rPr>
          <w:rFonts w:hint="eastAsia"/>
          <w:color w:val="auto"/>
          <w:sz w:val="24"/>
          <w:highlight w:val="none"/>
          <w:lang w:val="en-US" w:eastAsia="zh-CN"/>
        </w:rPr>
        <w:t>县仁德街道三月三村</w:t>
      </w:r>
      <w:r>
        <w:rPr>
          <w:color w:val="auto"/>
          <w:sz w:val="24"/>
          <w:highlight w:val="none"/>
        </w:rPr>
        <w:t>，占地类型为</w:t>
      </w:r>
      <w:r>
        <w:rPr>
          <w:rFonts w:hint="eastAsia"/>
          <w:color w:val="auto"/>
          <w:sz w:val="24"/>
          <w:highlight w:val="none"/>
          <w:lang w:val="en-US" w:eastAsia="zh-CN"/>
        </w:rPr>
        <w:t>工业</w:t>
      </w:r>
      <w:r>
        <w:rPr>
          <w:color w:val="auto"/>
          <w:sz w:val="24"/>
          <w:highlight w:val="none"/>
        </w:rPr>
        <w:t>用地。</w:t>
      </w:r>
      <w:r>
        <w:rPr>
          <w:rFonts w:hint="eastAsia"/>
          <w:color w:val="auto"/>
          <w:sz w:val="24"/>
          <w:highlight w:val="none"/>
          <w:lang w:val="en-US" w:eastAsia="zh-CN"/>
        </w:rPr>
        <w:t>项目周围存在耕地等保护目标，</w:t>
      </w:r>
      <w:r>
        <w:rPr>
          <w:color w:val="auto"/>
          <w:sz w:val="24"/>
          <w:highlight w:val="none"/>
        </w:rPr>
        <w:t>土壤环境属敏感区域。按照《环境影响评价技术导则土壤环境》（HJ964-2018）中关于评价等级的确定原则与方法，确定本项目土壤环境影响评价工作</w:t>
      </w:r>
      <w:r>
        <w:rPr>
          <w:color w:val="auto"/>
          <w:sz w:val="24"/>
          <w:highlight w:val="none"/>
          <w:lang w:val="zh-CN"/>
        </w:rPr>
        <w:t>等级为三级。</w:t>
      </w:r>
    </w:p>
    <w:p>
      <w:pPr>
        <w:tabs>
          <w:tab w:val="left" w:pos="1625"/>
        </w:tabs>
        <w:adjustRightInd w:val="0"/>
        <w:snapToGrid w:val="0"/>
        <w:spacing w:line="360" w:lineRule="auto"/>
        <w:ind w:firstLine="480" w:firstLineChars="200"/>
        <w:rPr>
          <w:color w:val="auto"/>
          <w:sz w:val="24"/>
          <w:highlight w:val="none"/>
          <w:lang w:val="zh-CN"/>
        </w:rPr>
      </w:pPr>
      <w:r>
        <w:rPr>
          <w:color w:val="auto"/>
          <w:sz w:val="24"/>
          <w:highlight w:val="none"/>
          <w:lang w:val="zh-CN"/>
        </w:rPr>
        <w:t>根据《环境影响评价技术导则土壤环境（试行）》（HJ964-2018）中的“8.7.4 评价工作等级为三级的建设项目，可采用定性描述或类比分析法进行预测”。</w:t>
      </w:r>
    </w:p>
    <w:p>
      <w:pPr>
        <w:tabs>
          <w:tab w:val="left" w:pos="1625"/>
        </w:tabs>
        <w:spacing w:line="360" w:lineRule="auto"/>
        <w:ind w:firstLine="482" w:firstLineChars="200"/>
        <w:rPr>
          <w:b/>
          <w:color w:val="auto"/>
          <w:sz w:val="24"/>
          <w:highlight w:val="none"/>
        </w:rPr>
      </w:pPr>
      <w:r>
        <w:rPr>
          <w:b/>
          <w:color w:val="auto"/>
          <w:sz w:val="24"/>
          <w:highlight w:val="none"/>
        </w:rPr>
        <w:t>1、土壤环境影响类型与影响途径识别</w:t>
      </w:r>
    </w:p>
    <w:p>
      <w:pPr>
        <w:spacing w:line="360" w:lineRule="auto"/>
        <w:ind w:firstLine="480" w:firstLineChars="200"/>
        <w:rPr>
          <w:bCs/>
          <w:color w:val="auto"/>
          <w:sz w:val="24"/>
          <w:highlight w:val="none"/>
        </w:rPr>
      </w:pPr>
      <w:r>
        <w:rPr>
          <w:bCs/>
          <w:color w:val="auto"/>
          <w:sz w:val="24"/>
          <w:highlight w:val="none"/>
        </w:rPr>
        <w:t>项目属于污染影响型，影响类型和影响途径见表</w:t>
      </w:r>
      <w:r>
        <w:rPr>
          <w:rFonts w:hint="eastAsia"/>
          <w:bCs/>
          <w:color w:val="auto"/>
          <w:sz w:val="24"/>
          <w:highlight w:val="none"/>
        </w:rPr>
        <w:t>5.2-</w:t>
      </w:r>
      <w:r>
        <w:rPr>
          <w:rFonts w:hint="eastAsia"/>
          <w:bCs/>
          <w:color w:val="auto"/>
          <w:sz w:val="24"/>
          <w:highlight w:val="none"/>
          <w:lang w:val="en-US" w:eastAsia="zh-CN"/>
        </w:rPr>
        <w:t>17</w:t>
      </w:r>
      <w:r>
        <w:rPr>
          <w:bCs/>
          <w:color w:val="auto"/>
          <w:sz w:val="24"/>
          <w:highlight w:val="none"/>
        </w:rPr>
        <w:t>：</w:t>
      </w:r>
    </w:p>
    <w:p>
      <w:pPr>
        <w:spacing w:line="360" w:lineRule="auto"/>
        <w:jc w:val="center"/>
        <w:rPr>
          <w:b/>
          <w:bCs/>
          <w:color w:val="auto"/>
          <w:sz w:val="24"/>
          <w:highlight w:val="none"/>
        </w:rPr>
      </w:pPr>
      <w:r>
        <w:rPr>
          <w:b/>
          <w:bCs/>
          <w:color w:val="auto"/>
          <w:sz w:val="24"/>
          <w:highlight w:val="none"/>
        </w:rPr>
        <w:t>表</w:t>
      </w:r>
      <w:r>
        <w:rPr>
          <w:rFonts w:hint="eastAsia"/>
          <w:b/>
          <w:bCs/>
          <w:color w:val="auto"/>
          <w:sz w:val="24"/>
          <w:highlight w:val="none"/>
        </w:rPr>
        <w:t>5.2-</w:t>
      </w:r>
      <w:r>
        <w:rPr>
          <w:rFonts w:hint="eastAsia"/>
          <w:b/>
          <w:bCs/>
          <w:color w:val="auto"/>
          <w:sz w:val="24"/>
          <w:highlight w:val="none"/>
          <w:lang w:val="en-US" w:eastAsia="zh-CN"/>
        </w:rPr>
        <w:t>17</w:t>
      </w:r>
      <w:r>
        <w:rPr>
          <w:b/>
          <w:bCs/>
          <w:color w:val="auto"/>
          <w:sz w:val="24"/>
          <w:highlight w:val="none"/>
        </w:rPr>
        <w:t xml:space="preserve">  建设项目土壤环境影响类型与影响途径</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06"/>
        <w:gridCol w:w="1706"/>
        <w:gridCol w:w="1710"/>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6" w:type="dxa"/>
            <w:vMerge w:val="restart"/>
            <w:tcBorders>
              <w:tl2br w:val="nil"/>
              <w:tr2bl w:val="nil"/>
            </w:tcBorders>
            <w:vAlign w:val="center"/>
          </w:tcPr>
          <w:p>
            <w:pPr>
              <w:spacing w:line="360" w:lineRule="auto"/>
              <w:jc w:val="center"/>
              <w:rPr>
                <w:color w:val="auto"/>
                <w:szCs w:val="21"/>
                <w:highlight w:val="none"/>
              </w:rPr>
            </w:pPr>
            <w:r>
              <w:rPr>
                <w:color w:val="auto"/>
                <w:szCs w:val="21"/>
                <w:highlight w:val="none"/>
              </w:rPr>
              <w:t>不同时段</w:t>
            </w:r>
          </w:p>
        </w:tc>
        <w:tc>
          <w:tcPr>
            <w:tcW w:w="6843" w:type="dxa"/>
            <w:gridSpan w:val="4"/>
            <w:tcBorders>
              <w:tl2br w:val="nil"/>
              <w:tr2bl w:val="nil"/>
            </w:tcBorders>
            <w:vAlign w:val="center"/>
          </w:tcPr>
          <w:p>
            <w:pPr>
              <w:spacing w:line="360" w:lineRule="auto"/>
              <w:jc w:val="center"/>
              <w:rPr>
                <w:color w:val="auto"/>
                <w:szCs w:val="21"/>
                <w:highlight w:val="none"/>
              </w:rPr>
            </w:pPr>
            <w:r>
              <w:rPr>
                <w:color w:val="auto"/>
                <w:szCs w:val="21"/>
                <w:highlight w:val="none"/>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tcBorders>
              <w:tl2br w:val="nil"/>
              <w:tr2bl w:val="nil"/>
            </w:tcBorders>
            <w:vAlign w:val="center"/>
          </w:tcPr>
          <w:p>
            <w:pPr>
              <w:spacing w:line="360" w:lineRule="auto"/>
              <w:jc w:val="center"/>
              <w:rPr>
                <w:color w:val="auto"/>
                <w:szCs w:val="21"/>
                <w:highlight w:val="none"/>
              </w:rPr>
            </w:pPr>
          </w:p>
        </w:tc>
        <w:tc>
          <w:tcPr>
            <w:tcW w:w="1706" w:type="dxa"/>
            <w:tcBorders>
              <w:tl2br w:val="nil"/>
              <w:tr2bl w:val="nil"/>
            </w:tcBorders>
            <w:vAlign w:val="center"/>
          </w:tcPr>
          <w:p>
            <w:pPr>
              <w:spacing w:line="360" w:lineRule="auto"/>
              <w:jc w:val="center"/>
              <w:rPr>
                <w:color w:val="auto"/>
                <w:szCs w:val="21"/>
                <w:highlight w:val="none"/>
              </w:rPr>
            </w:pPr>
            <w:r>
              <w:rPr>
                <w:color w:val="auto"/>
                <w:szCs w:val="21"/>
                <w:highlight w:val="none"/>
              </w:rPr>
              <w:t>大气沉降</w:t>
            </w:r>
          </w:p>
        </w:tc>
        <w:tc>
          <w:tcPr>
            <w:tcW w:w="1706" w:type="dxa"/>
            <w:tcBorders>
              <w:tl2br w:val="nil"/>
              <w:tr2bl w:val="nil"/>
            </w:tcBorders>
            <w:vAlign w:val="center"/>
          </w:tcPr>
          <w:p>
            <w:pPr>
              <w:spacing w:line="360" w:lineRule="auto"/>
              <w:jc w:val="center"/>
              <w:rPr>
                <w:color w:val="auto"/>
                <w:szCs w:val="21"/>
                <w:highlight w:val="none"/>
              </w:rPr>
            </w:pPr>
            <w:r>
              <w:rPr>
                <w:color w:val="auto"/>
                <w:szCs w:val="21"/>
                <w:highlight w:val="none"/>
              </w:rPr>
              <w:t>地面漫流</w:t>
            </w:r>
          </w:p>
        </w:tc>
        <w:tc>
          <w:tcPr>
            <w:tcW w:w="1710" w:type="dxa"/>
            <w:tcBorders>
              <w:tl2br w:val="nil"/>
              <w:tr2bl w:val="nil"/>
            </w:tcBorders>
            <w:vAlign w:val="center"/>
          </w:tcPr>
          <w:p>
            <w:pPr>
              <w:spacing w:line="360" w:lineRule="auto"/>
              <w:jc w:val="center"/>
              <w:rPr>
                <w:color w:val="auto"/>
                <w:szCs w:val="21"/>
                <w:highlight w:val="none"/>
              </w:rPr>
            </w:pPr>
            <w:r>
              <w:rPr>
                <w:color w:val="auto"/>
                <w:szCs w:val="21"/>
                <w:highlight w:val="none"/>
              </w:rPr>
              <w:t>垂直入渗</w:t>
            </w:r>
          </w:p>
        </w:tc>
        <w:tc>
          <w:tcPr>
            <w:tcW w:w="1721" w:type="dxa"/>
            <w:tcBorders>
              <w:tl2br w:val="nil"/>
              <w:tr2bl w:val="nil"/>
            </w:tcBorders>
            <w:vAlign w:val="center"/>
          </w:tcPr>
          <w:p>
            <w:pPr>
              <w:spacing w:line="360" w:lineRule="auto"/>
              <w:jc w:val="center"/>
              <w:rPr>
                <w:color w:val="auto"/>
                <w:szCs w:val="21"/>
                <w:highlight w:val="none"/>
              </w:rPr>
            </w:pPr>
            <w:r>
              <w:rPr>
                <w:color w:val="auto"/>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Borders>
              <w:tl2br w:val="nil"/>
              <w:tr2bl w:val="nil"/>
            </w:tcBorders>
            <w:vAlign w:val="center"/>
          </w:tcPr>
          <w:p>
            <w:pPr>
              <w:spacing w:line="360" w:lineRule="auto"/>
              <w:jc w:val="center"/>
              <w:rPr>
                <w:color w:val="auto"/>
                <w:szCs w:val="21"/>
                <w:highlight w:val="none"/>
              </w:rPr>
            </w:pPr>
            <w:r>
              <w:rPr>
                <w:color w:val="auto"/>
                <w:szCs w:val="21"/>
                <w:highlight w:val="none"/>
              </w:rPr>
              <w:t>建设期</w:t>
            </w:r>
          </w:p>
        </w:tc>
        <w:tc>
          <w:tcPr>
            <w:tcW w:w="1706" w:type="dxa"/>
            <w:tcBorders>
              <w:tl2br w:val="nil"/>
              <w:tr2bl w:val="nil"/>
            </w:tcBorders>
            <w:vAlign w:val="center"/>
          </w:tcPr>
          <w:p>
            <w:pPr>
              <w:spacing w:line="360" w:lineRule="auto"/>
              <w:jc w:val="center"/>
              <w:rPr>
                <w:color w:val="auto"/>
                <w:szCs w:val="21"/>
                <w:highlight w:val="none"/>
              </w:rPr>
            </w:pPr>
          </w:p>
        </w:tc>
        <w:tc>
          <w:tcPr>
            <w:tcW w:w="1706" w:type="dxa"/>
            <w:tcBorders>
              <w:tl2br w:val="nil"/>
              <w:tr2bl w:val="nil"/>
            </w:tcBorders>
            <w:vAlign w:val="center"/>
          </w:tcPr>
          <w:p>
            <w:pPr>
              <w:spacing w:line="360" w:lineRule="auto"/>
              <w:jc w:val="center"/>
              <w:rPr>
                <w:color w:val="auto"/>
                <w:szCs w:val="21"/>
                <w:highlight w:val="none"/>
              </w:rPr>
            </w:pPr>
          </w:p>
        </w:tc>
        <w:tc>
          <w:tcPr>
            <w:tcW w:w="1710" w:type="dxa"/>
            <w:tcBorders>
              <w:tl2br w:val="nil"/>
              <w:tr2bl w:val="nil"/>
            </w:tcBorders>
            <w:vAlign w:val="center"/>
          </w:tcPr>
          <w:p>
            <w:pPr>
              <w:spacing w:line="360" w:lineRule="auto"/>
              <w:jc w:val="center"/>
              <w:rPr>
                <w:color w:val="auto"/>
                <w:szCs w:val="21"/>
                <w:highlight w:val="none"/>
              </w:rPr>
            </w:pPr>
          </w:p>
        </w:tc>
        <w:tc>
          <w:tcPr>
            <w:tcW w:w="1721" w:type="dxa"/>
            <w:tcBorders>
              <w:tl2br w:val="nil"/>
              <w:tr2bl w:val="nil"/>
            </w:tcBorders>
            <w:vAlign w:val="center"/>
          </w:tcPr>
          <w:p>
            <w:pPr>
              <w:spacing w:line="36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Borders>
              <w:tl2br w:val="nil"/>
              <w:tr2bl w:val="nil"/>
            </w:tcBorders>
            <w:vAlign w:val="center"/>
          </w:tcPr>
          <w:p>
            <w:pPr>
              <w:spacing w:line="360" w:lineRule="auto"/>
              <w:jc w:val="center"/>
              <w:rPr>
                <w:color w:val="auto"/>
                <w:szCs w:val="21"/>
                <w:highlight w:val="none"/>
              </w:rPr>
            </w:pPr>
            <w:r>
              <w:rPr>
                <w:color w:val="auto"/>
                <w:szCs w:val="21"/>
                <w:highlight w:val="none"/>
              </w:rPr>
              <w:t>运营期</w:t>
            </w:r>
          </w:p>
        </w:tc>
        <w:tc>
          <w:tcPr>
            <w:tcW w:w="1706" w:type="dxa"/>
            <w:tcBorders>
              <w:tl2br w:val="nil"/>
              <w:tr2bl w:val="nil"/>
            </w:tcBorders>
            <w:vAlign w:val="center"/>
          </w:tcPr>
          <w:p>
            <w:pPr>
              <w:spacing w:line="360" w:lineRule="auto"/>
              <w:jc w:val="center"/>
              <w:rPr>
                <w:color w:val="auto"/>
                <w:szCs w:val="21"/>
                <w:highlight w:val="none"/>
              </w:rPr>
            </w:pPr>
            <w:r>
              <w:rPr>
                <w:color w:val="auto"/>
                <w:szCs w:val="21"/>
                <w:highlight w:val="none"/>
              </w:rPr>
              <w:t>√</w:t>
            </w:r>
          </w:p>
        </w:tc>
        <w:tc>
          <w:tcPr>
            <w:tcW w:w="1706" w:type="dxa"/>
            <w:tcBorders>
              <w:tl2br w:val="nil"/>
              <w:tr2bl w:val="nil"/>
            </w:tcBorders>
            <w:vAlign w:val="center"/>
          </w:tcPr>
          <w:p>
            <w:pPr>
              <w:spacing w:line="360" w:lineRule="auto"/>
              <w:jc w:val="center"/>
              <w:rPr>
                <w:color w:val="auto"/>
                <w:szCs w:val="21"/>
                <w:highlight w:val="none"/>
              </w:rPr>
            </w:pPr>
            <w:r>
              <w:rPr>
                <w:color w:val="auto"/>
                <w:szCs w:val="21"/>
                <w:highlight w:val="none"/>
              </w:rPr>
              <w:t>√</w:t>
            </w:r>
          </w:p>
        </w:tc>
        <w:tc>
          <w:tcPr>
            <w:tcW w:w="1710" w:type="dxa"/>
            <w:tcBorders>
              <w:tl2br w:val="nil"/>
              <w:tr2bl w:val="nil"/>
            </w:tcBorders>
            <w:vAlign w:val="center"/>
          </w:tcPr>
          <w:p>
            <w:pPr>
              <w:spacing w:line="360" w:lineRule="auto"/>
              <w:jc w:val="center"/>
              <w:rPr>
                <w:color w:val="auto"/>
                <w:szCs w:val="21"/>
                <w:highlight w:val="none"/>
              </w:rPr>
            </w:pPr>
            <w:r>
              <w:rPr>
                <w:color w:val="auto"/>
                <w:szCs w:val="21"/>
                <w:highlight w:val="none"/>
              </w:rPr>
              <w:t>√</w:t>
            </w:r>
          </w:p>
        </w:tc>
        <w:tc>
          <w:tcPr>
            <w:tcW w:w="1721" w:type="dxa"/>
            <w:tcBorders>
              <w:tl2br w:val="nil"/>
              <w:tr2bl w:val="nil"/>
            </w:tcBorders>
            <w:vAlign w:val="center"/>
          </w:tcPr>
          <w:p>
            <w:pPr>
              <w:spacing w:line="36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tcBorders>
              <w:tl2br w:val="nil"/>
              <w:tr2bl w:val="nil"/>
            </w:tcBorders>
            <w:vAlign w:val="center"/>
          </w:tcPr>
          <w:p>
            <w:pPr>
              <w:spacing w:line="360" w:lineRule="auto"/>
              <w:jc w:val="center"/>
              <w:rPr>
                <w:color w:val="auto"/>
                <w:szCs w:val="21"/>
                <w:highlight w:val="none"/>
              </w:rPr>
            </w:pPr>
            <w:r>
              <w:rPr>
                <w:color w:val="auto"/>
                <w:szCs w:val="21"/>
                <w:highlight w:val="none"/>
              </w:rPr>
              <w:t>服务期满后</w:t>
            </w:r>
          </w:p>
        </w:tc>
        <w:tc>
          <w:tcPr>
            <w:tcW w:w="1706" w:type="dxa"/>
            <w:tcBorders>
              <w:tl2br w:val="nil"/>
              <w:tr2bl w:val="nil"/>
            </w:tcBorders>
            <w:vAlign w:val="center"/>
          </w:tcPr>
          <w:p>
            <w:pPr>
              <w:spacing w:line="360" w:lineRule="auto"/>
              <w:jc w:val="center"/>
              <w:rPr>
                <w:color w:val="auto"/>
                <w:szCs w:val="21"/>
                <w:highlight w:val="none"/>
              </w:rPr>
            </w:pPr>
          </w:p>
        </w:tc>
        <w:tc>
          <w:tcPr>
            <w:tcW w:w="1706" w:type="dxa"/>
            <w:tcBorders>
              <w:tl2br w:val="nil"/>
              <w:tr2bl w:val="nil"/>
            </w:tcBorders>
            <w:vAlign w:val="center"/>
          </w:tcPr>
          <w:p>
            <w:pPr>
              <w:spacing w:line="360" w:lineRule="auto"/>
              <w:jc w:val="center"/>
              <w:rPr>
                <w:color w:val="auto"/>
                <w:szCs w:val="21"/>
                <w:highlight w:val="none"/>
              </w:rPr>
            </w:pPr>
          </w:p>
        </w:tc>
        <w:tc>
          <w:tcPr>
            <w:tcW w:w="1710" w:type="dxa"/>
            <w:tcBorders>
              <w:tl2br w:val="nil"/>
              <w:tr2bl w:val="nil"/>
            </w:tcBorders>
            <w:vAlign w:val="center"/>
          </w:tcPr>
          <w:p>
            <w:pPr>
              <w:spacing w:line="360" w:lineRule="auto"/>
              <w:jc w:val="center"/>
              <w:rPr>
                <w:color w:val="auto"/>
                <w:szCs w:val="21"/>
                <w:highlight w:val="none"/>
              </w:rPr>
            </w:pPr>
          </w:p>
        </w:tc>
        <w:tc>
          <w:tcPr>
            <w:tcW w:w="1721" w:type="dxa"/>
            <w:tcBorders>
              <w:tl2br w:val="nil"/>
              <w:tr2bl w:val="nil"/>
            </w:tcBorders>
            <w:vAlign w:val="center"/>
          </w:tcPr>
          <w:p>
            <w:pPr>
              <w:spacing w:line="36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9" w:type="dxa"/>
            <w:gridSpan w:val="5"/>
            <w:tcBorders>
              <w:tl2br w:val="nil"/>
              <w:tr2bl w:val="nil"/>
            </w:tcBorders>
            <w:vAlign w:val="center"/>
          </w:tcPr>
          <w:p>
            <w:pPr>
              <w:spacing w:line="360" w:lineRule="auto"/>
              <w:jc w:val="left"/>
              <w:rPr>
                <w:color w:val="auto"/>
                <w:szCs w:val="21"/>
                <w:highlight w:val="none"/>
              </w:rPr>
            </w:pPr>
            <w:r>
              <w:rPr>
                <w:color w:val="auto"/>
                <w:szCs w:val="21"/>
                <w:highlight w:val="none"/>
              </w:rPr>
              <w:t>注：在可能产生的土壤环境影响类型处打“√”，列入未涵盖的可自行设计。</w:t>
            </w:r>
          </w:p>
        </w:tc>
      </w:tr>
    </w:tbl>
    <w:p>
      <w:pPr>
        <w:tabs>
          <w:tab w:val="left" w:pos="1625"/>
        </w:tabs>
        <w:spacing w:line="360" w:lineRule="auto"/>
        <w:ind w:firstLine="482" w:firstLineChars="200"/>
        <w:rPr>
          <w:b/>
          <w:color w:val="auto"/>
          <w:sz w:val="24"/>
          <w:highlight w:val="none"/>
        </w:rPr>
      </w:pPr>
      <w:r>
        <w:rPr>
          <w:b/>
          <w:color w:val="auto"/>
          <w:sz w:val="24"/>
          <w:highlight w:val="none"/>
        </w:rPr>
        <w:t>2、土壤环境影响源及影响因子识别</w:t>
      </w:r>
    </w:p>
    <w:p>
      <w:pPr>
        <w:spacing w:line="360" w:lineRule="auto"/>
        <w:ind w:firstLine="480" w:firstLineChars="200"/>
        <w:rPr>
          <w:bCs/>
          <w:color w:val="auto"/>
          <w:sz w:val="24"/>
          <w:highlight w:val="none"/>
        </w:rPr>
      </w:pPr>
      <w:r>
        <w:rPr>
          <w:bCs/>
          <w:color w:val="auto"/>
          <w:sz w:val="24"/>
          <w:highlight w:val="none"/>
        </w:rPr>
        <w:t>项目土壤影响源及影响因子识别见下表：</w:t>
      </w:r>
    </w:p>
    <w:p>
      <w:pPr>
        <w:spacing w:line="360" w:lineRule="auto"/>
        <w:jc w:val="center"/>
        <w:rPr>
          <w:b/>
          <w:bCs/>
          <w:color w:val="auto"/>
          <w:sz w:val="24"/>
          <w:highlight w:val="none"/>
        </w:rPr>
      </w:pPr>
      <w:r>
        <w:rPr>
          <w:b/>
          <w:bCs/>
          <w:color w:val="auto"/>
          <w:sz w:val="24"/>
          <w:highlight w:val="none"/>
        </w:rPr>
        <w:t>表</w:t>
      </w:r>
      <w:r>
        <w:rPr>
          <w:rFonts w:hint="eastAsia"/>
          <w:b/>
          <w:bCs/>
          <w:color w:val="auto"/>
          <w:sz w:val="24"/>
          <w:highlight w:val="none"/>
        </w:rPr>
        <w:t>5.2-</w:t>
      </w:r>
      <w:r>
        <w:rPr>
          <w:rFonts w:hint="eastAsia"/>
          <w:b/>
          <w:bCs/>
          <w:color w:val="auto"/>
          <w:sz w:val="24"/>
          <w:highlight w:val="none"/>
          <w:lang w:val="en-US" w:eastAsia="zh-CN"/>
        </w:rPr>
        <w:t>18</w:t>
      </w:r>
      <w:r>
        <w:rPr>
          <w:b/>
          <w:bCs/>
          <w:color w:val="auto"/>
          <w:sz w:val="24"/>
          <w:highlight w:val="none"/>
        </w:rPr>
        <w:t xml:space="preserve">  建设项目土壤环境影响源及影响因子识别</w:t>
      </w:r>
    </w:p>
    <w:tbl>
      <w:tblPr>
        <w:tblStyle w:val="55"/>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743"/>
        <w:gridCol w:w="1419"/>
        <w:gridCol w:w="1865"/>
        <w:gridCol w:w="1101"/>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tcBorders>
              <w:tl2br w:val="nil"/>
              <w:tr2bl w:val="nil"/>
            </w:tcBorders>
            <w:vAlign w:val="center"/>
          </w:tcPr>
          <w:p>
            <w:pPr>
              <w:spacing w:line="240" w:lineRule="auto"/>
              <w:jc w:val="center"/>
              <w:rPr>
                <w:color w:val="auto"/>
                <w:szCs w:val="21"/>
                <w:highlight w:val="none"/>
              </w:rPr>
            </w:pPr>
            <w:r>
              <w:rPr>
                <w:color w:val="auto"/>
                <w:szCs w:val="21"/>
                <w:highlight w:val="none"/>
              </w:rPr>
              <w:t>污染源</w:t>
            </w:r>
          </w:p>
        </w:tc>
        <w:tc>
          <w:tcPr>
            <w:tcW w:w="1743" w:type="dxa"/>
            <w:tcBorders>
              <w:tl2br w:val="nil"/>
              <w:tr2bl w:val="nil"/>
            </w:tcBorders>
            <w:vAlign w:val="center"/>
          </w:tcPr>
          <w:p>
            <w:pPr>
              <w:spacing w:line="240" w:lineRule="auto"/>
              <w:jc w:val="center"/>
              <w:rPr>
                <w:color w:val="auto"/>
                <w:szCs w:val="21"/>
                <w:highlight w:val="none"/>
              </w:rPr>
            </w:pPr>
            <w:r>
              <w:rPr>
                <w:color w:val="auto"/>
                <w:szCs w:val="21"/>
                <w:highlight w:val="none"/>
              </w:rPr>
              <w:t>工艺流程/节点</w:t>
            </w:r>
          </w:p>
        </w:tc>
        <w:tc>
          <w:tcPr>
            <w:tcW w:w="1419" w:type="dxa"/>
            <w:tcBorders>
              <w:tl2br w:val="nil"/>
              <w:tr2bl w:val="nil"/>
            </w:tcBorders>
            <w:vAlign w:val="center"/>
          </w:tcPr>
          <w:p>
            <w:pPr>
              <w:spacing w:line="240" w:lineRule="auto"/>
              <w:jc w:val="center"/>
              <w:rPr>
                <w:color w:val="auto"/>
                <w:szCs w:val="21"/>
                <w:highlight w:val="none"/>
              </w:rPr>
            </w:pPr>
            <w:r>
              <w:rPr>
                <w:color w:val="auto"/>
                <w:szCs w:val="21"/>
                <w:highlight w:val="none"/>
              </w:rPr>
              <w:t>污染途径</w:t>
            </w:r>
          </w:p>
        </w:tc>
        <w:tc>
          <w:tcPr>
            <w:tcW w:w="1865" w:type="dxa"/>
            <w:tcBorders>
              <w:tl2br w:val="nil"/>
              <w:tr2bl w:val="nil"/>
            </w:tcBorders>
            <w:vAlign w:val="center"/>
          </w:tcPr>
          <w:p>
            <w:pPr>
              <w:spacing w:line="240" w:lineRule="auto"/>
              <w:jc w:val="center"/>
              <w:rPr>
                <w:color w:val="auto"/>
                <w:szCs w:val="21"/>
                <w:highlight w:val="none"/>
              </w:rPr>
            </w:pPr>
            <w:r>
              <w:rPr>
                <w:color w:val="auto"/>
                <w:szCs w:val="21"/>
                <w:highlight w:val="none"/>
              </w:rPr>
              <w:t>全部污染物指标</w:t>
            </w:r>
            <w:r>
              <w:rPr>
                <w:color w:val="auto"/>
                <w:szCs w:val="21"/>
                <w:highlight w:val="none"/>
                <w:vertAlign w:val="superscript"/>
              </w:rPr>
              <w:t>a</w:t>
            </w:r>
          </w:p>
        </w:tc>
        <w:tc>
          <w:tcPr>
            <w:tcW w:w="1101" w:type="dxa"/>
            <w:tcBorders>
              <w:tl2br w:val="nil"/>
              <w:tr2bl w:val="nil"/>
            </w:tcBorders>
            <w:vAlign w:val="center"/>
          </w:tcPr>
          <w:p>
            <w:pPr>
              <w:spacing w:line="240" w:lineRule="auto"/>
              <w:jc w:val="center"/>
              <w:rPr>
                <w:color w:val="auto"/>
                <w:szCs w:val="21"/>
                <w:highlight w:val="none"/>
              </w:rPr>
            </w:pPr>
            <w:r>
              <w:rPr>
                <w:color w:val="auto"/>
                <w:szCs w:val="21"/>
                <w:highlight w:val="none"/>
              </w:rPr>
              <w:t>特征因子</w:t>
            </w:r>
          </w:p>
        </w:tc>
        <w:tc>
          <w:tcPr>
            <w:tcW w:w="1352" w:type="dxa"/>
            <w:tcBorders>
              <w:tl2br w:val="nil"/>
              <w:tr2bl w:val="nil"/>
            </w:tcBorders>
            <w:vAlign w:val="center"/>
          </w:tcPr>
          <w:p>
            <w:pPr>
              <w:spacing w:line="240" w:lineRule="auto"/>
              <w:jc w:val="center"/>
              <w:rPr>
                <w:color w:val="auto"/>
                <w:szCs w:val="21"/>
                <w:highlight w:val="none"/>
              </w:rPr>
            </w:pPr>
            <w:r>
              <w:rPr>
                <w:color w:val="auto"/>
                <w:szCs w:val="21"/>
                <w:highlight w:val="none"/>
              </w:rPr>
              <w:t>备注</w:t>
            </w:r>
            <w:r>
              <w:rPr>
                <w:color w:val="auto"/>
                <w:szCs w:val="21"/>
                <w:highlight w:val="none"/>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66" w:type="dxa"/>
            <w:vMerge w:val="restart"/>
            <w:tcBorders>
              <w:tl2br w:val="nil"/>
              <w:tr2bl w:val="nil"/>
            </w:tcBorders>
            <w:vAlign w:val="center"/>
          </w:tcPr>
          <w:p>
            <w:pPr>
              <w:spacing w:line="240" w:lineRule="auto"/>
              <w:jc w:val="center"/>
              <w:rPr>
                <w:color w:val="auto"/>
                <w:szCs w:val="21"/>
                <w:highlight w:val="none"/>
              </w:rPr>
            </w:pPr>
            <w:r>
              <w:rPr>
                <w:color w:val="auto"/>
                <w:szCs w:val="21"/>
                <w:highlight w:val="none"/>
              </w:rPr>
              <w:t>生产车间</w:t>
            </w:r>
          </w:p>
          <w:p>
            <w:pPr>
              <w:spacing w:line="240" w:lineRule="auto"/>
              <w:jc w:val="center"/>
              <w:rPr>
                <w:color w:val="auto"/>
                <w:szCs w:val="21"/>
                <w:highlight w:val="none"/>
              </w:rPr>
            </w:pPr>
            <w:r>
              <w:rPr>
                <w:color w:val="auto"/>
                <w:szCs w:val="21"/>
                <w:highlight w:val="none"/>
              </w:rPr>
              <w:t>及场地</w:t>
            </w:r>
          </w:p>
        </w:tc>
        <w:tc>
          <w:tcPr>
            <w:tcW w:w="1743" w:type="dxa"/>
            <w:tcBorders>
              <w:tl2br w:val="nil"/>
              <w:tr2bl w:val="nil"/>
            </w:tcBorders>
            <w:vAlign w:val="center"/>
          </w:tcPr>
          <w:p>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热熔注塑</w:t>
            </w:r>
          </w:p>
        </w:tc>
        <w:tc>
          <w:tcPr>
            <w:tcW w:w="1419" w:type="dxa"/>
            <w:tcBorders>
              <w:tl2br w:val="nil"/>
              <w:tr2bl w:val="nil"/>
            </w:tcBorders>
            <w:vAlign w:val="center"/>
          </w:tcPr>
          <w:p>
            <w:pPr>
              <w:spacing w:line="240" w:lineRule="auto"/>
              <w:jc w:val="center"/>
              <w:rPr>
                <w:color w:val="auto"/>
                <w:szCs w:val="21"/>
                <w:highlight w:val="none"/>
              </w:rPr>
            </w:pPr>
            <w:r>
              <w:rPr>
                <w:color w:val="auto"/>
                <w:szCs w:val="21"/>
                <w:highlight w:val="none"/>
              </w:rPr>
              <w:t>大气沉降</w:t>
            </w:r>
          </w:p>
        </w:tc>
        <w:tc>
          <w:tcPr>
            <w:tcW w:w="1865" w:type="dxa"/>
            <w:tcBorders>
              <w:tl2br w:val="nil"/>
              <w:tr2bl w:val="nil"/>
            </w:tcBorders>
            <w:vAlign w:val="center"/>
          </w:tcPr>
          <w:p>
            <w:pPr>
              <w:spacing w:line="240" w:lineRule="auto"/>
              <w:jc w:val="center"/>
              <w:rPr>
                <w:color w:val="auto"/>
                <w:szCs w:val="21"/>
                <w:highlight w:val="none"/>
              </w:rPr>
            </w:pPr>
            <w:r>
              <w:rPr>
                <w:color w:val="auto"/>
                <w:szCs w:val="21"/>
                <w:highlight w:val="none"/>
              </w:rPr>
              <w:t>非甲烷总烃、颗粒物</w:t>
            </w:r>
          </w:p>
        </w:tc>
        <w:tc>
          <w:tcPr>
            <w:tcW w:w="1101" w:type="dxa"/>
            <w:tcBorders>
              <w:tl2br w:val="nil"/>
              <w:tr2bl w:val="nil"/>
            </w:tcBorders>
            <w:vAlign w:val="center"/>
          </w:tcPr>
          <w:p>
            <w:pPr>
              <w:spacing w:line="240" w:lineRule="auto"/>
              <w:jc w:val="center"/>
              <w:rPr>
                <w:color w:val="auto"/>
                <w:szCs w:val="21"/>
                <w:highlight w:val="none"/>
              </w:rPr>
            </w:pPr>
            <w:r>
              <w:rPr>
                <w:color w:val="auto"/>
                <w:szCs w:val="21"/>
                <w:highlight w:val="none"/>
              </w:rPr>
              <w:t>/</w:t>
            </w:r>
          </w:p>
        </w:tc>
        <w:tc>
          <w:tcPr>
            <w:tcW w:w="1352" w:type="dxa"/>
            <w:tcBorders>
              <w:tl2br w:val="nil"/>
              <w:tr2bl w:val="nil"/>
            </w:tcBorders>
            <w:vAlign w:val="center"/>
          </w:tcPr>
          <w:p>
            <w:pPr>
              <w:spacing w:line="240" w:lineRule="auto"/>
              <w:jc w:val="center"/>
              <w:rPr>
                <w:color w:val="auto"/>
                <w:szCs w:val="21"/>
                <w:highlight w:val="none"/>
              </w:rPr>
            </w:pPr>
            <w:r>
              <w:rPr>
                <w:color w:val="auto"/>
                <w:szCs w:val="21"/>
                <w:highlight w:val="none"/>
              </w:rPr>
              <w:t>连续、正常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tcBorders>
              <w:tl2br w:val="nil"/>
              <w:tr2bl w:val="nil"/>
            </w:tcBorders>
            <w:vAlign w:val="center"/>
          </w:tcPr>
          <w:p>
            <w:pPr>
              <w:spacing w:line="240" w:lineRule="auto"/>
              <w:jc w:val="center"/>
              <w:rPr>
                <w:color w:val="auto"/>
                <w:szCs w:val="21"/>
                <w:highlight w:val="none"/>
              </w:rPr>
            </w:pPr>
          </w:p>
        </w:tc>
        <w:tc>
          <w:tcPr>
            <w:tcW w:w="1743" w:type="dxa"/>
            <w:tcBorders>
              <w:tl2br w:val="nil"/>
              <w:tr2bl w:val="nil"/>
            </w:tcBorders>
            <w:vAlign w:val="center"/>
          </w:tcPr>
          <w:p>
            <w:pPr>
              <w:spacing w:line="240" w:lineRule="auto"/>
              <w:jc w:val="center"/>
              <w:rPr>
                <w:color w:val="auto"/>
                <w:szCs w:val="21"/>
                <w:highlight w:val="none"/>
              </w:rPr>
            </w:pPr>
            <w:r>
              <w:rPr>
                <w:rFonts w:hint="eastAsia"/>
                <w:color w:val="auto"/>
                <w:szCs w:val="21"/>
                <w:highlight w:val="none"/>
                <w:lang w:val="en-US" w:eastAsia="zh-CN"/>
              </w:rPr>
              <w:t>冷却水池</w:t>
            </w:r>
            <w:r>
              <w:rPr>
                <w:color w:val="auto"/>
                <w:szCs w:val="21"/>
                <w:highlight w:val="none"/>
              </w:rPr>
              <w:t>、危废暂存间</w:t>
            </w:r>
          </w:p>
        </w:tc>
        <w:tc>
          <w:tcPr>
            <w:tcW w:w="1419" w:type="dxa"/>
            <w:tcBorders>
              <w:tl2br w:val="nil"/>
              <w:tr2bl w:val="nil"/>
            </w:tcBorders>
            <w:vAlign w:val="center"/>
          </w:tcPr>
          <w:p>
            <w:pPr>
              <w:spacing w:line="240" w:lineRule="auto"/>
              <w:jc w:val="center"/>
              <w:rPr>
                <w:color w:val="auto"/>
                <w:szCs w:val="21"/>
                <w:highlight w:val="none"/>
              </w:rPr>
            </w:pPr>
            <w:r>
              <w:rPr>
                <w:color w:val="auto"/>
                <w:szCs w:val="21"/>
                <w:highlight w:val="none"/>
              </w:rPr>
              <w:t>地面漫流、</w:t>
            </w:r>
          </w:p>
          <w:p>
            <w:pPr>
              <w:spacing w:line="240" w:lineRule="auto"/>
              <w:jc w:val="center"/>
              <w:rPr>
                <w:color w:val="auto"/>
                <w:szCs w:val="21"/>
                <w:highlight w:val="none"/>
              </w:rPr>
            </w:pPr>
            <w:r>
              <w:rPr>
                <w:color w:val="auto"/>
                <w:szCs w:val="21"/>
                <w:highlight w:val="none"/>
              </w:rPr>
              <w:t>垂直入渗</w:t>
            </w:r>
          </w:p>
        </w:tc>
        <w:tc>
          <w:tcPr>
            <w:tcW w:w="1865" w:type="dxa"/>
            <w:tcBorders>
              <w:tl2br w:val="nil"/>
              <w:tr2bl w:val="nil"/>
            </w:tcBorders>
            <w:vAlign w:val="center"/>
          </w:tcPr>
          <w:p>
            <w:pPr>
              <w:spacing w:line="240" w:lineRule="auto"/>
              <w:jc w:val="center"/>
              <w:rPr>
                <w:rFonts w:hint="default" w:eastAsia="宋体"/>
                <w:color w:val="auto"/>
                <w:szCs w:val="21"/>
                <w:highlight w:val="none"/>
                <w:lang w:val="en-US" w:eastAsia="zh-CN"/>
              </w:rPr>
            </w:pPr>
            <w:r>
              <w:rPr>
                <w:color w:val="auto"/>
                <w:szCs w:val="21"/>
                <w:highlight w:val="none"/>
              </w:rPr>
              <w:t>pH、COD、氨氮</w:t>
            </w:r>
            <w:r>
              <w:rPr>
                <w:rFonts w:hint="eastAsia"/>
                <w:color w:val="auto"/>
                <w:szCs w:val="21"/>
                <w:highlight w:val="none"/>
                <w:lang w:eastAsia="zh-CN"/>
              </w:rPr>
              <w:t>、</w:t>
            </w:r>
            <w:r>
              <w:rPr>
                <w:rFonts w:hint="eastAsia"/>
                <w:color w:val="auto"/>
                <w:szCs w:val="21"/>
                <w:highlight w:val="none"/>
                <w:lang w:val="en-US" w:eastAsia="zh-CN"/>
              </w:rPr>
              <w:t>石油烃</w:t>
            </w:r>
          </w:p>
        </w:tc>
        <w:tc>
          <w:tcPr>
            <w:tcW w:w="1101" w:type="dxa"/>
            <w:tcBorders>
              <w:tl2br w:val="nil"/>
              <w:tr2bl w:val="nil"/>
            </w:tcBorders>
            <w:vAlign w:val="center"/>
          </w:tcPr>
          <w:p>
            <w:pPr>
              <w:spacing w:line="240" w:lineRule="auto"/>
              <w:jc w:val="center"/>
              <w:rPr>
                <w:color w:val="auto"/>
                <w:szCs w:val="21"/>
                <w:highlight w:val="none"/>
              </w:rPr>
            </w:pPr>
            <w:r>
              <w:rPr>
                <w:color w:val="auto"/>
                <w:szCs w:val="21"/>
                <w:highlight w:val="none"/>
              </w:rPr>
              <w:t>/</w:t>
            </w:r>
          </w:p>
        </w:tc>
        <w:tc>
          <w:tcPr>
            <w:tcW w:w="1352" w:type="dxa"/>
            <w:tcBorders>
              <w:tl2br w:val="nil"/>
              <w:tr2bl w:val="nil"/>
            </w:tcBorders>
            <w:vAlign w:val="center"/>
          </w:tcPr>
          <w:p>
            <w:pPr>
              <w:spacing w:line="240" w:lineRule="auto"/>
              <w:jc w:val="center"/>
              <w:rPr>
                <w:color w:val="auto"/>
                <w:szCs w:val="21"/>
                <w:highlight w:val="none"/>
              </w:rPr>
            </w:pPr>
            <w:r>
              <w:rPr>
                <w:color w:val="auto"/>
                <w:szCs w:val="21"/>
                <w:highlight w:val="none"/>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6" w:type="dxa"/>
            <w:gridSpan w:val="6"/>
            <w:tcBorders>
              <w:tl2br w:val="nil"/>
              <w:tr2bl w:val="nil"/>
            </w:tcBorders>
          </w:tcPr>
          <w:p>
            <w:pPr>
              <w:spacing w:line="240" w:lineRule="auto"/>
              <w:jc w:val="left"/>
              <w:rPr>
                <w:color w:val="auto"/>
                <w:szCs w:val="21"/>
                <w:highlight w:val="none"/>
              </w:rPr>
            </w:pPr>
            <w:r>
              <w:rPr>
                <w:color w:val="auto"/>
                <w:szCs w:val="21"/>
                <w:highlight w:val="none"/>
              </w:rPr>
              <w:t>a 根据工程分析结果填写。</w:t>
            </w:r>
          </w:p>
          <w:p>
            <w:pPr>
              <w:spacing w:line="240" w:lineRule="auto"/>
              <w:rPr>
                <w:color w:val="auto"/>
                <w:szCs w:val="21"/>
                <w:highlight w:val="none"/>
              </w:rPr>
            </w:pPr>
            <w:r>
              <w:rPr>
                <w:color w:val="auto"/>
                <w:szCs w:val="21"/>
                <w:highlight w:val="none"/>
              </w:rPr>
              <w:t>b 应描述污染源特征，如连续、间断、正常、事故等；涉及大气沉降途径的，应识别建设项目周边的土壤环境敏感目标。</w:t>
            </w:r>
          </w:p>
        </w:tc>
      </w:tr>
    </w:tbl>
    <w:p>
      <w:pPr>
        <w:tabs>
          <w:tab w:val="left" w:pos="1625"/>
        </w:tabs>
        <w:spacing w:line="360" w:lineRule="auto"/>
        <w:ind w:firstLine="482" w:firstLineChars="200"/>
        <w:rPr>
          <w:b/>
          <w:color w:val="auto"/>
          <w:sz w:val="24"/>
          <w:highlight w:val="none"/>
        </w:rPr>
      </w:pPr>
      <w:r>
        <w:rPr>
          <w:b/>
          <w:color w:val="auto"/>
          <w:sz w:val="24"/>
          <w:highlight w:val="none"/>
        </w:rPr>
        <w:t>3、土壤环境影响分析</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lang w:val="en-US" w:eastAsia="zh-CN"/>
        </w:rPr>
        <w:t>大气沉降途径对土壤环境影响分析</w:t>
      </w:r>
    </w:p>
    <w:p>
      <w:pPr>
        <w:spacing w:line="360" w:lineRule="auto"/>
        <w:ind w:firstLine="480" w:firstLineChars="200"/>
        <w:rPr>
          <w:color w:val="auto"/>
          <w:sz w:val="24"/>
          <w:highlight w:val="none"/>
        </w:rPr>
      </w:pPr>
      <w:r>
        <w:rPr>
          <w:color w:val="auto"/>
          <w:sz w:val="24"/>
          <w:highlight w:val="none"/>
        </w:rPr>
        <w:t>项目废气主要污染因子为非甲烷总烃</w:t>
      </w:r>
      <w:r>
        <w:rPr>
          <w:rFonts w:hint="eastAsia"/>
          <w:color w:val="auto"/>
          <w:sz w:val="24"/>
          <w:highlight w:val="none"/>
        </w:rPr>
        <w:t>、</w:t>
      </w:r>
      <w:r>
        <w:rPr>
          <w:color w:val="auto"/>
          <w:sz w:val="24"/>
          <w:highlight w:val="none"/>
        </w:rPr>
        <w:t>颗粒物，在采取本次评价提出的废气污染治理措施治理后，根据估算，项目排气筒排放的非甲烷总烃下风向最大落地浓度最大值为</w:t>
      </w:r>
      <w:r>
        <w:rPr>
          <w:rFonts w:hint="eastAsia"/>
          <w:color w:val="auto"/>
          <w:sz w:val="24"/>
          <w:highlight w:val="none"/>
          <w:lang w:val="en-US" w:eastAsia="zh-CN"/>
        </w:rPr>
        <w:t>7.7068</w:t>
      </w:r>
      <w:r>
        <w:rPr>
          <w:color w:val="auto"/>
          <w:sz w:val="24"/>
          <w:highlight w:val="none"/>
        </w:rPr>
        <w:t>ug/m</w:t>
      </w:r>
      <w:r>
        <w:rPr>
          <w:color w:val="auto"/>
          <w:sz w:val="24"/>
          <w:highlight w:val="none"/>
          <w:vertAlign w:val="superscript"/>
        </w:rPr>
        <w:t>3</w:t>
      </w:r>
      <w:r>
        <w:rPr>
          <w:color w:val="auto"/>
          <w:sz w:val="24"/>
          <w:highlight w:val="none"/>
        </w:rPr>
        <w:t>，最大浓度占标率为</w:t>
      </w:r>
      <w:r>
        <w:rPr>
          <w:rFonts w:hint="eastAsia"/>
          <w:color w:val="auto"/>
          <w:sz w:val="24"/>
          <w:highlight w:val="none"/>
          <w:lang w:val="en-US" w:eastAsia="zh-CN"/>
        </w:rPr>
        <w:t>0.39</w:t>
      </w:r>
      <w:r>
        <w:rPr>
          <w:color w:val="auto"/>
          <w:sz w:val="24"/>
          <w:highlight w:val="none"/>
        </w:rPr>
        <w:t>%，位于下风向</w:t>
      </w:r>
      <w:r>
        <w:rPr>
          <w:rFonts w:hint="eastAsia"/>
          <w:color w:val="auto"/>
          <w:sz w:val="24"/>
          <w:highlight w:val="none"/>
          <w:lang w:val="en-US" w:eastAsia="zh-CN"/>
        </w:rPr>
        <w:t>114</w:t>
      </w:r>
      <w:r>
        <w:rPr>
          <w:color w:val="auto"/>
          <w:sz w:val="24"/>
          <w:highlight w:val="none"/>
        </w:rPr>
        <w:t>m处</w:t>
      </w:r>
      <w:r>
        <w:rPr>
          <w:rFonts w:hint="eastAsia"/>
          <w:color w:val="auto"/>
          <w:sz w:val="24"/>
          <w:highlight w:val="none"/>
        </w:rPr>
        <w:t>。</w:t>
      </w:r>
      <w:r>
        <w:rPr>
          <w:color w:val="auto"/>
          <w:sz w:val="24"/>
          <w:highlight w:val="none"/>
        </w:rPr>
        <w:t>非甲烷总烃满足《大气污染物综合排放标准详解》中2000μg/m</w:t>
      </w:r>
      <w:r>
        <w:rPr>
          <w:color w:val="auto"/>
          <w:sz w:val="24"/>
          <w:highlight w:val="none"/>
          <w:vertAlign w:val="superscript"/>
        </w:rPr>
        <w:t>3</w:t>
      </w:r>
      <w:r>
        <w:rPr>
          <w:color w:val="auto"/>
          <w:sz w:val="24"/>
          <w:highlight w:val="none"/>
        </w:rPr>
        <w:t>限值要求。</w:t>
      </w:r>
    </w:p>
    <w:p>
      <w:pPr>
        <w:spacing w:line="360" w:lineRule="auto"/>
        <w:ind w:firstLine="480" w:firstLineChars="200"/>
        <w:rPr>
          <w:color w:val="auto"/>
          <w:sz w:val="24"/>
          <w:highlight w:val="none"/>
        </w:rPr>
      </w:pPr>
      <w:r>
        <w:rPr>
          <w:color w:val="auto"/>
          <w:sz w:val="24"/>
          <w:highlight w:val="none"/>
        </w:rPr>
        <w:t>生产车间面源排放的非甲烷总烃</w:t>
      </w:r>
      <w:r>
        <w:rPr>
          <w:rFonts w:hint="eastAsia"/>
          <w:color w:val="auto"/>
          <w:sz w:val="24"/>
          <w:highlight w:val="none"/>
        </w:rPr>
        <w:t>、</w:t>
      </w:r>
      <w:r>
        <w:rPr>
          <w:color w:val="auto"/>
          <w:sz w:val="24"/>
          <w:highlight w:val="none"/>
        </w:rPr>
        <w:t>颗粒物下风向最大落地浓度分别为</w:t>
      </w:r>
      <w:r>
        <w:rPr>
          <w:rFonts w:hint="eastAsia"/>
          <w:color w:val="auto"/>
          <w:sz w:val="24"/>
          <w:highlight w:val="none"/>
          <w:lang w:val="en-US" w:eastAsia="zh-CN"/>
        </w:rPr>
        <w:t>110.6956</w:t>
      </w:r>
      <w:r>
        <w:rPr>
          <w:color w:val="auto"/>
          <w:sz w:val="24"/>
          <w:highlight w:val="none"/>
        </w:rPr>
        <w:t>ug/m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21.6510</w:t>
      </w:r>
      <w:r>
        <w:rPr>
          <w:color w:val="auto"/>
          <w:sz w:val="24"/>
          <w:highlight w:val="none"/>
        </w:rPr>
        <w:t>ug/m</w:t>
      </w:r>
      <w:r>
        <w:rPr>
          <w:color w:val="auto"/>
          <w:sz w:val="24"/>
          <w:highlight w:val="none"/>
          <w:vertAlign w:val="superscript"/>
        </w:rPr>
        <w:t>3</w:t>
      </w:r>
      <w:r>
        <w:rPr>
          <w:color w:val="auto"/>
          <w:sz w:val="24"/>
          <w:highlight w:val="none"/>
        </w:rPr>
        <w:t>，最大浓度占标率分别为</w:t>
      </w:r>
      <w:r>
        <w:rPr>
          <w:rFonts w:hint="eastAsia"/>
          <w:color w:val="auto"/>
          <w:sz w:val="24"/>
          <w:highlight w:val="none"/>
          <w:lang w:val="en-US" w:eastAsia="zh-CN"/>
        </w:rPr>
        <w:t>5.53</w:t>
      </w:r>
      <w:r>
        <w:rPr>
          <w:color w:val="auto"/>
          <w:sz w:val="24"/>
          <w:highlight w:val="none"/>
        </w:rPr>
        <w:t>%，</w:t>
      </w:r>
      <w:r>
        <w:rPr>
          <w:rFonts w:hint="eastAsia"/>
          <w:color w:val="auto"/>
          <w:sz w:val="24"/>
          <w:highlight w:val="none"/>
          <w:lang w:val="en-US" w:eastAsia="zh-CN"/>
        </w:rPr>
        <w:t>2.41</w:t>
      </w:r>
      <w:r>
        <w:rPr>
          <w:color w:val="auto"/>
          <w:sz w:val="24"/>
          <w:highlight w:val="none"/>
        </w:rPr>
        <w:t>%，位于下风向</w:t>
      </w:r>
      <w:r>
        <w:rPr>
          <w:rFonts w:hint="eastAsia"/>
          <w:color w:val="auto"/>
          <w:sz w:val="24"/>
          <w:highlight w:val="none"/>
          <w:lang w:val="en-US" w:eastAsia="zh-CN"/>
        </w:rPr>
        <w:t>18</w:t>
      </w:r>
      <w:r>
        <w:rPr>
          <w:color w:val="auto"/>
          <w:sz w:val="24"/>
          <w:highlight w:val="none"/>
        </w:rPr>
        <w:t>m处</w:t>
      </w:r>
      <w:r>
        <w:rPr>
          <w:rFonts w:hint="eastAsia"/>
          <w:color w:val="auto"/>
          <w:sz w:val="24"/>
          <w:highlight w:val="none"/>
        </w:rPr>
        <w:t>。</w:t>
      </w:r>
      <w:r>
        <w:rPr>
          <w:color w:val="auto"/>
          <w:sz w:val="24"/>
          <w:highlight w:val="none"/>
        </w:rPr>
        <w:t>非甲烷总烃满足《大气污染物综合排放标准详解》中2000μg/m</w:t>
      </w:r>
      <w:r>
        <w:rPr>
          <w:color w:val="auto"/>
          <w:sz w:val="24"/>
          <w:highlight w:val="none"/>
          <w:vertAlign w:val="superscript"/>
        </w:rPr>
        <w:t>3</w:t>
      </w:r>
      <w:r>
        <w:rPr>
          <w:color w:val="auto"/>
          <w:sz w:val="24"/>
          <w:highlight w:val="none"/>
        </w:rPr>
        <w:t>限值要求</w:t>
      </w:r>
      <w:r>
        <w:rPr>
          <w:rFonts w:hint="eastAsia"/>
          <w:color w:val="auto"/>
          <w:sz w:val="24"/>
          <w:highlight w:val="none"/>
        </w:rPr>
        <w:t>，</w:t>
      </w:r>
      <w:r>
        <w:rPr>
          <w:color w:val="auto"/>
          <w:sz w:val="24"/>
          <w:highlight w:val="none"/>
        </w:rPr>
        <w:t>TSP满足《环境空气质量标准》（GB3095-2012）中TSP的二级标准要求</w:t>
      </w:r>
      <w:r>
        <w:rPr>
          <w:rFonts w:hint="eastAsia"/>
          <w:color w:val="auto"/>
          <w:sz w:val="24"/>
          <w:highlight w:val="none"/>
        </w:rPr>
        <w:t>。</w:t>
      </w:r>
    </w:p>
    <w:p>
      <w:pPr>
        <w:tabs>
          <w:tab w:val="left" w:pos="1625"/>
        </w:tabs>
        <w:spacing w:line="360" w:lineRule="auto"/>
        <w:ind w:firstLine="480" w:firstLineChars="200"/>
        <w:rPr>
          <w:color w:val="auto"/>
          <w:sz w:val="24"/>
          <w:highlight w:val="none"/>
        </w:rPr>
      </w:pPr>
      <w:r>
        <w:rPr>
          <w:color w:val="auto"/>
          <w:sz w:val="24"/>
          <w:highlight w:val="none"/>
        </w:rPr>
        <w:t>同时项目厂界非甲烷总烃、颗粒物能满足《合成树脂工业污染物排放标准》（GB31572-2015）表9规定的企业边界大气污染物浓度限值。不会显著改变土壤物理、化学特性，因此，废气对土壤环境影响很小。</w:t>
      </w:r>
    </w:p>
    <w:p>
      <w:pPr>
        <w:tabs>
          <w:tab w:val="left" w:pos="1625"/>
        </w:tabs>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lang w:val="en-US" w:eastAsia="zh-CN"/>
        </w:rPr>
        <w:t>垂直入渗途径对土壤环境的影响分析</w:t>
      </w:r>
    </w:p>
    <w:p>
      <w:pPr>
        <w:tabs>
          <w:tab w:val="left" w:pos="1625"/>
        </w:tabs>
        <w:spacing w:line="360" w:lineRule="auto"/>
        <w:ind w:firstLine="480" w:firstLineChars="200"/>
        <w:rPr>
          <w:color w:val="auto"/>
          <w:sz w:val="24"/>
          <w:highlight w:val="none"/>
        </w:rPr>
      </w:pPr>
      <w:r>
        <w:rPr>
          <w:color w:val="auto"/>
          <w:sz w:val="24"/>
          <w:highlight w:val="none"/>
        </w:rPr>
        <w:t>根据场区污染物产生特征及污染物泄漏的途径，对</w:t>
      </w:r>
      <w:r>
        <w:rPr>
          <w:rFonts w:hint="eastAsia"/>
          <w:color w:val="auto"/>
          <w:sz w:val="24"/>
          <w:highlight w:val="none"/>
        </w:rPr>
        <w:t>危废暂存间</w:t>
      </w:r>
      <w:r>
        <w:rPr>
          <w:color w:val="auto"/>
          <w:sz w:val="24"/>
          <w:highlight w:val="none"/>
        </w:rPr>
        <w:t>、生产车间、冷却水池</w:t>
      </w:r>
      <w:r>
        <w:rPr>
          <w:rFonts w:hint="eastAsia"/>
          <w:color w:val="auto"/>
          <w:sz w:val="24"/>
          <w:highlight w:val="none"/>
          <w:lang w:eastAsia="zh-CN"/>
        </w:rPr>
        <w:t>、</w:t>
      </w:r>
      <w:r>
        <w:rPr>
          <w:rFonts w:hint="eastAsia"/>
          <w:color w:val="auto"/>
          <w:sz w:val="24"/>
          <w:highlight w:val="none"/>
          <w:lang w:val="en-US" w:eastAsia="zh-CN"/>
        </w:rPr>
        <w:t>一般固废暂存区</w:t>
      </w:r>
      <w:r>
        <w:rPr>
          <w:color w:val="auto"/>
          <w:sz w:val="24"/>
          <w:highlight w:val="none"/>
        </w:rPr>
        <w:t>等可能发生</w:t>
      </w:r>
      <w:r>
        <w:rPr>
          <w:rFonts w:hint="eastAsia"/>
          <w:color w:val="auto"/>
          <w:sz w:val="24"/>
          <w:highlight w:val="none"/>
          <w:lang w:eastAsia="zh-CN"/>
        </w:rPr>
        <w:t>泄漏</w:t>
      </w:r>
      <w:r>
        <w:rPr>
          <w:color w:val="auto"/>
          <w:sz w:val="24"/>
          <w:highlight w:val="none"/>
        </w:rPr>
        <w:t>污染土壤的区域或部位采取严格的防渗措施。确保各项防渗措施得以落实，并加强维护和厂区环境管理，可有效控制项目产生的污染物下渗现象，避免污染土壤，在采取有效防护措施情况下，项目对区域土壤环境影响较小。</w:t>
      </w:r>
    </w:p>
    <w:p>
      <w:pPr>
        <w:tabs>
          <w:tab w:val="left" w:pos="1625"/>
        </w:tabs>
        <w:spacing w:line="360" w:lineRule="auto"/>
        <w:ind w:firstLine="480" w:firstLineChars="200"/>
        <w:rPr>
          <w:color w:val="auto"/>
          <w:sz w:val="24"/>
          <w:highlight w:val="none"/>
        </w:rPr>
      </w:pPr>
      <w:r>
        <w:rPr>
          <w:color w:val="auto"/>
          <w:sz w:val="24"/>
          <w:highlight w:val="none"/>
        </w:rPr>
        <w:t>项目设置</w:t>
      </w:r>
      <w:r>
        <w:rPr>
          <w:rFonts w:hint="eastAsia"/>
          <w:color w:val="auto"/>
          <w:sz w:val="24"/>
          <w:highlight w:val="none"/>
        </w:rPr>
        <w:t>危废暂存间</w:t>
      </w:r>
      <w:r>
        <w:rPr>
          <w:color w:val="auto"/>
          <w:sz w:val="24"/>
          <w:highlight w:val="none"/>
        </w:rPr>
        <w:t>用于</w:t>
      </w:r>
      <w:r>
        <w:rPr>
          <w:rFonts w:hint="eastAsia"/>
          <w:color w:val="auto"/>
          <w:sz w:val="24"/>
          <w:highlight w:val="none"/>
        </w:rPr>
        <w:t>废机油</w:t>
      </w:r>
      <w:r>
        <w:rPr>
          <w:color w:val="auto"/>
          <w:sz w:val="24"/>
          <w:highlight w:val="none"/>
        </w:rPr>
        <w:t>和废油桶</w:t>
      </w:r>
      <w:r>
        <w:rPr>
          <w:rFonts w:hint="eastAsia"/>
          <w:color w:val="auto"/>
          <w:sz w:val="24"/>
          <w:highlight w:val="none"/>
          <w:lang w:val="en-US" w:eastAsia="zh-CN"/>
        </w:rPr>
        <w:t>等</w:t>
      </w:r>
      <w:r>
        <w:rPr>
          <w:color w:val="auto"/>
          <w:sz w:val="24"/>
          <w:highlight w:val="none"/>
        </w:rPr>
        <w:t>暂堆存，并按照《危险废物贮存污染控制标准》（GB18597-20</w:t>
      </w:r>
      <w:r>
        <w:rPr>
          <w:rFonts w:hint="eastAsia"/>
          <w:color w:val="auto"/>
          <w:sz w:val="24"/>
          <w:highlight w:val="none"/>
          <w:lang w:val="en-US" w:eastAsia="zh-CN"/>
        </w:rPr>
        <w:t>23</w:t>
      </w:r>
      <w:r>
        <w:rPr>
          <w:color w:val="auto"/>
          <w:sz w:val="24"/>
          <w:highlight w:val="none"/>
        </w:rPr>
        <w:t>）中的相关要求，做好防雨、防渗，防止二次污染，各危险废物根据处理单位要求进行分类收集。</w:t>
      </w:r>
      <w:r>
        <w:rPr>
          <w:rFonts w:hint="eastAsia"/>
          <w:color w:val="auto"/>
          <w:sz w:val="24"/>
          <w:highlight w:val="none"/>
        </w:rPr>
        <w:t>危废暂存间</w:t>
      </w:r>
      <w:r>
        <w:rPr>
          <w:color w:val="auto"/>
          <w:sz w:val="24"/>
          <w:highlight w:val="none"/>
        </w:rPr>
        <w:t>拟采用</w:t>
      </w:r>
      <w:r>
        <w:rPr>
          <w:color w:val="auto"/>
          <w:sz w:val="24"/>
          <w:szCs w:val="24"/>
          <w:highlight w:val="none"/>
        </w:rPr>
        <w:t>在现有的水泥硬化基础上新增2.0mmHDPE膜进行防渗</w:t>
      </w:r>
      <w:r>
        <w:rPr>
          <w:color w:val="auto"/>
          <w:sz w:val="24"/>
          <w:highlight w:val="none"/>
        </w:rPr>
        <w:t>，使其地面达到渗透系数≤1×10</w:t>
      </w:r>
      <w:r>
        <w:rPr>
          <w:color w:val="auto"/>
          <w:sz w:val="24"/>
          <w:highlight w:val="none"/>
          <w:vertAlign w:val="superscript"/>
        </w:rPr>
        <w:t>-10</w:t>
      </w:r>
      <w:r>
        <w:rPr>
          <w:color w:val="auto"/>
          <w:sz w:val="24"/>
          <w:highlight w:val="none"/>
        </w:rPr>
        <w:t>cm/s的防渗性能，正常情况下不会污染土壤，对土壤环境影响较小。</w:t>
      </w:r>
    </w:p>
    <w:p>
      <w:pPr>
        <w:tabs>
          <w:tab w:val="left" w:pos="1625"/>
        </w:tabs>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lang w:val="en-US" w:eastAsia="zh-CN"/>
        </w:rPr>
        <w:t>地面漫流途径对土壤的环境影响分析</w:t>
      </w:r>
    </w:p>
    <w:p>
      <w:pPr>
        <w:tabs>
          <w:tab w:val="left" w:pos="1625"/>
        </w:tabs>
        <w:spacing w:line="360" w:lineRule="auto"/>
        <w:ind w:firstLine="480" w:firstLineChars="200"/>
        <w:rPr>
          <w:color w:val="auto"/>
          <w:sz w:val="24"/>
          <w:highlight w:val="none"/>
        </w:rPr>
      </w:pPr>
      <w:r>
        <w:rPr>
          <w:rFonts w:hint="default" w:ascii="Times New Roman" w:hAnsi="Times New Roman" w:eastAsia="宋体" w:cs="Times New Roman"/>
          <w:color w:val="auto"/>
          <w:sz w:val="24"/>
          <w:highlight w:val="none"/>
          <w:lang w:val="en-US" w:eastAsia="zh-CN"/>
        </w:rPr>
        <w:t>本项目厂区建设时建有完善的雨水、污水收集系统。</w:t>
      </w:r>
      <w:r>
        <w:rPr>
          <w:rFonts w:hint="eastAsia" w:cs="Times New Roman"/>
          <w:color w:val="auto"/>
          <w:sz w:val="24"/>
          <w:highlight w:val="none"/>
          <w:lang w:val="en-US" w:eastAsia="zh-CN"/>
        </w:rPr>
        <w:t>项目地面清洁废水与生活污水经化粪池收集后，由建设单位定期清运至寻甸县水质净化厂，已有化粪池为地埋式，不会发生地面漫流；项目冷却废水经冷却水池收集后循环使用，项目冷却水通过外接水管引入注塑机内置冷却管道，采用间接冷却方式，冷却水不直接接触物料，项目冷却废水属于清净下水，仅水温偏高，在出现地面漫流时，不会对周围土壤产生影响，对周边土壤环境影响较小。</w:t>
      </w:r>
    </w:p>
    <w:p>
      <w:pPr>
        <w:pStyle w:val="529"/>
        <w:rPr>
          <w:b/>
          <w:color w:val="auto"/>
          <w:highlight w:val="none"/>
        </w:rPr>
      </w:pPr>
      <w:r>
        <w:rPr>
          <w:b/>
          <w:color w:val="auto"/>
          <w:highlight w:val="none"/>
        </w:rPr>
        <w:t>4、土壤污染防治措施</w:t>
      </w:r>
    </w:p>
    <w:p>
      <w:pPr>
        <w:pStyle w:val="529"/>
        <w:ind w:firstLine="480"/>
        <w:rPr>
          <w:color w:val="auto"/>
          <w:highlight w:val="none"/>
        </w:rPr>
      </w:pPr>
      <w:r>
        <w:rPr>
          <w:color w:val="auto"/>
          <w:highlight w:val="none"/>
        </w:rPr>
        <w:t>由于土壤污染具有隐蔽性、滞后性、累积性和不可逆性等特点，土壤污染防治措施按照“源头控制、过程防控、跟踪监测”相结合的原则控制。</w:t>
      </w:r>
    </w:p>
    <w:p>
      <w:pPr>
        <w:pStyle w:val="529"/>
        <w:ind w:firstLine="480"/>
        <w:rPr>
          <w:color w:val="auto"/>
          <w:highlight w:val="none"/>
        </w:rPr>
      </w:pPr>
      <w:r>
        <w:rPr>
          <w:color w:val="auto"/>
          <w:highlight w:val="none"/>
        </w:rPr>
        <w:t>（1）源头控制</w:t>
      </w:r>
    </w:p>
    <w:p>
      <w:pPr>
        <w:pStyle w:val="529"/>
        <w:ind w:firstLine="480"/>
        <w:rPr>
          <w:color w:val="auto"/>
          <w:highlight w:val="none"/>
        </w:rPr>
      </w:pPr>
      <w:r>
        <w:rPr>
          <w:color w:val="auto"/>
          <w:highlight w:val="none"/>
        </w:rPr>
        <w:t>设计中对生产线废气污染源设置“</w:t>
      </w:r>
      <w:r>
        <w:rPr>
          <w:rFonts w:hint="eastAsia"/>
          <w:color w:val="auto"/>
          <w:highlight w:val="none"/>
          <w:lang w:val="en-US" w:eastAsia="zh-CN"/>
        </w:rPr>
        <w:t>三级活性炭吸附装置</w:t>
      </w:r>
      <w:r>
        <w:rPr>
          <w:color w:val="auto"/>
          <w:highlight w:val="none"/>
        </w:rPr>
        <w:t>”废气处理系统处理后排放能达到《合成树脂工业污染物排放标准》（GB31572-2015）表4规定的大气污染物排放限值。</w:t>
      </w:r>
    </w:p>
    <w:p>
      <w:pPr>
        <w:pStyle w:val="529"/>
        <w:ind w:firstLine="480"/>
        <w:rPr>
          <w:color w:val="auto"/>
          <w:highlight w:val="none"/>
        </w:rPr>
      </w:pPr>
      <w:r>
        <w:rPr>
          <w:color w:val="auto"/>
          <w:highlight w:val="none"/>
        </w:rPr>
        <w:t>对</w:t>
      </w:r>
      <w:r>
        <w:rPr>
          <w:rFonts w:hint="eastAsia"/>
          <w:color w:val="auto"/>
          <w:highlight w:val="none"/>
        </w:rPr>
        <w:t>危废暂存间</w:t>
      </w:r>
      <w:r>
        <w:rPr>
          <w:color w:val="auto"/>
          <w:highlight w:val="none"/>
        </w:rPr>
        <w:t>等可能发生</w:t>
      </w:r>
      <w:r>
        <w:rPr>
          <w:rFonts w:hint="eastAsia"/>
          <w:color w:val="auto"/>
          <w:highlight w:val="none"/>
          <w:lang w:eastAsia="zh-CN"/>
        </w:rPr>
        <w:t>泄漏</w:t>
      </w:r>
      <w:r>
        <w:rPr>
          <w:color w:val="auto"/>
          <w:highlight w:val="none"/>
        </w:rPr>
        <w:t>污染土壤的区域或部位采取严格的防渗措施，做好三防措施，杜绝危废的下渗和泄漏。</w:t>
      </w:r>
    </w:p>
    <w:p>
      <w:pPr>
        <w:pStyle w:val="529"/>
        <w:ind w:firstLine="480"/>
        <w:rPr>
          <w:color w:val="auto"/>
          <w:highlight w:val="none"/>
        </w:rPr>
      </w:pPr>
      <w:r>
        <w:rPr>
          <w:rFonts w:hint="eastAsia"/>
          <w:color w:val="auto"/>
          <w:highlight w:val="none"/>
          <w:lang w:val="en-US" w:eastAsia="zh-CN"/>
        </w:rPr>
        <w:t>冷却废水设计冷却水池处理后循环使用，</w:t>
      </w:r>
      <w:r>
        <w:rPr>
          <w:color w:val="auto"/>
          <w:highlight w:val="none"/>
        </w:rPr>
        <w:t>严格控制地表漫流。</w:t>
      </w:r>
    </w:p>
    <w:p>
      <w:pPr>
        <w:pStyle w:val="529"/>
        <w:ind w:firstLine="480"/>
        <w:rPr>
          <w:color w:val="auto"/>
          <w:highlight w:val="none"/>
        </w:rPr>
      </w:pPr>
      <w:r>
        <w:rPr>
          <w:color w:val="auto"/>
          <w:highlight w:val="none"/>
        </w:rPr>
        <w:t>（2）过程控制</w:t>
      </w:r>
    </w:p>
    <w:p>
      <w:pPr>
        <w:pStyle w:val="529"/>
        <w:ind w:firstLine="480"/>
        <w:rPr>
          <w:color w:val="auto"/>
          <w:highlight w:val="none"/>
        </w:rPr>
      </w:pPr>
      <w:r>
        <w:rPr>
          <w:color w:val="auto"/>
          <w:highlight w:val="none"/>
        </w:rPr>
        <w:t>定期检查、维护、废气处理设施、</w:t>
      </w:r>
      <w:r>
        <w:rPr>
          <w:rFonts w:hint="eastAsia"/>
          <w:color w:val="auto"/>
          <w:highlight w:val="none"/>
        </w:rPr>
        <w:t>危废暂存间</w:t>
      </w:r>
      <w:r>
        <w:rPr>
          <w:color w:val="auto"/>
          <w:highlight w:val="none"/>
        </w:rPr>
        <w:t>、</w:t>
      </w:r>
      <w:r>
        <w:rPr>
          <w:rFonts w:hint="eastAsia"/>
          <w:color w:val="auto"/>
          <w:highlight w:val="none"/>
          <w:lang w:val="en-US" w:eastAsia="zh-CN"/>
        </w:rPr>
        <w:t>冷却水池</w:t>
      </w:r>
      <w:r>
        <w:rPr>
          <w:color w:val="auto"/>
          <w:highlight w:val="none"/>
        </w:rPr>
        <w:t>防渗措施。上述设施正常运行，同时配套设置生产废水事故水池。杜绝事故发生。</w:t>
      </w:r>
    </w:p>
    <w:p>
      <w:pPr>
        <w:pStyle w:val="529"/>
        <w:ind w:firstLine="480"/>
        <w:rPr>
          <w:color w:val="auto"/>
          <w:highlight w:val="none"/>
        </w:rPr>
      </w:pPr>
      <w:r>
        <w:rPr>
          <w:color w:val="auto"/>
          <w:highlight w:val="none"/>
        </w:rPr>
        <w:t>（3）跟踪监测</w:t>
      </w:r>
    </w:p>
    <w:p>
      <w:pPr>
        <w:pStyle w:val="529"/>
        <w:ind w:firstLine="480"/>
        <w:rPr>
          <w:color w:val="auto"/>
          <w:highlight w:val="none"/>
        </w:rPr>
      </w:pPr>
      <w:r>
        <w:rPr>
          <w:color w:val="auto"/>
          <w:highlight w:val="none"/>
        </w:rPr>
        <w:t>根据《环境影响评价技术导则  土壤环境（试行）》（HJ964-2018），本项目土壤环境评价等级为三级，可不开展跟踪监测。</w:t>
      </w:r>
    </w:p>
    <w:p>
      <w:pPr>
        <w:pStyle w:val="529"/>
        <w:ind w:firstLine="482"/>
        <w:rPr>
          <w:b/>
          <w:color w:val="auto"/>
          <w:highlight w:val="none"/>
        </w:rPr>
      </w:pPr>
      <w:r>
        <w:rPr>
          <w:b/>
          <w:color w:val="auto"/>
          <w:highlight w:val="none"/>
        </w:rPr>
        <w:t>5、小结</w:t>
      </w:r>
    </w:p>
    <w:p>
      <w:pPr>
        <w:spacing w:line="360" w:lineRule="auto"/>
        <w:ind w:firstLine="480" w:firstLineChars="200"/>
        <w:rPr>
          <w:color w:val="auto"/>
          <w:sz w:val="24"/>
          <w:highlight w:val="none"/>
        </w:rPr>
      </w:pPr>
      <w:r>
        <w:rPr>
          <w:color w:val="auto"/>
          <w:sz w:val="24"/>
          <w:highlight w:val="none"/>
        </w:rPr>
        <w:t>项目</w:t>
      </w:r>
      <w:r>
        <w:rPr>
          <w:rFonts w:hint="eastAsia"/>
          <w:color w:val="auto"/>
          <w:sz w:val="24"/>
          <w:highlight w:val="none"/>
        </w:rPr>
        <w:t>危废暂存间</w:t>
      </w:r>
      <w:r>
        <w:rPr>
          <w:color w:val="auto"/>
          <w:sz w:val="24"/>
          <w:highlight w:val="none"/>
        </w:rPr>
        <w:t>严格按《危险废物贮存污染控制标准》（GB18597-20</w:t>
      </w:r>
      <w:r>
        <w:rPr>
          <w:rFonts w:hint="eastAsia"/>
          <w:color w:val="auto"/>
          <w:sz w:val="24"/>
          <w:highlight w:val="none"/>
          <w:lang w:val="en-US" w:eastAsia="zh-CN"/>
        </w:rPr>
        <w:t>23</w:t>
      </w:r>
      <w:r>
        <w:rPr>
          <w:color w:val="auto"/>
          <w:sz w:val="24"/>
          <w:highlight w:val="none"/>
        </w:rPr>
        <w:t>）等要求建设；废水收集处理地面按《环境影响评价技术导则</w:t>
      </w:r>
      <w:r>
        <w:rPr>
          <w:rFonts w:hint="eastAsia"/>
          <w:color w:val="auto"/>
          <w:sz w:val="24"/>
          <w:highlight w:val="none"/>
        </w:rPr>
        <w:t xml:space="preserve"> </w:t>
      </w:r>
      <w:r>
        <w:rPr>
          <w:color w:val="auto"/>
          <w:sz w:val="24"/>
          <w:highlight w:val="none"/>
        </w:rPr>
        <w:t>地下水环境》（HJ610-2016）要求进行了防渗，项目从源头、过程中采取了有效、可靠措施，对土壤环境影响小，可接受。</w:t>
      </w:r>
    </w:p>
    <w:p>
      <w:pPr>
        <w:pStyle w:val="529"/>
        <w:ind w:firstLine="480"/>
        <w:rPr>
          <w:color w:val="auto"/>
          <w:highlight w:val="none"/>
        </w:rPr>
      </w:pPr>
      <w:r>
        <w:rPr>
          <w:color w:val="auto"/>
          <w:highlight w:val="none"/>
        </w:rPr>
        <w:t>项目土壤环境影响自查表详见表</w:t>
      </w:r>
      <w:r>
        <w:rPr>
          <w:rFonts w:hint="eastAsia"/>
          <w:color w:val="auto"/>
          <w:highlight w:val="none"/>
        </w:rPr>
        <w:t>5.2-</w:t>
      </w:r>
      <w:r>
        <w:rPr>
          <w:rFonts w:hint="eastAsia"/>
          <w:color w:val="auto"/>
          <w:highlight w:val="none"/>
          <w:lang w:val="en-US" w:eastAsia="zh-CN"/>
        </w:rPr>
        <w:t>19</w:t>
      </w:r>
      <w:r>
        <w:rPr>
          <w:color w:val="auto"/>
          <w:highlight w:val="none"/>
        </w:rPr>
        <w:t>。</w:t>
      </w:r>
    </w:p>
    <w:p>
      <w:pPr>
        <w:pStyle w:val="528"/>
        <w:adjustRightInd/>
        <w:rPr>
          <w:color w:val="auto"/>
          <w:highlight w:val="none"/>
        </w:rPr>
      </w:pPr>
      <w:r>
        <w:rPr>
          <w:color w:val="auto"/>
          <w:highlight w:val="none"/>
        </w:rPr>
        <w:t>表</w:t>
      </w:r>
      <w:r>
        <w:rPr>
          <w:rFonts w:hint="eastAsia"/>
          <w:color w:val="auto"/>
          <w:highlight w:val="none"/>
        </w:rPr>
        <w:t>5.2-</w:t>
      </w:r>
      <w:r>
        <w:rPr>
          <w:rFonts w:hint="eastAsia"/>
          <w:color w:val="auto"/>
          <w:highlight w:val="none"/>
          <w:lang w:val="en-US" w:eastAsia="zh-CN"/>
        </w:rPr>
        <w:t>19</w:t>
      </w:r>
      <w:r>
        <w:rPr>
          <w:color w:val="auto"/>
          <w:highlight w:val="none"/>
        </w:rPr>
        <w:t xml:space="preserve">  土壤环境影响评价自查表</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715"/>
        <w:gridCol w:w="1313"/>
        <w:gridCol w:w="438"/>
        <w:gridCol w:w="875"/>
        <w:gridCol w:w="874"/>
        <w:gridCol w:w="439"/>
        <w:gridCol w:w="160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5" w:type="dxa"/>
            <w:gridSpan w:val="2"/>
            <w:shd w:val="clear" w:color="auto" w:fill="auto"/>
            <w:vAlign w:val="center"/>
          </w:tcPr>
          <w:p>
            <w:pPr>
              <w:jc w:val="center"/>
              <w:rPr>
                <w:color w:val="auto"/>
                <w:szCs w:val="21"/>
                <w:highlight w:val="none"/>
              </w:rPr>
            </w:pPr>
            <w:r>
              <w:rPr>
                <w:color w:val="auto"/>
                <w:szCs w:val="21"/>
                <w:highlight w:val="none"/>
              </w:rPr>
              <w:t>工作内容</w:t>
            </w:r>
          </w:p>
        </w:tc>
        <w:tc>
          <w:tcPr>
            <w:tcW w:w="5546" w:type="dxa"/>
            <w:gridSpan w:val="6"/>
            <w:shd w:val="clear" w:color="auto" w:fill="auto"/>
            <w:vAlign w:val="center"/>
          </w:tcPr>
          <w:p>
            <w:pPr>
              <w:jc w:val="center"/>
              <w:rPr>
                <w:color w:val="auto"/>
                <w:szCs w:val="21"/>
                <w:highlight w:val="none"/>
              </w:rPr>
            </w:pPr>
            <w:r>
              <w:rPr>
                <w:color w:val="auto"/>
                <w:szCs w:val="21"/>
                <w:highlight w:val="none"/>
              </w:rPr>
              <w:t>完成情况</w:t>
            </w:r>
          </w:p>
        </w:tc>
        <w:tc>
          <w:tcPr>
            <w:tcW w:w="818" w:type="dxa"/>
            <w:shd w:val="clear" w:color="auto" w:fill="auto"/>
            <w:vAlign w:val="center"/>
          </w:tcPr>
          <w:p>
            <w:pPr>
              <w:jc w:val="center"/>
              <w:rPr>
                <w:color w:val="auto"/>
                <w:szCs w:val="21"/>
                <w:highlight w:val="none"/>
              </w:rPr>
            </w:pPr>
            <w:r>
              <w:rPr>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restart"/>
            <w:shd w:val="clear" w:color="auto" w:fill="auto"/>
            <w:vAlign w:val="center"/>
          </w:tcPr>
          <w:p>
            <w:pPr>
              <w:jc w:val="center"/>
              <w:rPr>
                <w:color w:val="auto"/>
                <w:szCs w:val="21"/>
                <w:highlight w:val="none"/>
              </w:rPr>
            </w:pPr>
            <w:r>
              <w:rPr>
                <w:color w:val="auto"/>
                <w:szCs w:val="21"/>
                <w:highlight w:val="none"/>
              </w:rPr>
              <w:t>影响识别</w:t>
            </w:r>
          </w:p>
        </w:tc>
        <w:tc>
          <w:tcPr>
            <w:tcW w:w="1715" w:type="dxa"/>
            <w:shd w:val="clear" w:color="auto" w:fill="auto"/>
            <w:vAlign w:val="center"/>
          </w:tcPr>
          <w:p>
            <w:pPr>
              <w:jc w:val="center"/>
              <w:rPr>
                <w:color w:val="auto"/>
                <w:szCs w:val="21"/>
                <w:highlight w:val="none"/>
              </w:rPr>
            </w:pPr>
            <w:r>
              <w:rPr>
                <w:color w:val="auto"/>
                <w:szCs w:val="21"/>
                <w:highlight w:val="none"/>
              </w:rPr>
              <w:t>影响类型</w:t>
            </w:r>
          </w:p>
        </w:tc>
        <w:tc>
          <w:tcPr>
            <w:tcW w:w="5546" w:type="dxa"/>
            <w:gridSpan w:val="6"/>
            <w:shd w:val="clear" w:color="auto" w:fill="auto"/>
            <w:vAlign w:val="center"/>
          </w:tcPr>
          <w:p>
            <w:pPr>
              <w:jc w:val="center"/>
              <w:rPr>
                <w:color w:val="auto"/>
                <w:szCs w:val="21"/>
                <w:highlight w:val="none"/>
              </w:rPr>
            </w:pPr>
            <w:r>
              <w:rPr>
                <w:color w:val="auto"/>
                <w:szCs w:val="21"/>
                <w:highlight w:val="none"/>
              </w:rPr>
              <w:t>污染影响型</w:t>
            </w:r>
            <w:r>
              <w:rPr>
                <w:color w:val="auto"/>
                <w:szCs w:val="21"/>
                <w:highlight w:val="none"/>
              </w:rPr>
              <w:sym w:font="Wingdings 2" w:char="0052"/>
            </w:r>
            <w:r>
              <w:rPr>
                <w:color w:val="auto"/>
                <w:szCs w:val="21"/>
                <w:highlight w:val="none"/>
              </w:rPr>
              <w:t>；生态影响型□；两种兼有□</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土地利用类型</w:t>
            </w:r>
          </w:p>
        </w:tc>
        <w:tc>
          <w:tcPr>
            <w:tcW w:w="5546" w:type="dxa"/>
            <w:gridSpan w:val="6"/>
            <w:shd w:val="clear" w:color="auto" w:fill="auto"/>
            <w:vAlign w:val="center"/>
          </w:tcPr>
          <w:p>
            <w:pPr>
              <w:jc w:val="center"/>
              <w:rPr>
                <w:color w:val="auto"/>
                <w:szCs w:val="21"/>
                <w:highlight w:val="none"/>
              </w:rPr>
            </w:pPr>
            <w:r>
              <w:rPr>
                <w:color w:val="auto"/>
                <w:szCs w:val="21"/>
                <w:highlight w:val="none"/>
              </w:rPr>
              <w:t>建设用地</w:t>
            </w:r>
            <w:r>
              <w:rPr>
                <w:color w:val="auto"/>
                <w:szCs w:val="21"/>
                <w:highlight w:val="none"/>
              </w:rPr>
              <w:sym w:font="Wingdings 2" w:char="0052"/>
            </w:r>
            <w:r>
              <w:rPr>
                <w:color w:val="auto"/>
                <w:szCs w:val="21"/>
                <w:highlight w:val="none"/>
              </w:rPr>
              <w:t>；农用地□；未利用地□</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占地规模</w:t>
            </w:r>
          </w:p>
        </w:tc>
        <w:tc>
          <w:tcPr>
            <w:tcW w:w="5546" w:type="dxa"/>
            <w:gridSpan w:val="6"/>
            <w:shd w:val="clear" w:color="auto" w:fill="auto"/>
            <w:vAlign w:val="center"/>
          </w:tcPr>
          <w:p>
            <w:pPr>
              <w:jc w:val="center"/>
              <w:rPr>
                <w:color w:val="auto"/>
                <w:szCs w:val="21"/>
                <w:highlight w:val="none"/>
              </w:rPr>
            </w:pPr>
            <w:r>
              <w:rPr>
                <w:color w:val="auto"/>
                <w:szCs w:val="21"/>
                <w:highlight w:val="none"/>
              </w:rPr>
              <w:t>（0.</w:t>
            </w:r>
            <w:r>
              <w:rPr>
                <w:rFonts w:hint="eastAsia"/>
                <w:color w:val="auto"/>
                <w:szCs w:val="21"/>
                <w:highlight w:val="none"/>
                <w:lang w:val="en-US" w:eastAsia="zh-CN"/>
              </w:rPr>
              <w:t>1994</w:t>
            </w:r>
            <w:r>
              <w:rPr>
                <w:color w:val="auto"/>
                <w:szCs w:val="21"/>
                <w:highlight w:val="none"/>
              </w:rPr>
              <w:t>）hm</w:t>
            </w:r>
            <w:r>
              <w:rPr>
                <w:color w:val="auto"/>
                <w:szCs w:val="21"/>
                <w:highlight w:val="none"/>
                <w:vertAlign w:val="superscript"/>
              </w:rPr>
              <w:t>2</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敏感目标信息</w:t>
            </w:r>
          </w:p>
        </w:tc>
        <w:tc>
          <w:tcPr>
            <w:tcW w:w="5546" w:type="dxa"/>
            <w:gridSpan w:val="6"/>
            <w:shd w:val="clear" w:color="auto" w:fill="auto"/>
            <w:vAlign w:val="center"/>
          </w:tcPr>
          <w:p>
            <w:pPr>
              <w:jc w:val="center"/>
              <w:rPr>
                <w:color w:val="auto"/>
                <w:szCs w:val="21"/>
                <w:highlight w:val="none"/>
              </w:rPr>
            </w:pPr>
            <w:r>
              <w:rPr>
                <w:color w:val="auto"/>
                <w:szCs w:val="21"/>
                <w:highlight w:val="none"/>
              </w:rPr>
              <w:t>敏感目标（</w:t>
            </w:r>
            <w:r>
              <w:rPr>
                <w:rFonts w:hint="eastAsia"/>
                <w:color w:val="auto"/>
                <w:szCs w:val="21"/>
                <w:highlight w:val="none"/>
                <w:lang w:val="en-US" w:eastAsia="zh-CN"/>
              </w:rPr>
              <w:t>耕地</w:t>
            </w:r>
            <w:r>
              <w:rPr>
                <w:color w:val="auto"/>
                <w:szCs w:val="21"/>
                <w:highlight w:val="none"/>
              </w:rPr>
              <w:t>）、方位（</w:t>
            </w:r>
            <w:r>
              <w:rPr>
                <w:rFonts w:hint="eastAsia"/>
                <w:color w:val="auto"/>
                <w:szCs w:val="21"/>
                <w:highlight w:val="none"/>
              </w:rPr>
              <w:t>北</w:t>
            </w:r>
            <w:r>
              <w:rPr>
                <w:color w:val="auto"/>
                <w:szCs w:val="21"/>
                <w:highlight w:val="none"/>
              </w:rPr>
              <w:t>侧）、距离（</w:t>
            </w:r>
            <w:r>
              <w:rPr>
                <w:rFonts w:hint="eastAsia"/>
                <w:color w:val="auto"/>
                <w:szCs w:val="21"/>
                <w:highlight w:val="none"/>
                <w:lang w:val="en-US" w:eastAsia="zh-CN"/>
              </w:rPr>
              <w:t>50</w:t>
            </w:r>
            <w:r>
              <w:rPr>
                <w:color w:val="auto"/>
                <w:szCs w:val="21"/>
                <w:highlight w:val="none"/>
              </w:rPr>
              <w:t>m）</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影响途径</w:t>
            </w:r>
          </w:p>
        </w:tc>
        <w:tc>
          <w:tcPr>
            <w:tcW w:w="5546" w:type="dxa"/>
            <w:gridSpan w:val="6"/>
            <w:shd w:val="clear" w:color="auto" w:fill="auto"/>
            <w:vAlign w:val="center"/>
          </w:tcPr>
          <w:p>
            <w:pPr>
              <w:jc w:val="center"/>
              <w:rPr>
                <w:color w:val="auto"/>
                <w:szCs w:val="21"/>
                <w:highlight w:val="none"/>
              </w:rPr>
            </w:pPr>
            <w:r>
              <w:rPr>
                <w:color w:val="auto"/>
                <w:szCs w:val="21"/>
                <w:highlight w:val="none"/>
              </w:rPr>
              <w:t>大气沉降</w:t>
            </w:r>
            <w:r>
              <w:rPr>
                <w:color w:val="auto"/>
                <w:szCs w:val="21"/>
                <w:highlight w:val="none"/>
              </w:rPr>
              <w:sym w:font="Wingdings 2" w:char="0052"/>
            </w:r>
            <w:r>
              <w:rPr>
                <w:color w:val="auto"/>
                <w:szCs w:val="21"/>
                <w:highlight w:val="none"/>
              </w:rPr>
              <w:t>；地面漫流</w:t>
            </w:r>
            <w:r>
              <w:rPr>
                <w:color w:val="auto"/>
                <w:szCs w:val="21"/>
                <w:highlight w:val="none"/>
              </w:rPr>
              <w:sym w:font="Wingdings 2" w:char="0052"/>
            </w:r>
            <w:r>
              <w:rPr>
                <w:color w:val="auto"/>
                <w:szCs w:val="21"/>
                <w:highlight w:val="none"/>
              </w:rPr>
              <w:t>；垂直入渗</w:t>
            </w:r>
            <w:r>
              <w:rPr>
                <w:color w:val="auto"/>
                <w:szCs w:val="21"/>
                <w:highlight w:val="none"/>
              </w:rPr>
              <w:sym w:font="Wingdings 2" w:char="0052"/>
            </w:r>
            <w:r>
              <w:rPr>
                <w:color w:val="auto"/>
                <w:szCs w:val="21"/>
                <w:highlight w:val="none"/>
              </w:rPr>
              <w:t>；地下水位□；其他（）</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全部污染物</w:t>
            </w:r>
          </w:p>
        </w:tc>
        <w:tc>
          <w:tcPr>
            <w:tcW w:w="5546" w:type="dxa"/>
            <w:gridSpan w:val="6"/>
            <w:shd w:val="clear" w:color="auto" w:fill="auto"/>
            <w:vAlign w:val="center"/>
          </w:tcPr>
          <w:p>
            <w:pPr>
              <w:jc w:val="center"/>
              <w:rPr>
                <w:color w:val="auto"/>
                <w:szCs w:val="21"/>
                <w:highlight w:val="none"/>
              </w:rPr>
            </w:pPr>
            <w:r>
              <w:rPr>
                <w:color w:val="auto"/>
                <w:szCs w:val="21"/>
                <w:highlight w:val="none"/>
              </w:rPr>
              <w:t>颗粒物、非甲烷总烃</w:t>
            </w:r>
            <w:r>
              <w:rPr>
                <w:rFonts w:hint="eastAsia"/>
                <w:color w:val="auto"/>
                <w:szCs w:val="21"/>
                <w:highlight w:val="none"/>
              </w:rPr>
              <w:t>；</w:t>
            </w:r>
            <w:r>
              <w:rPr>
                <w:color w:val="auto"/>
                <w:szCs w:val="21"/>
                <w:highlight w:val="none"/>
              </w:rPr>
              <w:t>COD</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特征因子</w:t>
            </w:r>
          </w:p>
        </w:tc>
        <w:tc>
          <w:tcPr>
            <w:tcW w:w="5546" w:type="dxa"/>
            <w:gridSpan w:val="6"/>
            <w:shd w:val="clear" w:color="auto" w:fill="auto"/>
            <w:vAlign w:val="center"/>
          </w:tcPr>
          <w:p>
            <w:pPr>
              <w:jc w:val="center"/>
              <w:rPr>
                <w:color w:val="auto"/>
                <w:szCs w:val="21"/>
                <w:highlight w:val="none"/>
              </w:rPr>
            </w:pPr>
            <w:r>
              <w:rPr>
                <w:color w:val="auto"/>
                <w:szCs w:val="21"/>
                <w:highlight w:val="none"/>
              </w:rPr>
              <w:t>颗粒物、非甲烷总烃</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所属土壤环境影响评价项目类别</w:t>
            </w:r>
          </w:p>
        </w:tc>
        <w:tc>
          <w:tcPr>
            <w:tcW w:w="5546" w:type="dxa"/>
            <w:gridSpan w:val="6"/>
            <w:shd w:val="clear" w:color="auto" w:fill="auto"/>
            <w:vAlign w:val="center"/>
          </w:tcPr>
          <w:p>
            <w:pPr>
              <w:jc w:val="center"/>
              <w:rPr>
                <w:color w:val="auto"/>
                <w:szCs w:val="21"/>
                <w:highlight w:val="none"/>
              </w:rPr>
            </w:pPr>
            <w:r>
              <w:rPr>
                <w:color w:val="auto"/>
                <w:szCs w:val="21"/>
                <w:highlight w:val="none"/>
              </w:rPr>
              <w:t>Ⅰ类□；Ⅱ类□；Ⅲ类</w:t>
            </w:r>
            <w:r>
              <w:rPr>
                <w:color w:val="auto"/>
                <w:szCs w:val="21"/>
                <w:highlight w:val="none"/>
              </w:rPr>
              <w:sym w:font="Wingdings 2" w:char="0052"/>
            </w:r>
            <w:r>
              <w:rPr>
                <w:color w:val="auto"/>
                <w:szCs w:val="21"/>
                <w:highlight w:val="none"/>
              </w:rPr>
              <w:t>；Ⅳ类□</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敏感程度</w:t>
            </w:r>
          </w:p>
        </w:tc>
        <w:tc>
          <w:tcPr>
            <w:tcW w:w="5546" w:type="dxa"/>
            <w:gridSpan w:val="6"/>
            <w:shd w:val="clear" w:color="auto" w:fill="auto"/>
            <w:vAlign w:val="center"/>
          </w:tcPr>
          <w:p>
            <w:pPr>
              <w:jc w:val="center"/>
              <w:rPr>
                <w:color w:val="auto"/>
                <w:szCs w:val="21"/>
                <w:highlight w:val="none"/>
              </w:rPr>
            </w:pPr>
            <w:r>
              <w:rPr>
                <w:color w:val="auto"/>
                <w:szCs w:val="21"/>
                <w:highlight w:val="none"/>
              </w:rPr>
              <w:t>敏感</w:t>
            </w:r>
            <w:r>
              <w:rPr>
                <w:color w:val="auto"/>
                <w:szCs w:val="21"/>
                <w:highlight w:val="none"/>
              </w:rPr>
              <w:sym w:font="Wingdings 2" w:char="0052"/>
            </w:r>
            <w:r>
              <w:rPr>
                <w:color w:val="auto"/>
                <w:szCs w:val="21"/>
                <w:highlight w:val="none"/>
              </w:rPr>
              <w:t>；较敏感□不敏感□</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5" w:type="dxa"/>
            <w:gridSpan w:val="2"/>
            <w:shd w:val="clear" w:color="auto" w:fill="auto"/>
            <w:vAlign w:val="center"/>
          </w:tcPr>
          <w:p>
            <w:pPr>
              <w:jc w:val="center"/>
              <w:rPr>
                <w:color w:val="auto"/>
                <w:szCs w:val="21"/>
                <w:highlight w:val="none"/>
              </w:rPr>
            </w:pPr>
            <w:r>
              <w:rPr>
                <w:color w:val="auto"/>
                <w:szCs w:val="21"/>
                <w:highlight w:val="none"/>
              </w:rPr>
              <w:t>评价工作等级</w:t>
            </w:r>
          </w:p>
        </w:tc>
        <w:tc>
          <w:tcPr>
            <w:tcW w:w="5546" w:type="dxa"/>
            <w:gridSpan w:val="6"/>
            <w:shd w:val="clear" w:color="auto" w:fill="auto"/>
            <w:vAlign w:val="center"/>
          </w:tcPr>
          <w:p>
            <w:pPr>
              <w:jc w:val="center"/>
              <w:rPr>
                <w:color w:val="auto"/>
                <w:szCs w:val="21"/>
                <w:highlight w:val="none"/>
              </w:rPr>
            </w:pPr>
            <w:r>
              <w:rPr>
                <w:color w:val="auto"/>
                <w:szCs w:val="21"/>
                <w:highlight w:val="none"/>
              </w:rPr>
              <w:t>一级□；二级□；三级</w:t>
            </w:r>
            <w:r>
              <w:rPr>
                <w:color w:val="auto"/>
                <w:szCs w:val="21"/>
                <w:highlight w:val="none"/>
              </w:rPr>
              <w:sym w:font="Wingdings 2" w:char="0052"/>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restart"/>
            <w:shd w:val="clear" w:color="auto" w:fill="auto"/>
            <w:vAlign w:val="center"/>
          </w:tcPr>
          <w:p>
            <w:pPr>
              <w:jc w:val="center"/>
              <w:rPr>
                <w:color w:val="auto"/>
                <w:szCs w:val="21"/>
                <w:highlight w:val="none"/>
              </w:rPr>
            </w:pPr>
            <w:r>
              <w:rPr>
                <w:color w:val="auto"/>
                <w:szCs w:val="21"/>
                <w:highlight w:val="none"/>
              </w:rPr>
              <w:t>现状调查内容</w:t>
            </w:r>
          </w:p>
        </w:tc>
        <w:tc>
          <w:tcPr>
            <w:tcW w:w="1715" w:type="dxa"/>
            <w:shd w:val="clear" w:color="auto" w:fill="auto"/>
            <w:vAlign w:val="center"/>
          </w:tcPr>
          <w:p>
            <w:pPr>
              <w:jc w:val="center"/>
              <w:rPr>
                <w:color w:val="auto"/>
                <w:szCs w:val="21"/>
                <w:highlight w:val="none"/>
              </w:rPr>
            </w:pPr>
            <w:r>
              <w:rPr>
                <w:color w:val="auto"/>
                <w:szCs w:val="21"/>
                <w:highlight w:val="none"/>
              </w:rPr>
              <w:t>资料收集</w:t>
            </w:r>
          </w:p>
        </w:tc>
        <w:tc>
          <w:tcPr>
            <w:tcW w:w="5546" w:type="dxa"/>
            <w:gridSpan w:val="6"/>
            <w:shd w:val="clear" w:color="auto" w:fill="auto"/>
            <w:vAlign w:val="center"/>
          </w:tcPr>
          <w:p>
            <w:pPr>
              <w:jc w:val="center"/>
              <w:rPr>
                <w:color w:val="auto"/>
                <w:szCs w:val="21"/>
                <w:highlight w:val="none"/>
              </w:rPr>
            </w:pPr>
            <w:r>
              <w:rPr>
                <w:color w:val="auto"/>
                <w:szCs w:val="21"/>
                <w:highlight w:val="none"/>
              </w:rPr>
              <w:t>a）</w:t>
            </w:r>
            <w:r>
              <w:rPr>
                <w:color w:val="auto"/>
                <w:szCs w:val="21"/>
                <w:highlight w:val="none"/>
              </w:rPr>
              <w:sym w:font="Wingdings 2" w:char="0052"/>
            </w:r>
            <w:r>
              <w:rPr>
                <w:color w:val="auto"/>
                <w:szCs w:val="21"/>
                <w:highlight w:val="none"/>
              </w:rPr>
              <w:t>；b）</w:t>
            </w:r>
            <w:r>
              <w:rPr>
                <w:color w:val="auto"/>
                <w:szCs w:val="21"/>
                <w:highlight w:val="none"/>
              </w:rPr>
              <w:sym w:font="Wingdings 2" w:char="0052"/>
            </w:r>
            <w:r>
              <w:rPr>
                <w:color w:val="auto"/>
                <w:szCs w:val="21"/>
                <w:highlight w:val="none"/>
              </w:rPr>
              <w:t>；c）</w:t>
            </w:r>
            <w:r>
              <w:rPr>
                <w:color w:val="auto"/>
                <w:szCs w:val="21"/>
                <w:highlight w:val="none"/>
              </w:rPr>
              <w:sym w:font="Wingdings 2" w:char="0052"/>
            </w:r>
            <w:r>
              <w:rPr>
                <w:color w:val="auto"/>
                <w:szCs w:val="21"/>
                <w:highlight w:val="none"/>
              </w:rPr>
              <w:t>；d）</w:t>
            </w:r>
            <w:r>
              <w:rPr>
                <w:color w:val="auto"/>
                <w:szCs w:val="21"/>
                <w:highlight w:val="none"/>
              </w:rPr>
              <w:sym w:font="Wingdings 2" w:char="0052"/>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理化特性</w:t>
            </w:r>
          </w:p>
        </w:tc>
        <w:tc>
          <w:tcPr>
            <w:tcW w:w="5546" w:type="dxa"/>
            <w:gridSpan w:val="6"/>
            <w:shd w:val="clear" w:color="auto" w:fill="auto"/>
            <w:vAlign w:val="center"/>
          </w:tcPr>
          <w:p>
            <w:pPr>
              <w:jc w:val="center"/>
              <w:rPr>
                <w:color w:val="auto"/>
                <w:szCs w:val="21"/>
                <w:highlight w:val="none"/>
              </w:rPr>
            </w:pPr>
            <w:r>
              <w:rPr>
                <w:color w:val="auto"/>
                <w:szCs w:val="21"/>
                <w:highlight w:val="none"/>
              </w:rPr>
              <w:t>详见表5.4-12   土壤理化特性调查表</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0" w:type="dxa"/>
            <w:vMerge w:val="continue"/>
            <w:shd w:val="clear" w:color="auto" w:fill="auto"/>
            <w:vAlign w:val="center"/>
          </w:tcPr>
          <w:p>
            <w:pPr>
              <w:jc w:val="center"/>
              <w:rPr>
                <w:color w:val="auto"/>
                <w:szCs w:val="21"/>
                <w:highlight w:val="none"/>
              </w:rPr>
            </w:pPr>
          </w:p>
        </w:tc>
        <w:tc>
          <w:tcPr>
            <w:tcW w:w="1715" w:type="dxa"/>
            <w:vMerge w:val="restart"/>
            <w:shd w:val="clear" w:color="auto" w:fill="auto"/>
            <w:vAlign w:val="center"/>
          </w:tcPr>
          <w:p>
            <w:pPr>
              <w:jc w:val="center"/>
              <w:rPr>
                <w:color w:val="auto"/>
                <w:szCs w:val="21"/>
                <w:highlight w:val="none"/>
              </w:rPr>
            </w:pPr>
            <w:r>
              <w:rPr>
                <w:color w:val="auto"/>
                <w:szCs w:val="21"/>
                <w:highlight w:val="none"/>
              </w:rPr>
              <w:t>现状监测点位</w:t>
            </w:r>
          </w:p>
        </w:tc>
        <w:tc>
          <w:tcPr>
            <w:tcW w:w="1313" w:type="dxa"/>
            <w:shd w:val="clear" w:color="auto" w:fill="auto"/>
            <w:vAlign w:val="center"/>
          </w:tcPr>
          <w:p>
            <w:pPr>
              <w:jc w:val="center"/>
              <w:rPr>
                <w:color w:val="auto"/>
                <w:szCs w:val="21"/>
                <w:highlight w:val="none"/>
              </w:rPr>
            </w:pPr>
          </w:p>
        </w:tc>
        <w:tc>
          <w:tcPr>
            <w:tcW w:w="1313" w:type="dxa"/>
            <w:gridSpan w:val="2"/>
            <w:shd w:val="clear" w:color="auto" w:fill="auto"/>
            <w:vAlign w:val="center"/>
          </w:tcPr>
          <w:p>
            <w:pPr>
              <w:jc w:val="center"/>
              <w:rPr>
                <w:color w:val="auto"/>
                <w:szCs w:val="21"/>
                <w:highlight w:val="none"/>
              </w:rPr>
            </w:pPr>
            <w:r>
              <w:rPr>
                <w:color w:val="auto"/>
                <w:szCs w:val="21"/>
                <w:highlight w:val="none"/>
              </w:rPr>
              <w:t>占地范围内</w:t>
            </w:r>
          </w:p>
        </w:tc>
        <w:tc>
          <w:tcPr>
            <w:tcW w:w="1313" w:type="dxa"/>
            <w:gridSpan w:val="2"/>
            <w:shd w:val="clear" w:color="auto" w:fill="auto"/>
            <w:vAlign w:val="center"/>
          </w:tcPr>
          <w:p>
            <w:pPr>
              <w:jc w:val="center"/>
              <w:rPr>
                <w:color w:val="auto"/>
                <w:szCs w:val="21"/>
                <w:highlight w:val="none"/>
              </w:rPr>
            </w:pPr>
            <w:r>
              <w:rPr>
                <w:color w:val="auto"/>
                <w:szCs w:val="21"/>
                <w:highlight w:val="none"/>
              </w:rPr>
              <w:t>占地范围外</w:t>
            </w:r>
          </w:p>
        </w:tc>
        <w:tc>
          <w:tcPr>
            <w:tcW w:w="1607" w:type="dxa"/>
            <w:shd w:val="clear" w:color="auto" w:fill="auto"/>
            <w:vAlign w:val="center"/>
          </w:tcPr>
          <w:p>
            <w:pPr>
              <w:jc w:val="center"/>
              <w:rPr>
                <w:color w:val="auto"/>
                <w:szCs w:val="21"/>
                <w:highlight w:val="none"/>
              </w:rPr>
            </w:pPr>
            <w:r>
              <w:rPr>
                <w:color w:val="auto"/>
                <w:szCs w:val="21"/>
                <w:highlight w:val="none"/>
              </w:rPr>
              <w:t>深度</w:t>
            </w:r>
          </w:p>
        </w:tc>
        <w:tc>
          <w:tcPr>
            <w:tcW w:w="818" w:type="dxa"/>
            <w:vMerge w:val="restart"/>
            <w:shd w:val="clear" w:color="auto" w:fill="auto"/>
            <w:vAlign w:val="center"/>
          </w:tcPr>
          <w:p>
            <w:pPr>
              <w:jc w:val="center"/>
              <w:rPr>
                <w:color w:val="auto"/>
                <w:szCs w:val="21"/>
                <w:highlight w:val="none"/>
              </w:rPr>
            </w:pPr>
            <w:r>
              <w:rPr>
                <w:color w:val="auto"/>
                <w:szCs w:val="21"/>
                <w:highlight w:val="none"/>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70" w:type="dxa"/>
            <w:vMerge w:val="continue"/>
            <w:shd w:val="clear" w:color="auto" w:fill="auto"/>
            <w:vAlign w:val="center"/>
          </w:tcPr>
          <w:p>
            <w:pPr>
              <w:jc w:val="center"/>
              <w:rPr>
                <w:color w:val="auto"/>
                <w:szCs w:val="21"/>
                <w:highlight w:val="none"/>
              </w:rPr>
            </w:pPr>
          </w:p>
        </w:tc>
        <w:tc>
          <w:tcPr>
            <w:tcW w:w="1715" w:type="dxa"/>
            <w:vMerge w:val="continue"/>
            <w:shd w:val="clear" w:color="auto" w:fill="auto"/>
            <w:vAlign w:val="center"/>
          </w:tcPr>
          <w:p>
            <w:pPr>
              <w:jc w:val="center"/>
              <w:rPr>
                <w:color w:val="auto"/>
                <w:szCs w:val="21"/>
                <w:highlight w:val="none"/>
              </w:rPr>
            </w:pPr>
          </w:p>
        </w:tc>
        <w:tc>
          <w:tcPr>
            <w:tcW w:w="1313" w:type="dxa"/>
            <w:shd w:val="clear" w:color="auto" w:fill="auto"/>
            <w:vAlign w:val="center"/>
          </w:tcPr>
          <w:p>
            <w:pPr>
              <w:jc w:val="center"/>
              <w:rPr>
                <w:color w:val="auto"/>
                <w:szCs w:val="21"/>
                <w:highlight w:val="none"/>
              </w:rPr>
            </w:pPr>
            <w:r>
              <w:rPr>
                <w:color w:val="auto"/>
                <w:szCs w:val="21"/>
                <w:highlight w:val="none"/>
              </w:rPr>
              <w:t>表层样点数</w:t>
            </w:r>
          </w:p>
        </w:tc>
        <w:tc>
          <w:tcPr>
            <w:tcW w:w="1313" w:type="dxa"/>
            <w:gridSpan w:val="2"/>
            <w:shd w:val="clear" w:color="auto" w:fill="auto"/>
            <w:vAlign w:val="center"/>
          </w:tcPr>
          <w:p>
            <w:pPr>
              <w:jc w:val="center"/>
              <w:rPr>
                <w:color w:val="auto"/>
                <w:szCs w:val="21"/>
                <w:highlight w:val="none"/>
              </w:rPr>
            </w:pPr>
            <w:r>
              <w:rPr>
                <w:color w:val="auto"/>
                <w:szCs w:val="21"/>
                <w:highlight w:val="none"/>
              </w:rPr>
              <w:t>3</w:t>
            </w:r>
          </w:p>
        </w:tc>
        <w:tc>
          <w:tcPr>
            <w:tcW w:w="1313" w:type="dxa"/>
            <w:gridSpan w:val="2"/>
            <w:shd w:val="clear" w:color="auto" w:fill="auto"/>
            <w:vAlign w:val="center"/>
          </w:tcPr>
          <w:p>
            <w:pPr>
              <w:jc w:val="center"/>
              <w:rPr>
                <w:color w:val="auto"/>
                <w:szCs w:val="21"/>
                <w:highlight w:val="none"/>
              </w:rPr>
            </w:pPr>
            <w:r>
              <w:rPr>
                <w:color w:val="auto"/>
                <w:szCs w:val="21"/>
                <w:highlight w:val="none"/>
              </w:rPr>
              <w:t>/</w:t>
            </w:r>
          </w:p>
        </w:tc>
        <w:tc>
          <w:tcPr>
            <w:tcW w:w="1607" w:type="dxa"/>
            <w:shd w:val="clear" w:color="auto" w:fill="auto"/>
            <w:vAlign w:val="center"/>
          </w:tcPr>
          <w:p>
            <w:pPr>
              <w:jc w:val="center"/>
              <w:rPr>
                <w:color w:val="auto"/>
                <w:szCs w:val="21"/>
                <w:highlight w:val="none"/>
              </w:rPr>
            </w:pPr>
            <w:r>
              <w:rPr>
                <w:color w:val="auto"/>
                <w:szCs w:val="21"/>
                <w:highlight w:val="none"/>
              </w:rPr>
              <w:t>0.2m</w:t>
            </w:r>
          </w:p>
        </w:tc>
        <w:tc>
          <w:tcPr>
            <w:tcW w:w="818" w:type="dxa"/>
            <w:vMerge w:val="continue"/>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70" w:type="dxa"/>
            <w:vMerge w:val="continue"/>
            <w:shd w:val="clear" w:color="auto" w:fill="auto"/>
            <w:vAlign w:val="center"/>
          </w:tcPr>
          <w:p>
            <w:pPr>
              <w:jc w:val="center"/>
              <w:rPr>
                <w:color w:val="auto"/>
                <w:szCs w:val="21"/>
                <w:highlight w:val="none"/>
              </w:rPr>
            </w:pPr>
          </w:p>
        </w:tc>
        <w:tc>
          <w:tcPr>
            <w:tcW w:w="1715" w:type="dxa"/>
            <w:vMerge w:val="continue"/>
            <w:shd w:val="clear" w:color="auto" w:fill="auto"/>
            <w:vAlign w:val="center"/>
          </w:tcPr>
          <w:p>
            <w:pPr>
              <w:jc w:val="center"/>
              <w:rPr>
                <w:color w:val="auto"/>
                <w:szCs w:val="21"/>
                <w:highlight w:val="none"/>
              </w:rPr>
            </w:pPr>
          </w:p>
        </w:tc>
        <w:tc>
          <w:tcPr>
            <w:tcW w:w="1313" w:type="dxa"/>
            <w:shd w:val="clear" w:color="auto" w:fill="auto"/>
            <w:vAlign w:val="center"/>
          </w:tcPr>
          <w:p>
            <w:pPr>
              <w:jc w:val="center"/>
              <w:rPr>
                <w:color w:val="auto"/>
                <w:szCs w:val="21"/>
                <w:highlight w:val="none"/>
              </w:rPr>
            </w:pPr>
            <w:r>
              <w:rPr>
                <w:color w:val="auto"/>
                <w:szCs w:val="21"/>
                <w:highlight w:val="none"/>
              </w:rPr>
              <w:t>柱状样点数</w:t>
            </w:r>
          </w:p>
        </w:tc>
        <w:tc>
          <w:tcPr>
            <w:tcW w:w="1313" w:type="dxa"/>
            <w:gridSpan w:val="2"/>
            <w:shd w:val="clear" w:color="auto" w:fill="auto"/>
            <w:vAlign w:val="center"/>
          </w:tcPr>
          <w:p>
            <w:pPr>
              <w:jc w:val="center"/>
              <w:rPr>
                <w:color w:val="auto"/>
                <w:szCs w:val="21"/>
                <w:highlight w:val="none"/>
              </w:rPr>
            </w:pPr>
            <w:r>
              <w:rPr>
                <w:color w:val="auto"/>
                <w:szCs w:val="21"/>
                <w:highlight w:val="none"/>
              </w:rPr>
              <w:t>/</w:t>
            </w:r>
          </w:p>
        </w:tc>
        <w:tc>
          <w:tcPr>
            <w:tcW w:w="1313" w:type="dxa"/>
            <w:gridSpan w:val="2"/>
            <w:shd w:val="clear" w:color="auto" w:fill="auto"/>
            <w:vAlign w:val="center"/>
          </w:tcPr>
          <w:p>
            <w:pPr>
              <w:jc w:val="center"/>
              <w:rPr>
                <w:color w:val="auto"/>
                <w:szCs w:val="21"/>
                <w:highlight w:val="none"/>
              </w:rPr>
            </w:pPr>
            <w:r>
              <w:rPr>
                <w:color w:val="auto"/>
                <w:szCs w:val="21"/>
                <w:highlight w:val="none"/>
              </w:rPr>
              <w:t>/</w:t>
            </w:r>
          </w:p>
        </w:tc>
        <w:tc>
          <w:tcPr>
            <w:tcW w:w="1607" w:type="dxa"/>
            <w:shd w:val="clear" w:color="auto" w:fill="auto"/>
            <w:vAlign w:val="center"/>
          </w:tcPr>
          <w:p>
            <w:pPr>
              <w:jc w:val="center"/>
              <w:rPr>
                <w:color w:val="auto"/>
                <w:szCs w:val="21"/>
                <w:highlight w:val="none"/>
              </w:rPr>
            </w:pPr>
            <w:r>
              <w:rPr>
                <w:color w:val="auto"/>
                <w:szCs w:val="21"/>
                <w:highlight w:val="none"/>
              </w:rPr>
              <w:t>/</w:t>
            </w:r>
          </w:p>
        </w:tc>
        <w:tc>
          <w:tcPr>
            <w:tcW w:w="818" w:type="dxa"/>
            <w:vMerge w:val="continue"/>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现状监测因子</w:t>
            </w:r>
          </w:p>
        </w:tc>
        <w:tc>
          <w:tcPr>
            <w:tcW w:w="5546" w:type="dxa"/>
            <w:gridSpan w:val="6"/>
            <w:shd w:val="clear" w:color="auto" w:fill="auto"/>
            <w:vAlign w:val="center"/>
          </w:tcPr>
          <w:p>
            <w:pPr>
              <w:rPr>
                <w:color w:val="auto"/>
                <w:szCs w:val="21"/>
                <w:highlight w:val="none"/>
              </w:rPr>
            </w:pPr>
            <w:r>
              <w:rPr>
                <w:color w:val="auto"/>
                <w:szCs w:val="21"/>
                <w:highlight w:val="none"/>
              </w:rPr>
              <w:t>pH、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restart"/>
            <w:shd w:val="clear" w:color="auto" w:fill="auto"/>
            <w:vAlign w:val="center"/>
          </w:tcPr>
          <w:p>
            <w:pPr>
              <w:jc w:val="center"/>
              <w:rPr>
                <w:color w:val="auto"/>
                <w:szCs w:val="21"/>
                <w:highlight w:val="none"/>
              </w:rPr>
            </w:pPr>
            <w:r>
              <w:rPr>
                <w:color w:val="auto"/>
                <w:szCs w:val="21"/>
                <w:highlight w:val="none"/>
              </w:rPr>
              <w:t>现状评价</w:t>
            </w:r>
          </w:p>
        </w:tc>
        <w:tc>
          <w:tcPr>
            <w:tcW w:w="1715" w:type="dxa"/>
            <w:shd w:val="clear" w:color="auto" w:fill="auto"/>
            <w:vAlign w:val="center"/>
          </w:tcPr>
          <w:p>
            <w:pPr>
              <w:jc w:val="center"/>
              <w:rPr>
                <w:color w:val="auto"/>
                <w:szCs w:val="21"/>
                <w:highlight w:val="none"/>
              </w:rPr>
            </w:pPr>
            <w:r>
              <w:rPr>
                <w:color w:val="auto"/>
                <w:szCs w:val="21"/>
                <w:highlight w:val="none"/>
              </w:rPr>
              <w:t>评价因子</w:t>
            </w:r>
          </w:p>
        </w:tc>
        <w:tc>
          <w:tcPr>
            <w:tcW w:w="5546" w:type="dxa"/>
            <w:gridSpan w:val="6"/>
            <w:shd w:val="clear" w:color="auto" w:fill="auto"/>
            <w:vAlign w:val="center"/>
          </w:tcPr>
          <w:p>
            <w:pPr>
              <w:rPr>
                <w:color w:val="auto"/>
                <w:szCs w:val="21"/>
                <w:highlight w:val="none"/>
              </w:rPr>
            </w:pPr>
            <w:r>
              <w:rPr>
                <w:color w:val="auto"/>
                <w:szCs w:val="21"/>
                <w:highlight w:val="none"/>
              </w:rPr>
              <w:t>pH、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评价标准</w:t>
            </w:r>
          </w:p>
        </w:tc>
        <w:tc>
          <w:tcPr>
            <w:tcW w:w="5546" w:type="dxa"/>
            <w:gridSpan w:val="6"/>
            <w:shd w:val="clear" w:color="auto" w:fill="auto"/>
            <w:vAlign w:val="center"/>
          </w:tcPr>
          <w:p>
            <w:pPr>
              <w:jc w:val="center"/>
              <w:rPr>
                <w:color w:val="auto"/>
                <w:szCs w:val="21"/>
                <w:highlight w:val="none"/>
              </w:rPr>
            </w:pPr>
            <w:r>
              <w:rPr>
                <w:color w:val="auto"/>
                <w:szCs w:val="21"/>
                <w:highlight w:val="none"/>
              </w:rPr>
              <w:t>GB15618□；GB36600</w:t>
            </w:r>
            <w:r>
              <w:rPr>
                <w:color w:val="auto"/>
                <w:szCs w:val="21"/>
                <w:highlight w:val="none"/>
              </w:rPr>
              <w:sym w:font="Wingdings 2" w:char="0052"/>
            </w:r>
            <w:r>
              <w:rPr>
                <w:color w:val="auto"/>
                <w:szCs w:val="21"/>
                <w:highlight w:val="none"/>
              </w:rPr>
              <w:t>；表D.1□；表D.2□；其他（）</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现状评价结论</w:t>
            </w:r>
          </w:p>
        </w:tc>
        <w:tc>
          <w:tcPr>
            <w:tcW w:w="5546" w:type="dxa"/>
            <w:gridSpan w:val="6"/>
            <w:shd w:val="clear" w:color="auto" w:fill="auto"/>
            <w:vAlign w:val="center"/>
          </w:tcPr>
          <w:p>
            <w:pPr>
              <w:jc w:val="center"/>
              <w:rPr>
                <w:color w:val="auto"/>
                <w:szCs w:val="21"/>
                <w:highlight w:val="none"/>
              </w:rPr>
            </w:pPr>
            <w:r>
              <w:rPr>
                <w:color w:val="auto"/>
                <w:szCs w:val="21"/>
                <w:highlight w:val="none"/>
              </w:rPr>
              <w:t>达到风险筛选值要求</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restart"/>
            <w:shd w:val="clear" w:color="auto" w:fill="auto"/>
            <w:vAlign w:val="center"/>
          </w:tcPr>
          <w:p>
            <w:pPr>
              <w:jc w:val="center"/>
              <w:rPr>
                <w:color w:val="auto"/>
                <w:szCs w:val="21"/>
                <w:highlight w:val="none"/>
              </w:rPr>
            </w:pPr>
            <w:r>
              <w:rPr>
                <w:color w:val="auto"/>
                <w:szCs w:val="21"/>
                <w:highlight w:val="none"/>
              </w:rPr>
              <w:t>影响预测</w:t>
            </w:r>
          </w:p>
        </w:tc>
        <w:tc>
          <w:tcPr>
            <w:tcW w:w="1715" w:type="dxa"/>
            <w:shd w:val="clear" w:color="auto" w:fill="auto"/>
            <w:vAlign w:val="center"/>
          </w:tcPr>
          <w:p>
            <w:pPr>
              <w:jc w:val="center"/>
              <w:rPr>
                <w:color w:val="auto"/>
                <w:szCs w:val="21"/>
                <w:highlight w:val="none"/>
              </w:rPr>
            </w:pPr>
            <w:r>
              <w:rPr>
                <w:color w:val="auto"/>
                <w:szCs w:val="21"/>
                <w:highlight w:val="none"/>
              </w:rPr>
              <w:t>预测因子</w:t>
            </w:r>
          </w:p>
        </w:tc>
        <w:tc>
          <w:tcPr>
            <w:tcW w:w="5546" w:type="dxa"/>
            <w:gridSpan w:val="6"/>
            <w:shd w:val="clear" w:color="auto" w:fill="auto"/>
            <w:vAlign w:val="center"/>
          </w:tcPr>
          <w:p>
            <w:pPr>
              <w:jc w:val="center"/>
              <w:rPr>
                <w:color w:val="auto"/>
                <w:szCs w:val="21"/>
                <w:highlight w:val="none"/>
              </w:rPr>
            </w:pPr>
            <w:r>
              <w:rPr>
                <w:color w:val="auto"/>
                <w:szCs w:val="21"/>
                <w:highlight w:val="none"/>
              </w:rPr>
              <w:t>/</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预测方法</w:t>
            </w:r>
          </w:p>
        </w:tc>
        <w:tc>
          <w:tcPr>
            <w:tcW w:w="5546" w:type="dxa"/>
            <w:gridSpan w:val="6"/>
            <w:shd w:val="clear" w:color="auto" w:fill="auto"/>
            <w:vAlign w:val="center"/>
          </w:tcPr>
          <w:p>
            <w:pPr>
              <w:jc w:val="center"/>
              <w:rPr>
                <w:color w:val="auto"/>
                <w:szCs w:val="21"/>
                <w:highlight w:val="none"/>
              </w:rPr>
            </w:pPr>
            <w:r>
              <w:rPr>
                <w:color w:val="auto"/>
                <w:szCs w:val="21"/>
                <w:highlight w:val="none"/>
              </w:rPr>
              <w:t>附录E□；附录F□；其他（）</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预测分析内容</w:t>
            </w:r>
          </w:p>
        </w:tc>
        <w:tc>
          <w:tcPr>
            <w:tcW w:w="5546" w:type="dxa"/>
            <w:gridSpan w:val="6"/>
            <w:shd w:val="clear" w:color="auto" w:fill="auto"/>
            <w:vAlign w:val="center"/>
          </w:tcPr>
          <w:p>
            <w:pPr>
              <w:jc w:val="center"/>
              <w:rPr>
                <w:color w:val="auto"/>
                <w:szCs w:val="21"/>
                <w:highlight w:val="none"/>
              </w:rPr>
            </w:pPr>
            <w:r>
              <w:rPr>
                <w:color w:val="auto"/>
                <w:szCs w:val="21"/>
                <w:highlight w:val="none"/>
              </w:rPr>
              <w:t>影响范围（/）</w:t>
            </w:r>
          </w:p>
          <w:p>
            <w:pPr>
              <w:jc w:val="center"/>
              <w:rPr>
                <w:color w:val="auto"/>
                <w:szCs w:val="21"/>
                <w:highlight w:val="none"/>
              </w:rPr>
            </w:pPr>
            <w:r>
              <w:rPr>
                <w:color w:val="auto"/>
                <w:szCs w:val="21"/>
                <w:highlight w:val="none"/>
              </w:rPr>
              <w:t>影响程度（轻微）</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预测结论</w:t>
            </w:r>
          </w:p>
        </w:tc>
        <w:tc>
          <w:tcPr>
            <w:tcW w:w="5546" w:type="dxa"/>
            <w:gridSpan w:val="6"/>
            <w:shd w:val="clear" w:color="auto" w:fill="auto"/>
            <w:vAlign w:val="center"/>
          </w:tcPr>
          <w:p>
            <w:pPr>
              <w:jc w:val="center"/>
              <w:rPr>
                <w:color w:val="auto"/>
                <w:szCs w:val="21"/>
                <w:highlight w:val="none"/>
              </w:rPr>
            </w:pPr>
            <w:r>
              <w:rPr>
                <w:color w:val="auto"/>
                <w:szCs w:val="21"/>
                <w:highlight w:val="none"/>
              </w:rPr>
              <w:t>达标结论：a）</w:t>
            </w:r>
            <w:r>
              <w:rPr>
                <w:color w:val="auto"/>
                <w:szCs w:val="21"/>
                <w:highlight w:val="none"/>
              </w:rPr>
              <w:sym w:font="Wingdings 2" w:char="0052"/>
            </w:r>
            <w:r>
              <w:rPr>
                <w:color w:val="auto"/>
                <w:szCs w:val="21"/>
                <w:highlight w:val="none"/>
              </w:rPr>
              <w:t>；b）□；c）□</w:t>
            </w:r>
          </w:p>
          <w:p>
            <w:pPr>
              <w:jc w:val="center"/>
              <w:rPr>
                <w:color w:val="auto"/>
                <w:szCs w:val="21"/>
                <w:highlight w:val="none"/>
              </w:rPr>
            </w:pPr>
            <w:r>
              <w:rPr>
                <w:color w:val="auto"/>
                <w:szCs w:val="21"/>
                <w:highlight w:val="none"/>
              </w:rPr>
              <w:t>不达标结论：a）□；b）</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restart"/>
            <w:shd w:val="clear" w:color="auto" w:fill="auto"/>
            <w:vAlign w:val="center"/>
          </w:tcPr>
          <w:p>
            <w:pPr>
              <w:jc w:val="center"/>
              <w:rPr>
                <w:color w:val="auto"/>
                <w:szCs w:val="21"/>
                <w:highlight w:val="none"/>
              </w:rPr>
            </w:pPr>
            <w:r>
              <w:rPr>
                <w:color w:val="auto"/>
                <w:szCs w:val="21"/>
                <w:highlight w:val="none"/>
              </w:rPr>
              <w:t>防治措施</w:t>
            </w:r>
          </w:p>
        </w:tc>
        <w:tc>
          <w:tcPr>
            <w:tcW w:w="1715" w:type="dxa"/>
            <w:shd w:val="clear" w:color="auto" w:fill="auto"/>
            <w:vAlign w:val="center"/>
          </w:tcPr>
          <w:p>
            <w:pPr>
              <w:jc w:val="center"/>
              <w:rPr>
                <w:color w:val="auto"/>
                <w:szCs w:val="21"/>
                <w:highlight w:val="none"/>
              </w:rPr>
            </w:pPr>
            <w:r>
              <w:rPr>
                <w:color w:val="auto"/>
                <w:szCs w:val="21"/>
                <w:highlight w:val="none"/>
              </w:rPr>
              <w:t>防控措施</w:t>
            </w:r>
          </w:p>
        </w:tc>
        <w:tc>
          <w:tcPr>
            <w:tcW w:w="5546" w:type="dxa"/>
            <w:gridSpan w:val="6"/>
            <w:shd w:val="clear" w:color="auto" w:fill="auto"/>
            <w:vAlign w:val="center"/>
          </w:tcPr>
          <w:p>
            <w:pPr>
              <w:jc w:val="center"/>
              <w:rPr>
                <w:color w:val="auto"/>
                <w:szCs w:val="21"/>
                <w:highlight w:val="none"/>
              </w:rPr>
            </w:pPr>
            <w:r>
              <w:rPr>
                <w:color w:val="auto"/>
                <w:szCs w:val="21"/>
                <w:highlight w:val="none"/>
              </w:rPr>
              <w:t>土壤环境质量现状保障□；源头控制</w:t>
            </w:r>
            <w:r>
              <w:rPr>
                <w:color w:val="auto"/>
                <w:szCs w:val="21"/>
                <w:highlight w:val="none"/>
              </w:rPr>
              <w:sym w:font="Wingdings 2" w:char="0052"/>
            </w:r>
            <w:r>
              <w:rPr>
                <w:color w:val="auto"/>
                <w:szCs w:val="21"/>
                <w:highlight w:val="none"/>
              </w:rPr>
              <w:t>；过程防控</w:t>
            </w:r>
            <w:r>
              <w:rPr>
                <w:color w:val="auto"/>
                <w:szCs w:val="21"/>
                <w:highlight w:val="none"/>
              </w:rPr>
              <w:sym w:font="Wingdings 2" w:char="0052"/>
            </w:r>
            <w:r>
              <w:rPr>
                <w:color w:val="auto"/>
                <w:szCs w:val="21"/>
                <w:highlight w:val="none"/>
              </w:rPr>
              <w:t>；</w:t>
            </w:r>
          </w:p>
          <w:p>
            <w:pPr>
              <w:jc w:val="center"/>
              <w:rPr>
                <w:color w:val="auto"/>
                <w:szCs w:val="21"/>
                <w:highlight w:val="none"/>
              </w:rPr>
            </w:pPr>
            <w:r>
              <w:rPr>
                <w:color w:val="auto"/>
                <w:szCs w:val="21"/>
                <w:highlight w:val="none"/>
              </w:rPr>
              <w:t>其他（）</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70" w:type="dxa"/>
            <w:vMerge w:val="continue"/>
            <w:shd w:val="clear" w:color="auto" w:fill="auto"/>
            <w:vAlign w:val="center"/>
          </w:tcPr>
          <w:p>
            <w:pPr>
              <w:jc w:val="center"/>
              <w:rPr>
                <w:color w:val="auto"/>
                <w:szCs w:val="21"/>
                <w:highlight w:val="none"/>
              </w:rPr>
            </w:pPr>
          </w:p>
        </w:tc>
        <w:tc>
          <w:tcPr>
            <w:tcW w:w="1715" w:type="dxa"/>
            <w:vMerge w:val="restart"/>
            <w:shd w:val="clear" w:color="auto" w:fill="auto"/>
            <w:vAlign w:val="center"/>
          </w:tcPr>
          <w:p>
            <w:pPr>
              <w:jc w:val="center"/>
              <w:rPr>
                <w:color w:val="auto"/>
                <w:szCs w:val="21"/>
                <w:highlight w:val="none"/>
              </w:rPr>
            </w:pPr>
            <w:r>
              <w:rPr>
                <w:color w:val="auto"/>
                <w:szCs w:val="21"/>
                <w:highlight w:val="none"/>
              </w:rPr>
              <w:t>跟踪监测</w:t>
            </w:r>
          </w:p>
        </w:tc>
        <w:tc>
          <w:tcPr>
            <w:tcW w:w="1751" w:type="dxa"/>
            <w:gridSpan w:val="2"/>
            <w:shd w:val="clear" w:color="auto" w:fill="auto"/>
            <w:vAlign w:val="center"/>
          </w:tcPr>
          <w:p>
            <w:pPr>
              <w:jc w:val="center"/>
              <w:rPr>
                <w:color w:val="auto"/>
                <w:szCs w:val="21"/>
                <w:highlight w:val="none"/>
              </w:rPr>
            </w:pPr>
            <w:r>
              <w:rPr>
                <w:color w:val="auto"/>
                <w:szCs w:val="21"/>
                <w:highlight w:val="none"/>
              </w:rPr>
              <w:t>监测点数</w:t>
            </w:r>
          </w:p>
        </w:tc>
        <w:tc>
          <w:tcPr>
            <w:tcW w:w="1749" w:type="dxa"/>
            <w:gridSpan w:val="2"/>
            <w:shd w:val="clear" w:color="auto" w:fill="auto"/>
            <w:vAlign w:val="center"/>
          </w:tcPr>
          <w:p>
            <w:pPr>
              <w:jc w:val="center"/>
              <w:rPr>
                <w:color w:val="auto"/>
                <w:szCs w:val="21"/>
                <w:highlight w:val="none"/>
              </w:rPr>
            </w:pPr>
            <w:r>
              <w:rPr>
                <w:color w:val="auto"/>
                <w:szCs w:val="21"/>
                <w:highlight w:val="none"/>
              </w:rPr>
              <w:t>监测指标</w:t>
            </w:r>
          </w:p>
        </w:tc>
        <w:tc>
          <w:tcPr>
            <w:tcW w:w="2046" w:type="dxa"/>
            <w:gridSpan w:val="2"/>
            <w:shd w:val="clear" w:color="auto" w:fill="auto"/>
            <w:vAlign w:val="center"/>
          </w:tcPr>
          <w:p>
            <w:pPr>
              <w:jc w:val="center"/>
              <w:rPr>
                <w:color w:val="auto"/>
                <w:szCs w:val="21"/>
                <w:highlight w:val="none"/>
              </w:rPr>
            </w:pPr>
            <w:r>
              <w:rPr>
                <w:color w:val="auto"/>
                <w:szCs w:val="21"/>
                <w:highlight w:val="none"/>
              </w:rPr>
              <w:t>监测频次</w:t>
            </w:r>
          </w:p>
        </w:tc>
        <w:tc>
          <w:tcPr>
            <w:tcW w:w="818" w:type="dxa"/>
            <w:vMerge w:val="restart"/>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70" w:type="dxa"/>
            <w:vMerge w:val="continue"/>
            <w:shd w:val="clear" w:color="auto" w:fill="auto"/>
            <w:vAlign w:val="center"/>
          </w:tcPr>
          <w:p>
            <w:pPr>
              <w:jc w:val="center"/>
              <w:rPr>
                <w:color w:val="auto"/>
                <w:szCs w:val="21"/>
                <w:highlight w:val="none"/>
              </w:rPr>
            </w:pPr>
          </w:p>
        </w:tc>
        <w:tc>
          <w:tcPr>
            <w:tcW w:w="1715" w:type="dxa"/>
            <w:vMerge w:val="continue"/>
            <w:shd w:val="clear" w:color="auto" w:fill="auto"/>
            <w:vAlign w:val="center"/>
          </w:tcPr>
          <w:p>
            <w:pPr>
              <w:jc w:val="center"/>
              <w:rPr>
                <w:color w:val="auto"/>
                <w:szCs w:val="21"/>
                <w:highlight w:val="none"/>
              </w:rPr>
            </w:pPr>
          </w:p>
        </w:tc>
        <w:tc>
          <w:tcPr>
            <w:tcW w:w="1751" w:type="dxa"/>
            <w:gridSpan w:val="2"/>
            <w:shd w:val="clear" w:color="auto" w:fill="auto"/>
            <w:vAlign w:val="center"/>
          </w:tcPr>
          <w:p>
            <w:pPr>
              <w:jc w:val="center"/>
              <w:rPr>
                <w:color w:val="auto"/>
                <w:szCs w:val="21"/>
                <w:highlight w:val="none"/>
              </w:rPr>
            </w:pPr>
            <w:r>
              <w:rPr>
                <w:color w:val="auto"/>
                <w:szCs w:val="21"/>
                <w:highlight w:val="none"/>
              </w:rPr>
              <w:t>/</w:t>
            </w:r>
          </w:p>
        </w:tc>
        <w:tc>
          <w:tcPr>
            <w:tcW w:w="1749" w:type="dxa"/>
            <w:gridSpan w:val="2"/>
            <w:shd w:val="clear" w:color="auto" w:fill="auto"/>
            <w:vAlign w:val="center"/>
          </w:tcPr>
          <w:p>
            <w:pPr>
              <w:jc w:val="center"/>
              <w:rPr>
                <w:color w:val="auto"/>
                <w:szCs w:val="21"/>
                <w:highlight w:val="none"/>
              </w:rPr>
            </w:pPr>
            <w:r>
              <w:rPr>
                <w:color w:val="auto"/>
                <w:szCs w:val="21"/>
                <w:highlight w:val="none"/>
              </w:rPr>
              <w:t>/</w:t>
            </w:r>
          </w:p>
        </w:tc>
        <w:tc>
          <w:tcPr>
            <w:tcW w:w="2046" w:type="dxa"/>
            <w:gridSpan w:val="2"/>
            <w:shd w:val="clear" w:color="auto" w:fill="auto"/>
            <w:vAlign w:val="center"/>
          </w:tcPr>
          <w:p>
            <w:pPr>
              <w:jc w:val="center"/>
              <w:rPr>
                <w:color w:val="auto"/>
                <w:szCs w:val="21"/>
                <w:highlight w:val="none"/>
              </w:rPr>
            </w:pPr>
            <w:r>
              <w:rPr>
                <w:color w:val="auto"/>
                <w:szCs w:val="21"/>
                <w:highlight w:val="none"/>
              </w:rPr>
              <w:t>/</w:t>
            </w:r>
          </w:p>
        </w:tc>
        <w:tc>
          <w:tcPr>
            <w:tcW w:w="818" w:type="dxa"/>
            <w:vMerge w:val="continue"/>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vMerge w:val="continue"/>
            <w:shd w:val="clear" w:color="auto" w:fill="auto"/>
            <w:vAlign w:val="center"/>
          </w:tcPr>
          <w:p>
            <w:pPr>
              <w:jc w:val="center"/>
              <w:rPr>
                <w:color w:val="auto"/>
                <w:szCs w:val="21"/>
                <w:highlight w:val="none"/>
              </w:rPr>
            </w:pPr>
          </w:p>
        </w:tc>
        <w:tc>
          <w:tcPr>
            <w:tcW w:w="1715" w:type="dxa"/>
            <w:shd w:val="clear" w:color="auto" w:fill="auto"/>
            <w:vAlign w:val="center"/>
          </w:tcPr>
          <w:p>
            <w:pPr>
              <w:jc w:val="center"/>
              <w:rPr>
                <w:color w:val="auto"/>
                <w:szCs w:val="21"/>
                <w:highlight w:val="none"/>
              </w:rPr>
            </w:pPr>
            <w:r>
              <w:rPr>
                <w:color w:val="auto"/>
                <w:szCs w:val="21"/>
                <w:highlight w:val="none"/>
              </w:rPr>
              <w:t>信息公开指标</w:t>
            </w:r>
          </w:p>
        </w:tc>
        <w:tc>
          <w:tcPr>
            <w:tcW w:w="5546" w:type="dxa"/>
            <w:gridSpan w:val="6"/>
            <w:shd w:val="clear" w:color="auto" w:fill="auto"/>
            <w:vAlign w:val="center"/>
          </w:tcPr>
          <w:p>
            <w:pPr>
              <w:jc w:val="center"/>
              <w:rPr>
                <w:color w:val="auto"/>
                <w:szCs w:val="21"/>
                <w:highlight w:val="none"/>
              </w:rPr>
            </w:pPr>
            <w:r>
              <w:rPr>
                <w:color w:val="auto"/>
                <w:szCs w:val="21"/>
                <w:highlight w:val="none"/>
              </w:rPr>
              <w:t>/</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5" w:type="dxa"/>
            <w:gridSpan w:val="2"/>
            <w:shd w:val="clear" w:color="auto" w:fill="auto"/>
            <w:vAlign w:val="center"/>
          </w:tcPr>
          <w:p>
            <w:pPr>
              <w:jc w:val="center"/>
              <w:rPr>
                <w:color w:val="auto"/>
                <w:szCs w:val="21"/>
                <w:highlight w:val="none"/>
              </w:rPr>
            </w:pPr>
            <w:r>
              <w:rPr>
                <w:color w:val="auto"/>
                <w:szCs w:val="21"/>
                <w:highlight w:val="none"/>
              </w:rPr>
              <w:t>评价结论</w:t>
            </w:r>
          </w:p>
        </w:tc>
        <w:tc>
          <w:tcPr>
            <w:tcW w:w="5546" w:type="dxa"/>
            <w:gridSpan w:val="6"/>
            <w:shd w:val="clear" w:color="auto" w:fill="auto"/>
            <w:vAlign w:val="center"/>
          </w:tcPr>
          <w:p>
            <w:pPr>
              <w:rPr>
                <w:color w:val="auto"/>
                <w:szCs w:val="21"/>
                <w:highlight w:val="none"/>
              </w:rPr>
            </w:pPr>
            <w:r>
              <w:rPr>
                <w:color w:val="auto"/>
                <w:szCs w:val="21"/>
                <w:highlight w:val="none"/>
              </w:rPr>
              <w:t>根据场区污染物产生特征及污染物泄漏的途径，对</w:t>
            </w:r>
            <w:r>
              <w:rPr>
                <w:rFonts w:hint="eastAsia"/>
                <w:color w:val="auto"/>
                <w:szCs w:val="21"/>
                <w:highlight w:val="none"/>
              </w:rPr>
              <w:t>危废暂存间</w:t>
            </w:r>
            <w:r>
              <w:rPr>
                <w:rFonts w:hint="eastAsia"/>
                <w:color w:val="auto"/>
                <w:szCs w:val="21"/>
                <w:highlight w:val="none"/>
                <w:lang w:eastAsia="zh-CN"/>
              </w:rPr>
              <w:t>、</w:t>
            </w:r>
            <w:r>
              <w:rPr>
                <w:rFonts w:hint="eastAsia"/>
                <w:color w:val="auto"/>
                <w:szCs w:val="21"/>
                <w:highlight w:val="none"/>
                <w:lang w:val="en-US" w:eastAsia="zh-CN"/>
              </w:rPr>
              <w:t>冷却水池</w:t>
            </w:r>
            <w:r>
              <w:rPr>
                <w:color w:val="auto"/>
                <w:szCs w:val="21"/>
                <w:highlight w:val="none"/>
              </w:rPr>
              <w:t>等可能发生</w:t>
            </w:r>
            <w:r>
              <w:rPr>
                <w:rFonts w:hint="eastAsia"/>
                <w:color w:val="auto"/>
                <w:szCs w:val="21"/>
                <w:highlight w:val="none"/>
                <w:lang w:eastAsia="zh-CN"/>
              </w:rPr>
              <w:t>泄漏</w:t>
            </w:r>
            <w:r>
              <w:rPr>
                <w:color w:val="auto"/>
                <w:szCs w:val="21"/>
                <w:highlight w:val="none"/>
              </w:rPr>
              <w:t>污染土壤的区域或部位采取严格的防渗措施。确保各项防渗措施得以落实，并加强维护和厂区环境管理，可有效控制项目产生的污染物下渗现象，避免污染土壤，在采取有效防护措施情况下，项目对区域土壤环境影响较小。</w:t>
            </w:r>
          </w:p>
        </w:tc>
        <w:tc>
          <w:tcPr>
            <w:tcW w:w="818" w:type="dxa"/>
            <w:shd w:val="clear" w:color="auto" w:fill="auto"/>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1" w:type="dxa"/>
            <w:gridSpan w:val="8"/>
            <w:shd w:val="clear" w:color="auto" w:fill="auto"/>
            <w:vAlign w:val="center"/>
          </w:tcPr>
          <w:p>
            <w:pPr>
              <w:rPr>
                <w:color w:val="auto"/>
                <w:szCs w:val="21"/>
                <w:highlight w:val="none"/>
              </w:rPr>
            </w:pPr>
            <w:r>
              <w:rPr>
                <w:color w:val="auto"/>
                <w:szCs w:val="21"/>
                <w:highlight w:val="none"/>
              </w:rPr>
              <w:t>注1：“□”为勾选项，可√；“（）”为内容填写项；“备注”为其他补充内容。</w:t>
            </w:r>
          </w:p>
          <w:p>
            <w:pPr>
              <w:rPr>
                <w:color w:val="auto"/>
                <w:szCs w:val="21"/>
                <w:highlight w:val="none"/>
              </w:rPr>
            </w:pPr>
            <w:r>
              <w:rPr>
                <w:color w:val="auto"/>
                <w:szCs w:val="21"/>
                <w:highlight w:val="none"/>
              </w:rPr>
              <w:t>注2：需要分别开展土壤环境影响评级工作的，分别填写自查表。</w:t>
            </w:r>
          </w:p>
        </w:tc>
        <w:tc>
          <w:tcPr>
            <w:tcW w:w="818" w:type="dxa"/>
            <w:shd w:val="clear" w:color="auto" w:fill="auto"/>
            <w:vAlign w:val="center"/>
          </w:tcPr>
          <w:p>
            <w:pPr>
              <w:jc w:val="center"/>
              <w:rPr>
                <w:color w:val="auto"/>
                <w:szCs w:val="21"/>
                <w:highlight w:val="none"/>
              </w:rPr>
            </w:pPr>
          </w:p>
        </w:tc>
      </w:tr>
    </w:tbl>
    <w:p>
      <w:pPr>
        <w:pStyle w:val="22"/>
        <w:spacing w:before="0" w:after="0" w:line="360" w:lineRule="auto"/>
        <w:ind w:left="0" w:right="0"/>
        <w:jc w:val="both"/>
        <w:rPr>
          <w:color w:val="auto"/>
          <w:highlight w:val="none"/>
        </w:rPr>
      </w:pPr>
    </w:p>
    <w:bookmarkEnd w:id="602"/>
    <w:bookmarkEnd w:id="603"/>
    <w:bookmarkEnd w:id="604"/>
    <w:bookmarkEnd w:id="605"/>
    <w:p>
      <w:pPr>
        <w:keepNext/>
        <w:keepLines/>
        <w:spacing w:line="360" w:lineRule="auto"/>
        <w:outlineLvl w:val="2"/>
        <w:rPr>
          <w:rFonts w:hint="eastAsia" w:ascii="Times New Roman" w:hAnsi="Times New Roman" w:eastAsia="宋体" w:cs="Times New Roman"/>
          <w:b/>
          <w:bCs/>
          <w:color w:val="auto"/>
          <w:sz w:val="24"/>
          <w:highlight w:val="none"/>
          <w:lang w:val="en-US" w:eastAsia="zh-CN"/>
        </w:rPr>
      </w:pPr>
      <w:bookmarkStart w:id="606" w:name="_Toc14196"/>
      <w:r>
        <w:rPr>
          <w:rFonts w:hint="eastAsia" w:ascii="Times New Roman" w:hAnsi="Times New Roman" w:eastAsia="宋体" w:cs="Times New Roman"/>
          <w:b/>
          <w:bCs/>
          <w:color w:val="auto"/>
          <w:sz w:val="24"/>
          <w:highlight w:val="none"/>
          <w:lang w:val="en-US" w:eastAsia="zh-CN"/>
        </w:rPr>
        <w:t>5.2.7生态影响分析</w:t>
      </w:r>
      <w:bookmarkEnd w:id="6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环境影响评价技术导则-生态影响》(HJ19-2022)，本项目不涉及国家公园、自然保护区、世界自然遗产、重要生境、自然公园等生态敏感区；根据生态保护红线查询结果，项目不在生态红线保护范围内；项目地表水评价等级为三级 B；项目土壤影响范围内没</w:t>
      </w:r>
      <w:r>
        <w:rPr>
          <w:rFonts w:hint="eastAsia" w:cs="Times New Roman"/>
          <w:color w:val="auto"/>
          <w:sz w:val="24"/>
          <w:szCs w:val="24"/>
          <w:highlight w:val="none"/>
          <w:lang w:eastAsia="zh-CN"/>
        </w:rPr>
        <w:t>有</w:t>
      </w:r>
      <w:r>
        <w:rPr>
          <w:rFonts w:hint="default" w:ascii="Times New Roman" w:hAnsi="Times New Roman" w:cs="Times New Roman"/>
          <w:color w:val="auto"/>
          <w:sz w:val="24"/>
          <w:szCs w:val="24"/>
          <w:highlight w:val="none"/>
        </w:rPr>
        <w:t>天然林、公益林、湿地等生态保护目标分布；项目总</w:t>
      </w:r>
      <w:r>
        <w:rPr>
          <w:rFonts w:hint="default" w:ascii="Times New Roman" w:hAnsi="Times New Roman" w:cs="Times New Roman"/>
          <w:color w:val="auto"/>
          <w:sz w:val="24"/>
          <w:szCs w:val="24"/>
          <w:highlight w:val="none"/>
          <w:lang w:val="en-US" w:eastAsia="zh-CN"/>
        </w:rPr>
        <w:t>占地面积</w:t>
      </w:r>
      <w:r>
        <w:rPr>
          <w:rFonts w:hint="eastAsia" w:ascii="Times New Roman" w:hAnsi="Times New Roman" w:cs="Times New Roman"/>
          <w:color w:val="auto"/>
          <w:sz w:val="24"/>
          <w:szCs w:val="24"/>
          <w:highlight w:val="none"/>
          <w:lang w:val="en-US" w:eastAsia="zh-CN"/>
        </w:rPr>
        <w:t>1994.56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，即</w:t>
      </w:r>
      <w:r>
        <w:rPr>
          <w:rFonts w:hint="default" w:ascii="Times New Roman" w:hAnsi="Times New Roman" w:cs="Times New Roman"/>
          <w:color w:val="auto"/>
          <w:sz w:val="24"/>
          <w:szCs w:val="24"/>
          <w:highlight w:val="none"/>
          <w:lang w:val="en-US" w:eastAsia="zh-CN"/>
        </w:rPr>
        <w:t>小于</w:t>
      </w: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，故确定项目生态影响评价等级为三级。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生态环境影响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1）对植物的影响 </w:t>
      </w:r>
    </w:p>
    <w:p>
      <w:pPr>
        <w:adjustRightInd w:val="0"/>
        <w:snapToGrid w:val="0"/>
        <w:spacing w:line="360" w:lineRule="auto"/>
        <w:ind w:firstLine="480" w:firstLineChars="200"/>
        <w:rPr>
          <w:color w:val="auto"/>
          <w:sz w:val="24"/>
          <w:highlight w:val="none"/>
        </w:rPr>
      </w:pPr>
      <w:r>
        <w:rPr>
          <w:color w:val="auto"/>
          <w:sz w:val="24"/>
          <w:highlight w:val="none"/>
        </w:rPr>
        <w:t>项目区域的植被受人类活动影响，在用地范围内已不存在原生植被，植被较为单一，</w:t>
      </w:r>
      <w:r>
        <w:rPr>
          <w:rFonts w:hint="eastAsia"/>
          <w:color w:val="auto"/>
          <w:sz w:val="24"/>
          <w:highlight w:val="none"/>
          <w:lang w:val="en-US" w:eastAsia="zh-CN"/>
        </w:rPr>
        <w:t>多为人工绿化植被</w:t>
      </w:r>
      <w:r>
        <w:rPr>
          <w:color w:val="auto"/>
          <w:sz w:val="24"/>
          <w:highlight w:val="none"/>
        </w:rPr>
        <w:t>，生物多样性总体较低，生态环境自我调节能力低。调查范围内未发现古树名木，也未发现狭域特有植物以及国家级和省级保护植物。</w:t>
      </w:r>
    </w:p>
    <w:p>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项目租用原三月三铸造厂厂房进行建设，用地性质为工业用地，不在原有厂房以外新增用地，</w:t>
      </w:r>
      <w:r>
        <w:rPr>
          <w:color w:val="auto"/>
          <w:sz w:val="24"/>
          <w:highlight w:val="none"/>
        </w:rPr>
        <w:t>项目</w:t>
      </w:r>
      <w:r>
        <w:rPr>
          <w:rFonts w:hint="eastAsia"/>
          <w:color w:val="auto"/>
          <w:sz w:val="24"/>
          <w:highlight w:val="none"/>
          <w:lang w:val="en-US" w:eastAsia="zh-CN"/>
        </w:rPr>
        <w:t>用地不会造成植物</w:t>
      </w:r>
      <w:r>
        <w:rPr>
          <w:color w:val="auto"/>
          <w:sz w:val="24"/>
          <w:highlight w:val="none"/>
        </w:rPr>
        <w:t>物种在云南的种群数量，更不会影响到它们的种群生存。因此，项目建设对本区植物物种多样性的影响非常小。</w:t>
      </w:r>
    </w:p>
    <w:p>
      <w:pPr>
        <w:adjustRightInd w:val="0"/>
        <w:snapToGrid w:val="0"/>
        <w:spacing w:line="360" w:lineRule="auto"/>
        <w:ind w:firstLine="480" w:firstLineChars="200"/>
        <w:rPr>
          <w:b w:val="0"/>
          <w:bCs/>
          <w:color w:val="auto"/>
          <w:sz w:val="24"/>
          <w:highlight w:val="none"/>
        </w:rPr>
      </w:pPr>
      <w:r>
        <w:rPr>
          <w:rFonts w:hint="eastAsia"/>
          <w:b w:val="0"/>
          <w:bCs/>
          <w:color w:val="auto"/>
          <w:sz w:val="24"/>
          <w:highlight w:val="none"/>
          <w:lang w:eastAsia="zh-CN"/>
        </w:rPr>
        <w:t>（</w:t>
      </w:r>
      <w:r>
        <w:rPr>
          <w:b w:val="0"/>
          <w:bCs/>
          <w:color w:val="auto"/>
          <w:sz w:val="24"/>
          <w:highlight w:val="none"/>
        </w:rPr>
        <w:t xml:space="preserve">2）对动物的影响 </w:t>
      </w:r>
    </w:p>
    <w:p>
      <w:pPr>
        <w:adjustRightInd w:val="0"/>
        <w:snapToGrid w:val="0"/>
        <w:spacing w:line="360" w:lineRule="auto"/>
        <w:ind w:firstLine="480" w:firstLineChars="200"/>
        <w:rPr>
          <w:color w:val="auto"/>
          <w:sz w:val="24"/>
          <w:highlight w:val="none"/>
        </w:rPr>
      </w:pPr>
      <w:r>
        <w:rPr>
          <w:color w:val="auto"/>
          <w:sz w:val="24"/>
          <w:highlight w:val="none"/>
        </w:rPr>
        <w:t>项目所在</w:t>
      </w:r>
      <w:r>
        <w:rPr>
          <w:rFonts w:hint="eastAsia"/>
          <w:color w:val="auto"/>
          <w:sz w:val="24"/>
          <w:highlight w:val="none"/>
          <w:lang w:val="en-US" w:eastAsia="zh-CN"/>
        </w:rPr>
        <w:t>地</w:t>
      </w:r>
      <w:r>
        <w:rPr>
          <w:color w:val="auto"/>
          <w:sz w:val="24"/>
          <w:highlight w:val="none"/>
        </w:rPr>
        <w:t>由于人类活动频繁，评价区内野生动物较少，多为两栖类、鸟类等小型动物。在运营期时，该用地范围区域内人为活动频繁，对周围动物的生活造成干扰，使它们的生活受到威胁而迁徙，对动物的类型及数量会产生一定负面影响。项目区域未分布有国家、省级重点保护野生动物分布，未发现有狭域特有种分布，亦不涉及野生动物的迁徙通道。野生动物具有趋避能力，可以通过迁徙移动到达周边的适应生境进行生存，因此本项目不会造成野生动物数量的明显减少，更不会造成野生动物物种的消失。</w:t>
      </w:r>
    </w:p>
    <w:p>
      <w:pPr>
        <w:adjustRightInd w:val="0"/>
        <w:snapToGrid w:val="0"/>
        <w:spacing w:line="360" w:lineRule="auto"/>
        <w:ind w:firstLine="480" w:firstLineChars="200"/>
        <w:rPr>
          <w:color w:val="auto"/>
          <w:sz w:val="24"/>
          <w:highlight w:val="none"/>
        </w:rPr>
      </w:pPr>
      <w:r>
        <w:rPr>
          <w:color w:val="auto"/>
          <w:sz w:val="24"/>
          <w:highlight w:val="none"/>
        </w:rPr>
        <w:t>为了在运营过程中使陆生脊椎动物受到的影响减小到最低程度，同时确保生态环境和陆生脊椎动物得到有效保护，使资源得以恢复与持续利用，本次环评提出建设单位</w:t>
      </w:r>
      <w:r>
        <w:rPr>
          <w:rFonts w:hint="eastAsia"/>
          <w:color w:val="auto"/>
          <w:sz w:val="24"/>
          <w:highlight w:val="none"/>
          <w:lang w:eastAsia="zh-CN"/>
        </w:rPr>
        <w:t>应在</w:t>
      </w:r>
      <w:r>
        <w:rPr>
          <w:color w:val="auto"/>
          <w:sz w:val="24"/>
          <w:highlight w:val="none"/>
        </w:rPr>
        <w:t>运营过程中采取下列措施：建设单位对野生动物保护法规进行了宣传和教育，作出规定禁止破坏动物栖息地生境；禁止土方及垃圾倒入灌草丛；禁止猎捕野生动物等。</w:t>
      </w:r>
    </w:p>
    <w:p>
      <w:pPr>
        <w:adjustRightInd w:val="0"/>
        <w:snapToGrid w:val="0"/>
        <w:spacing w:line="360" w:lineRule="auto"/>
        <w:ind w:firstLine="480" w:firstLineChars="200"/>
        <w:rPr>
          <w:color w:val="auto"/>
          <w:sz w:val="24"/>
          <w:highlight w:val="none"/>
        </w:rPr>
      </w:pPr>
      <w:r>
        <w:rPr>
          <w:color w:val="auto"/>
          <w:sz w:val="24"/>
          <w:highlight w:val="none"/>
        </w:rPr>
        <w:t>综上所述，对当地动物资源的影响较小。</w:t>
      </w:r>
    </w:p>
    <w:p>
      <w:pPr>
        <w:adjustRightInd w:val="0"/>
        <w:snapToGrid w:val="0"/>
        <w:spacing w:line="360" w:lineRule="auto"/>
        <w:ind w:firstLine="480" w:firstLineChars="200"/>
        <w:rPr>
          <w:b w:val="0"/>
          <w:bCs/>
          <w:color w:val="auto"/>
          <w:sz w:val="24"/>
          <w:highlight w:val="none"/>
        </w:rPr>
      </w:pPr>
      <w:r>
        <w:rPr>
          <w:rFonts w:hint="eastAsia"/>
          <w:b w:val="0"/>
          <w:bCs/>
          <w:color w:val="auto"/>
          <w:sz w:val="24"/>
          <w:highlight w:val="none"/>
          <w:lang w:eastAsia="zh-CN"/>
        </w:rPr>
        <w:t>（</w:t>
      </w:r>
      <w:r>
        <w:rPr>
          <w:rFonts w:hint="eastAsia"/>
          <w:b w:val="0"/>
          <w:bCs/>
          <w:color w:val="auto"/>
          <w:sz w:val="24"/>
          <w:highlight w:val="none"/>
        </w:rPr>
        <w:t>3</w:t>
      </w:r>
      <w:r>
        <w:rPr>
          <w:b w:val="0"/>
          <w:bCs/>
          <w:color w:val="auto"/>
          <w:sz w:val="24"/>
          <w:highlight w:val="none"/>
        </w:rPr>
        <w:t xml:space="preserve">）对区域生态系统影响 </w:t>
      </w:r>
    </w:p>
    <w:p>
      <w:pPr>
        <w:adjustRightInd w:val="0"/>
        <w:snapToGrid w:val="0"/>
        <w:spacing w:line="360" w:lineRule="auto"/>
        <w:ind w:firstLine="480" w:firstLineChars="200"/>
        <w:rPr>
          <w:color w:val="auto"/>
          <w:sz w:val="24"/>
          <w:highlight w:val="none"/>
        </w:rPr>
      </w:pPr>
      <w:r>
        <w:rPr>
          <w:color w:val="auto"/>
          <w:sz w:val="24"/>
          <w:highlight w:val="none"/>
        </w:rPr>
        <w:t>在</w:t>
      </w:r>
      <w:r>
        <w:rPr>
          <w:rFonts w:hint="eastAsia"/>
          <w:color w:val="auto"/>
          <w:sz w:val="24"/>
          <w:highlight w:val="none"/>
          <w:lang w:val="en-US" w:eastAsia="zh-CN"/>
        </w:rPr>
        <w:t>运行过程中，项目生产均在占地范围内进行，不在原有厂区范围外新增用地，</w:t>
      </w:r>
      <w:r>
        <w:rPr>
          <w:color w:val="auto"/>
          <w:sz w:val="24"/>
          <w:highlight w:val="none"/>
        </w:rPr>
        <w:t>项目运营不会导致某种物种在该区域消失，</w:t>
      </w:r>
      <w:r>
        <w:rPr>
          <w:rFonts w:hint="eastAsia"/>
          <w:color w:val="auto"/>
          <w:sz w:val="24"/>
          <w:highlight w:val="none"/>
          <w:lang w:val="en-US" w:eastAsia="zh-CN"/>
        </w:rPr>
        <w:t>不会造成植被占用及动物栖息地影响。</w:t>
      </w:r>
      <w:r>
        <w:rPr>
          <w:color w:val="auto"/>
          <w:sz w:val="24"/>
          <w:highlight w:val="none"/>
        </w:rPr>
        <w:t>因此项目建设对该地区生态系统和珍稀动植物资源的保护不会产生大的负面影响。</w:t>
      </w:r>
    </w:p>
    <w:p>
      <w:pPr>
        <w:adjustRightInd w:val="0"/>
        <w:snapToGrid w:val="0"/>
        <w:spacing w:line="360" w:lineRule="auto"/>
        <w:ind w:firstLine="480" w:firstLineChars="200"/>
        <w:rPr>
          <w:b w:val="0"/>
          <w:bCs/>
          <w:color w:val="auto"/>
          <w:sz w:val="24"/>
          <w:highlight w:val="none"/>
        </w:rPr>
      </w:pPr>
      <w:r>
        <w:rPr>
          <w:rFonts w:hint="eastAsia"/>
          <w:b w:val="0"/>
          <w:bCs/>
          <w:color w:val="auto"/>
          <w:sz w:val="24"/>
          <w:highlight w:val="none"/>
          <w:lang w:eastAsia="zh-CN"/>
        </w:rPr>
        <w:t>（</w:t>
      </w:r>
      <w:r>
        <w:rPr>
          <w:rFonts w:hint="eastAsia"/>
          <w:b w:val="0"/>
          <w:bCs/>
          <w:color w:val="auto"/>
          <w:sz w:val="24"/>
          <w:highlight w:val="none"/>
        </w:rPr>
        <w:t>4</w:t>
      </w:r>
      <w:r>
        <w:rPr>
          <w:b w:val="0"/>
          <w:bCs/>
          <w:color w:val="auto"/>
          <w:sz w:val="24"/>
          <w:highlight w:val="none"/>
        </w:rPr>
        <w:t xml:space="preserve">）水土流失影响 </w:t>
      </w:r>
    </w:p>
    <w:p>
      <w:pPr>
        <w:adjustRightInd w:val="0"/>
        <w:snapToGrid w:val="0"/>
        <w:spacing w:line="360" w:lineRule="auto"/>
        <w:ind w:firstLine="480" w:firstLineChars="200"/>
        <w:rPr>
          <w:b w:val="0"/>
          <w:bCs w:val="0"/>
          <w:color w:val="auto"/>
          <w:sz w:val="24"/>
          <w:highlight w:val="none"/>
        </w:rPr>
      </w:pPr>
      <w:r>
        <w:rPr>
          <w:color w:val="auto"/>
          <w:sz w:val="24"/>
          <w:highlight w:val="none"/>
        </w:rPr>
        <w:t>本项目为</w:t>
      </w:r>
      <w:r>
        <w:rPr>
          <w:rFonts w:hint="eastAsia"/>
          <w:color w:val="auto"/>
          <w:sz w:val="24"/>
          <w:highlight w:val="none"/>
          <w:lang w:val="en-US" w:eastAsia="zh-CN"/>
        </w:rPr>
        <w:t>塑料框生产项目</w:t>
      </w:r>
      <w:r>
        <w:rPr>
          <w:color w:val="auto"/>
          <w:sz w:val="24"/>
          <w:highlight w:val="none"/>
        </w:rPr>
        <w:t>，项目运营时，</w:t>
      </w:r>
      <w:r>
        <w:rPr>
          <w:rFonts w:hint="eastAsia"/>
          <w:color w:val="auto"/>
          <w:sz w:val="24"/>
          <w:highlight w:val="none"/>
          <w:lang w:val="en-US" w:eastAsia="zh-CN"/>
        </w:rPr>
        <w:t>均在租用的原三月三铸造厂厂房</w:t>
      </w:r>
      <w:r>
        <w:rPr>
          <w:rFonts w:hint="eastAsia"/>
          <w:b w:val="0"/>
          <w:bCs w:val="0"/>
          <w:color w:val="auto"/>
          <w:sz w:val="24"/>
          <w:highlight w:val="none"/>
          <w:lang w:val="en-US" w:eastAsia="zh-CN"/>
        </w:rPr>
        <w:t>内生产，并在厂房周围设置雨水沟等工程措施，</w:t>
      </w:r>
      <w:r>
        <w:rPr>
          <w:b w:val="0"/>
          <w:bCs w:val="0"/>
          <w:color w:val="auto"/>
          <w:sz w:val="24"/>
          <w:highlight w:val="none"/>
        </w:rPr>
        <w:t>不会造成新增水土流失危害。</w:t>
      </w:r>
    </w:p>
    <w:p>
      <w:pPr>
        <w:adjustRightInd w:val="0"/>
        <w:snapToGrid w:val="0"/>
        <w:spacing w:line="360" w:lineRule="auto"/>
        <w:ind w:firstLine="480" w:firstLineChars="200"/>
        <w:rPr>
          <w:b w:val="0"/>
          <w:bCs w:val="0"/>
          <w:color w:val="auto"/>
          <w:sz w:val="24"/>
          <w:highlight w:val="none"/>
        </w:rPr>
      </w:pPr>
      <w:r>
        <w:rPr>
          <w:rFonts w:hint="eastAsia"/>
          <w:b w:val="0"/>
          <w:bCs w:val="0"/>
          <w:color w:val="auto"/>
          <w:sz w:val="24"/>
          <w:highlight w:val="none"/>
          <w:lang w:val="en-US" w:eastAsia="zh-CN"/>
        </w:rPr>
        <w:t>（5</w:t>
      </w:r>
      <w:r>
        <w:rPr>
          <w:b w:val="0"/>
          <w:bCs w:val="0"/>
          <w:color w:val="auto"/>
          <w:sz w:val="24"/>
          <w:highlight w:val="none"/>
        </w:rPr>
        <w:t>）对</w:t>
      </w:r>
      <w:r>
        <w:rPr>
          <w:rFonts w:hint="eastAsia"/>
          <w:b w:val="0"/>
          <w:bCs w:val="0"/>
          <w:color w:val="auto"/>
          <w:sz w:val="24"/>
          <w:highlight w:val="none"/>
        </w:rPr>
        <w:t>土地利用</w:t>
      </w:r>
      <w:r>
        <w:rPr>
          <w:b w:val="0"/>
          <w:bCs w:val="0"/>
          <w:color w:val="auto"/>
          <w:sz w:val="24"/>
          <w:highlight w:val="none"/>
        </w:rPr>
        <w:t>的影响</w:t>
      </w:r>
    </w:p>
    <w:p>
      <w:pPr>
        <w:adjustRightInd w:val="0"/>
        <w:snapToGrid w:val="0"/>
        <w:spacing w:line="360" w:lineRule="auto"/>
        <w:ind w:firstLine="480" w:firstLineChars="200"/>
        <w:rPr>
          <w:color w:val="auto"/>
          <w:sz w:val="24"/>
          <w:highlight w:val="none"/>
        </w:rPr>
      </w:pPr>
      <w:r>
        <w:rPr>
          <w:rFonts w:hint="eastAsia"/>
          <w:color w:val="auto"/>
          <w:sz w:val="24"/>
          <w:highlight w:val="none"/>
        </w:rPr>
        <w:t>本项目占地面积</w:t>
      </w:r>
      <w:r>
        <w:rPr>
          <w:rFonts w:hint="eastAsia"/>
          <w:color w:val="auto"/>
          <w:sz w:val="24"/>
          <w:highlight w:val="none"/>
          <w:lang w:val="en-US" w:eastAsia="zh-CN"/>
        </w:rPr>
        <w:t>1994.56</w:t>
      </w:r>
      <w:r>
        <w:rPr>
          <w:color w:val="auto"/>
          <w:sz w:val="24"/>
          <w:highlight w:val="none"/>
        </w:rPr>
        <w:t>m²</w:t>
      </w:r>
      <w:r>
        <w:rPr>
          <w:rFonts w:hint="eastAsia"/>
          <w:color w:val="auto"/>
          <w:sz w:val="24"/>
          <w:highlight w:val="none"/>
        </w:rPr>
        <w:t>，为永久占地，</w:t>
      </w:r>
      <w:r>
        <w:rPr>
          <w:rFonts w:hint="eastAsia"/>
          <w:color w:val="auto"/>
          <w:sz w:val="24"/>
          <w:highlight w:val="none"/>
          <w:lang w:val="en-US" w:eastAsia="zh-CN"/>
        </w:rPr>
        <w:t>在原三月三铸造厂厂房内进行建设，用地性质为工业用地，</w:t>
      </w:r>
      <w:r>
        <w:rPr>
          <w:rFonts w:hint="eastAsia"/>
          <w:color w:val="auto"/>
          <w:sz w:val="24"/>
          <w:highlight w:val="none"/>
        </w:rPr>
        <w:t>本项目</w:t>
      </w:r>
      <w:bookmarkStart w:id="607" w:name="_Hlk150263793"/>
      <w:r>
        <w:rPr>
          <w:rFonts w:hint="eastAsia"/>
          <w:color w:val="auto"/>
          <w:sz w:val="24"/>
          <w:highlight w:val="none"/>
        </w:rPr>
        <w:t>不占用</w:t>
      </w:r>
      <w:r>
        <w:rPr>
          <w:rFonts w:hint="eastAsia"/>
          <w:color w:val="auto"/>
          <w:sz w:val="24"/>
          <w:highlight w:val="none"/>
          <w:lang w:val="en-US" w:eastAsia="zh-CN"/>
        </w:rPr>
        <w:t>耕地和</w:t>
      </w:r>
      <w:r>
        <w:rPr>
          <w:rFonts w:hint="eastAsia"/>
          <w:color w:val="auto"/>
          <w:sz w:val="24"/>
          <w:highlight w:val="none"/>
        </w:rPr>
        <w:t>永久基本农田</w:t>
      </w:r>
      <w:r>
        <w:rPr>
          <w:rFonts w:hint="eastAsia"/>
          <w:color w:val="auto"/>
          <w:sz w:val="24"/>
          <w:highlight w:val="none"/>
          <w:lang w:val="en-US" w:eastAsia="zh-CN"/>
        </w:rPr>
        <w:t>等</w:t>
      </w:r>
      <w:r>
        <w:rPr>
          <w:rFonts w:hint="eastAsia"/>
          <w:color w:val="auto"/>
          <w:sz w:val="24"/>
          <w:highlight w:val="none"/>
        </w:rPr>
        <w:t>，</w:t>
      </w:r>
      <w:bookmarkEnd w:id="607"/>
      <w:bookmarkStart w:id="608" w:name="_Hlk150263778"/>
      <w:r>
        <w:rPr>
          <w:rFonts w:hint="eastAsia"/>
          <w:color w:val="auto"/>
          <w:sz w:val="24"/>
          <w:highlight w:val="none"/>
        </w:rPr>
        <w:t>不涉及公益林和生态红线，</w:t>
      </w:r>
      <w:bookmarkEnd w:id="608"/>
      <w:bookmarkStart w:id="609" w:name="_Hlk150263800"/>
      <w:r>
        <w:rPr>
          <w:rFonts w:hint="eastAsia"/>
          <w:color w:val="auto"/>
          <w:sz w:val="24"/>
          <w:highlight w:val="none"/>
          <w:lang w:val="en-US" w:eastAsia="zh-CN"/>
        </w:rPr>
        <w:t>本项目建设不在原有厂房以外新增用地，不会造成新的土地利用形式改变，</w:t>
      </w:r>
      <w:r>
        <w:rPr>
          <w:rFonts w:hint="eastAsia"/>
          <w:color w:val="auto"/>
          <w:sz w:val="24"/>
          <w:highlight w:val="none"/>
        </w:rPr>
        <w:t>总体</w:t>
      </w:r>
      <w:r>
        <w:rPr>
          <w:rFonts w:hint="eastAsia"/>
          <w:color w:val="auto"/>
          <w:sz w:val="24"/>
          <w:highlight w:val="none"/>
          <w:lang w:val="en-US" w:eastAsia="zh-CN"/>
        </w:rPr>
        <w:t>而言，项目建设对土地利用的影响较小</w:t>
      </w:r>
      <w:r>
        <w:rPr>
          <w:rFonts w:hint="eastAsia"/>
          <w:color w:val="auto"/>
          <w:sz w:val="24"/>
          <w:highlight w:val="none"/>
        </w:rPr>
        <w:t>。</w:t>
      </w:r>
      <w:bookmarkEnd w:id="609"/>
    </w:p>
    <w:p>
      <w:pPr>
        <w:spacing w:line="360" w:lineRule="auto"/>
        <w:ind w:firstLine="480"/>
        <w:jc w:val="left"/>
        <w:rPr>
          <w:b/>
          <w:bCs/>
          <w:color w:val="auto"/>
          <w:sz w:val="24"/>
          <w:highlight w:val="none"/>
        </w:rPr>
      </w:pPr>
      <w:r>
        <w:rPr>
          <w:rFonts w:hint="eastAsia"/>
          <w:b/>
          <w:bCs/>
          <w:color w:val="auto"/>
          <w:sz w:val="24"/>
          <w:highlight w:val="none"/>
          <w:lang w:val="en-US" w:eastAsia="zh-CN"/>
        </w:rPr>
        <w:t>2、</w:t>
      </w:r>
      <w:r>
        <w:rPr>
          <w:b/>
          <w:bCs/>
          <w:color w:val="auto"/>
          <w:sz w:val="24"/>
          <w:highlight w:val="none"/>
        </w:rPr>
        <w:t>运营期生态环境保护措施</w:t>
      </w:r>
    </w:p>
    <w:p>
      <w:pPr>
        <w:spacing w:line="360" w:lineRule="auto"/>
        <w:ind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 xml:space="preserve">对项目区植被及植物的保护对策措施 </w:t>
      </w:r>
    </w:p>
    <w:p>
      <w:pPr>
        <w:spacing w:line="360" w:lineRule="auto"/>
        <w:ind w:firstLine="480" w:firstLineChars="200"/>
        <w:rPr>
          <w:color w:val="auto"/>
          <w:sz w:val="24"/>
          <w:highlight w:val="none"/>
        </w:rPr>
      </w:pPr>
      <w:r>
        <w:rPr>
          <w:color w:val="auto"/>
          <w:sz w:val="24"/>
          <w:highlight w:val="none"/>
        </w:rPr>
        <w:t>a、项目运营期</w:t>
      </w:r>
      <w:bookmarkStart w:id="610" w:name="_Hlk150263857"/>
      <w:r>
        <w:rPr>
          <w:color w:val="auto"/>
          <w:sz w:val="24"/>
          <w:highlight w:val="none"/>
        </w:rPr>
        <w:t>加强工作人员教育管理，禁止工作人员随意破坏</w:t>
      </w:r>
      <w:r>
        <w:rPr>
          <w:rFonts w:hint="eastAsia"/>
          <w:color w:val="auto"/>
          <w:sz w:val="24"/>
          <w:highlight w:val="none"/>
          <w:lang w:val="en-US" w:eastAsia="zh-CN"/>
        </w:rPr>
        <w:t>项目区内绿化</w:t>
      </w:r>
      <w:r>
        <w:rPr>
          <w:color w:val="auto"/>
          <w:sz w:val="24"/>
          <w:highlight w:val="none"/>
        </w:rPr>
        <w:t>植被</w:t>
      </w:r>
      <w:bookmarkEnd w:id="610"/>
      <w:r>
        <w:rPr>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b</w:t>
      </w:r>
      <w:r>
        <w:rPr>
          <w:color w:val="auto"/>
          <w:sz w:val="24"/>
          <w:highlight w:val="none"/>
        </w:rPr>
        <w:t>、</w:t>
      </w:r>
      <w:bookmarkStart w:id="611" w:name="_Hlk150263870"/>
      <w:r>
        <w:rPr>
          <w:rFonts w:hint="eastAsia"/>
          <w:color w:val="auto"/>
          <w:sz w:val="24"/>
          <w:highlight w:val="none"/>
          <w:lang w:val="en-US" w:eastAsia="zh-CN"/>
        </w:rPr>
        <w:t>项目区</w:t>
      </w:r>
      <w:r>
        <w:rPr>
          <w:color w:val="auto"/>
          <w:sz w:val="24"/>
          <w:highlight w:val="none"/>
        </w:rPr>
        <w:t>周边设置</w:t>
      </w:r>
      <w:r>
        <w:rPr>
          <w:rFonts w:hint="eastAsia"/>
          <w:color w:val="auto"/>
          <w:sz w:val="24"/>
          <w:highlight w:val="none"/>
          <w:lang w:val="en-US" w:eastAsia="zh-CN"/>
        </w:rPr>
        <w:t>雨水</w:t>
      </w:r>
      <w:r>
        <w:rPr>
          <w:color w:val="auto"/>
          <w:sz w:val="24"/>
          <w:highlight w:val="none"/>
        </w:rPr>
        <w:t>沟</w:t>
      </w:r>
      <w:bookmarkEnd w:id="611"/>
      <w:r>
        <w:rPr>
          <w:color w:val="auto"/>
          <w:sz w:val="24"/>
          <w:highlight w:val="none"/>
        </w:rPr>
        <w:t>，就近将雨水引流至</w:t>
      </w:r>
      <w:r>
        <w:rPr>
          <w:rFonts w:hint="eastAsia"/>
          <w:color w:val="auto"/>
          <w:sz w:val="24"/>
          <w:highlight w:val="none"/>
          <w:lang w:val="en-US" w:eastAsia="zh-CN"/>
        </w:rPr>
        <w:t>附近自然排水沟</w:t>
      </w:r>
      <w:r>
        <w:rPr>
          <w:color w:val="auto"/>
          <w:sz w:val="24"/>
          <w:highlight w:val="none"/>
        </w:rPr>
        <w:t>，降低雨水冲刷带来的影响</w:t>
      </w:r>
      <w:bookmarkStart w:id="612" w:name="_Hlk150263876"/>
      <w:r>
        <w:rPr>
          <w:color w:val="auto"/>
          <w:sz w:val="24"/>
          <w:highlight w:val="none"/>
        </w:rPr>
        <w:t>，减少水土流失量；</w:t>
      </w:r>
      <w:bookmarkEnd w:id="612"/>
    </w:p>
    <w:p>
      <w:pPr>
        <w:spacing w:line="360" w:lineRule="auto"/>
        <w:ind w:firstLine="480" w:firstLineChars="200"/>
        <w:rPr>
          <w:color w:val="auto"/>
          <w:sz w:val="24"/>
          <w:highlight w:val="none"/>
        </w:rPr>
      </w:pPr>
      <w:r>
        <w:rPr>
          <w:rFonts w:hint="eastAsia" w:ascii="宋体" w:hAnsi="宋体" w:cs="宋体"/>
          <w:color w:val="auto"/>
          <w:sz w:val="24"/>
          <w:highlight w:val="none"/>
        </w:rPr>
        <w:t>②</w:t>
      </w:r>
      <w:r>
        <w:rPr>
          <w:color w:val="auto"/>
          <w:sz w:val="24"/>
          <w:highlight w:val="none"/>
        </w:rPr>
        <w:t xml:space="preserve">对项目区野生动物的保护对策措施 </w:t>
      </w:r>
    </w:p>
    <w:p>
      <w:pPr>
        <w:spacing w:line="360" w:lineRule="auto"/>
        <w:ind w:firstLine="480" w:firstLineChars="200"/>
        <w:rPr>
          <w:rFonts w:hint="default" w:ascii="Times New Roman" w:hAnsi="Times New Roman" w:cs="Times New Roman"/>
          <w:b/>
          <w:bCs/>
          <w:color w:val="auto"/>
          <w:sz w:val="24"/>
          <w:szCs w:val="24"/>
          <w:highlight w:val="none"/>
          <w:lang w:val="en-US" w:eastAsia="zh-CN"/>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r>
        <w:rPr>
          <w:color w:val="auto"/>
          <w:sz w:val="24"/>
          <w:highlight w:val="none"/>
        </w:rPr>
        <w:t>a、项目区的工作人员向公众做宣传工作，宣传国家和云南省有关野生动物保护的法规规定和野生动物保护方面的相关知识。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3、小结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项目运营期不对外排放重金属、酸碱性、高低温、生物毒性等对动植物</w:t>
      </w:r>
      <w:r>
        <w:rPr>
          <w:rFonts w:hint="eastAsia" w:cs="Times New Roman"/>
          <w:color w:val="auto"/>
          <w:sz w:val="24"/>
          <w:szCs w:val="24"/>
          <w:highlight w:val="none"/>
          <w:lang w:val="en-US" w:eastAsia="zh-CN"/>
        </w:rPr>
        <w:t>有</w:t>
      </w:r>
      <w:r>
        <w:rPr>
          <w:rFonts w:hint="default" w:ascii="Times New Roman" w:hAnsi="Times New Roman" w:cs="Times New Roman"/>
          <w:color w:val="auto"/>
          <w:sz w:val="24"/>
          <w:szCs w:val="24"/>
          <w:highlight w:val="none"/>
          <w:lang w:val="en-US" w:eastAsia="zh-CN"/>
        </w:rPr>
        <w:t>明显毒害作用或明显干扰动植物生存的污染物，对周边生态环境影响小。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4、生态环境影响评价自查表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本项目生态环境自查情况如下：</w:t>
      </w:r>
    </w:p>
    <w:p>
      <w:pPr>
        <w:pStyle w:val="528"/>
        <w:adjustRightInd/>
        <w:rPr>
          <w:rFonts w:hint="default" w:ascii="Times New Roman" w:hAnsi="Times New Roman" w:eastAsia="宋体" w:cs="Times New Roman"/>
          <w:color w:val="auto"/>
          <w:highlight w:val="none"/>
        </w:rPr>
      </w:pPr>
    </w:p>
    <w:p>
      <w:pPr>
        <w:pStyle w:val="528"/>
        <w:adjustRightInd/>
        <w:rPr>
          <w:rFonts w:hint="default" w:ascii="Times New Roman" w:hAnsi="Times New Roman" w:eastAsia="宋体" w:cs="Times New Roman"/>
          <w:color w:val="auto"/>
          <w:highlight w:val="none"/>
        </w:rPr>
      </w:pPr>
    </w:p>
    <w:p>
      <w:pPr>
        <w:pStyle w:val="528"/>
        <w:adjustRightInd/>
        <w:rPr>
          <w:rFonts w:hint="default" w:ascii="Times New Roman" w:hAnsi="Times New Roman" w:eastAsia="宋体" w:cs="Times New Roman"/>
          <w:color w:val="auto"/>
          <w:highlight w:val="none"/>
        </w:rPr>
      </w:pPr>
    </w:p>
    <w:p>
      <w:pPr>
        <w:pStyle w:val="528"/>
        <w:adjustRightInd/>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eastAsia" w:ascii="Times New Roman" w:hAnsi="Times New Roman" w:eastAsia="宋体" w:cs="Times New Roman"/>
          <w:color w:val="auto"/>
          <w:highlight w:val="none"/>
          <w:lang w:val="en-US" w:eastAsia="zh-CN"/>
        </w:rPr>
        <w:t>5.2-</w:t>
      </w:r>
      <w:r>
        <w:rPr>
          <w:rFonts w:hint="eastAsia" w:cs="Times New Roman"/>
          <w:color w:val="auto"/>
          <w:highlight w:val="none"/>
          <w:lang w:val="en-US" w:eastAsia="zh-CN"/>
        </w:rPr>
        <w:t>20</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生态</w:t>
      </w:r>
      <w:r>
        <w:rPr>
          <w:rFonts w:hint="default" w:ascii="Times New Roman" w:hAnsi="Times New Roman" w:eastAsia="宋体" w:cs="Times New Roman"/>
          <w:color w:val="auto"/>
          <w:highlight w:val="none"/>
        </w:rPr>
        <w:t>环境影响评价自查表</w:t>
      </w:r>
    </w:p>
    <w:tbl>
      <w:tblPr>
        <w:tblStyle w:val="55"/>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27"/>
        <w:gridCol w:w="6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gridSpan w:val="2"/>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工作内容</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restart"/>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生态</w:t>
            </w:r>
            <w:r>
              <w:rPr>
                <w:rFonts w:hint="default" w:ascii="Times New Roman" w:hAnsi="Times New Roman" w:eastAsia="宋体" w:cs="Times New Roman"/>
                <w:b w:val="0"/>
                <w:bCs/>
                <w:color w:val="auto"/>
                <w:sz w:val="21"/>
                <w:szCs w:val="21"/>
                <w:highlight w:val="none"/>
              </w:rPr>
              <w:t>影响识别</w:t>
            </w: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生态保护目标</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重要物种</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国家公园</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自然保护区</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自然公园</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；世界自然遗产</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；生态保护红线</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；重要生境</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；其他具有重要生态功能、对保护生物多样性具有重要意义的区域</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影响方式</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工程占用</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施工活动干扰</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改变环境条件</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评价因子</w:t>
            </w:r>
          </w:p>
        </w:tc>
        <w:tc>
          <w:tcPr>
            <w:tcW w:w="6142" w:type="dxa"/>
            <w:vAlign w:val="center"/>
          </w:tcPr>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物种</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生境</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生物群落</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生态系统</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生物多样性</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生态敏感区</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自然景观</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自然遗迹</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w:t>
            </w:r>
          </w:p>
          <w:p>
            <w:pPr>
              <w:pStyle w:val="348"/>
              <w:bidi w:val="0"/>
              <w:spacing w:line="240" w:lineRule="auto"/>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       项目周边动植物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gridSpan w:val="2"/>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评价工作等级</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一级□；二级□；三级</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生态影响简单分析</w:t>
            </w:r>
            <w:r>
              <w:rPr>
                <w:rFonts w:hint="default" w:ascii="Times New Roman" w:hAnsi="Times New Roman" w:eastAsia="宋体" w:cs="Times New Roman"/>
                <w:b w:val="0"/>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gridSpan w:val="2"/>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评价范围</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陆域面积（0.00</w:t>
            </w:r>
            <w:r>
              <w:rPr>
                <w:rFonts w:hint="eastAsia" w:ascii="Times New Roman" w:hAnsi="Times New Roman" w:eastAsia="宋体" w:cs="Times New Roman"/>
                <w:b w:val="0"/>
                <w:bCs/>
                <w:color w:val="auto"/>
                <w:sz w:val="21"/>
                <w:szCs w:val="21"/>
                <w:highlight w:val="none"/>
                <w:lang w:val="en-US" w:eastAsia="zh-CN"/>
              </w:rPr>
              <w:t>19445</w:t>
            </w:r>
            <w:r>
              <w:rPr>
                <w:rFonts w:hint="default" w:ascii="Times New Roman" w:hAnsi="Times New Roman" w:eastAsia="宋体" w:cs="Times New Roman"/>
                <w:b w:val="0"/>
                <w:bCs/>
                <w:color w:val="auto"/>
                <w:sz w:val="21"/>
                <w:szCs w:val="21"/>
                <w:highlight w:val="none"/>
                <w:lang w:val="en-US" w:eastAsia="zh-CN"/>
              </w:rPr>
              <w:t>）km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；水域面积（  ）km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restart"/>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生态现状调查与评价</w:t>
            </w: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调查方法</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资料收集</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遥感调查</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调查样方、样线</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调查点位、断面</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专家和公众咨询法</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调查时间</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春季</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；夏季</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；秋季</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；冬季</w:t>
            </w:r>
            <w:r>
              <w:rPr>
                <w:rFonts w:hint="default" w:ascii="Times New Roman" w:hAnsi="Times New Roman" w:eastAsia="宋体" w:cs="Times New Roman"/>
                <w:b w:val="0"/>
                <w:bCs/>
                <w:color w:val="auto"/>
                <w:sz w:val="21"/>
                <w:szCs w:val="21"/>
                <w:highlight w:val="none"/>
              </w:rPr>
              <w:sym w:font="Wingdings 2" w:char="0052"/>
            </w:r>
          </w:p>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丰水期</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；枯水期</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；平水期</w:t>
            </w:r>
            <w:r>
              <w:rPr>
                <w:rFonts w:hint="default" w:ascii="Times New Roman" w:hAnsi="Times New Roman" w:eastAsia="宋体" w:cs="Times New Roman"/>
                <w:b w:val="0"/>
                <w:bCs/>
                <w:color w:val="auto"/>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所在区域的生态问题</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水土流失</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；沙漠化</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；石漠化</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；盐渍化</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；生物入侵</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；污染危害</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评价内容</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植被/植物群落</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；土地利用</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；生态系统</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；生物多样性</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；重要物种</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；生态敏感区</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restart"/>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生态环境影响预测与评价</w:t>
            </w: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评价方法</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定性</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；定性和定量</w:t>
            </w:r>
            <w:r>
              <w:rPr>
                <w:rFonts w:hint="default" w:ascii="Times New Roman" w:hAnsi="Times New Roman" w:eastAsia="宋体" w:cs="Times New Roman"/>
                <w:b w:val="0"/>
                <w:bCs/>
                <w:color w:val="auto"/>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评价内容</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植被/植物群落</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；土地利用</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；生态系统</w:t>
            </w:r>
            <w:r>
              <w:rPr>
                <w:rFonts w:hint="default" w:ascii="Times New Roman" w:hAnsi="Times New Roman" w:eastAsia="宋体" w:cs="Times New Roman"/>
                <w:b w:val="0"/>
                <w:bCs/>
                <w:color w:val="auto"/>
                <w:sz w:val="21"/>
                <w:szCs w:val="21"/>
                <w:highlight w:val="none"/>
              </w:rPr>
              <w:sym w:font="Wingdings 2" w:char="0052"/>
            </w:r>
            <w:r>
              <w:rPr>
                <w:rFonts w:hint="default" w:ascii="Times New Roman" w:hAnsi="Times New Roman" w:eastAsia="宋体" w:cs="Times New Roman"/>
                <w:b w:val="0"/>
                <w:bCs/>
                <w:color w:val="auto"/>
                <w:sz w:val="21"/>
                <w:szCs w:val="21"/>
                <w:highlight w:val="none"/>
                <w:lang w:val="en-US" w:eastAsia="zh-CN"/>
              </w:rPr>
              <w:t>；生物多样性</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；重要物种</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；生态敏感区</w:t>
            </w:r>
            <w:r>
              <w:rPr>
                <w:rFonts w:hint="default" w:ascii="Times New Roman" w:hAnsi="Times New Roman" w:eastAsia="宋体" w:cs="Times New Roman"/>
                <w:b w:val="0"/>
                <w:bCs/>
                <w:color w:val="auto"/>
                <w:sz w:val="21"/>
                <w:szCs w:val="21"/>
                <w:highlight w:val="none"/>
              </w:rPr>
              <w:sym w:font="Wingdings 2" w:char="00A3"/>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restart"/>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生态保护对策措施</w:t>
            </w: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对策措施</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避让</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；减缓</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；生态修复</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；生态补偿</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；科研</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生态监测计划</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全生命周期</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长期跟踪</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常规</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；无</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环境管理</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环境监理</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；环境影响后评价</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；其他</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Merge w:val="continue"/>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p>
        </w:tc>
        <w:tc>
          <w:tcPr>
            <w:tcW w:w="1627"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评价</w:t>
            </w:r>
            <w:r>
              <w:rPr>
                <w:rFonts w:hint="default" w:ascii="Times New Roman" w:hAnsi="Times New Roman" w:eastAsia="宋体" w:cs="Times New Roman"/>
                <w:b w:val="0"/>
                <w:bCs/>
                <w:color w:val="auto"/>
                <w:sz w:val="21"/>
                <w:szCs w:val="21"/>
                <w:highlight w:val="none"/>
              </w:rPr>
              <w:t>结论</w:t>
            </w:r>
          </w:p>
        </w:tc>
        <w:tc>
          <w:tcPr>
            <w:tcW w:w="6142" w:type="dxa"/>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可行</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不可行</w:t>
            </w:r>
            <w:r>
              <w:rPr>
                <w:rFonts w:hint="default" w:ascii="Times New Roman" w:hAnsi="Times New Roman" w:eastAsia="宋体" w:cs="Times New Roman"/>
                <w:b w:val="0"/>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7" w:type="dxa"/>
            <w:gridSpan w:val="3"/>
            <w:vAlign w:val="center"/>
          </w:tcPr>
          <w:p>
            <w:pPr>
              <w:pStyle w:val="348"/>
              <w:bidi w:val="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注1：“□”为勾选项，可√；“（）”为内容填写项；“备注”为其他补充内容。</w:t>
            </w:r>
          </w:p>
        </w:tc>
      </w:tr>
    </w:tbl>
    <w:p>
      <w:pPr>
        <w:rPr>
          <w:rFonts w:hint="default"/>
          <w:color w:val="auto"/>
          <w:highlight w:val="none"/>
          <w:lang w:val="en-US" w:eastAsia="zh-CN"/>
        </w:rPr>
        <w:sectPr>
          <w:type w:val="continuous"/>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pStyle w:val="2"/>
        <w:tabs>
          <w:tab w:val="left" w:pos="4140"/>
        </w:tabs>
        <w:spacing w:before="0" w:after="0" w:line="360" w:lineRule="auto"/>
        <w:rPr>
          <w:color w:val="auto"/>
          <w:sz w:val="32"/>
          <w:highlight w:val="none"/>
        </w:rPr>
      </w:pPr>
      <w:bookmarkStart w:id="613" w:name="_Toc22232"/>
      <w:r>
        <w:rPr>
          <w:color w:val="auto"/>
          <w:highlight w:val="none"/>
        </w:rPr>
        <w:fldChar w:fldCharType="begin"/>
      </w:r>
      <w:r>
        <w:rPr>
          <w:color w:val="auto"/>
          <w:highlight w:val="none"/>
        </w:rPr>
        <w:instrText xml:space="preserve"> HYPERLINK "file:///H:\\2015环评报告\\2015-01平利县龙洞湾重晶石矿\\l" </w:instrText>
      </w:r>
      <w:r>
        <w:rPr>
          <w:color w:val="auto"/>
          <w:highlight w:val="none"/>
        </w:rPr>
        <w:fldChar w:fldCharType="separate"/>
      </w:r>
      <w:bookmarkStart w:id="614" w:name="_Toc75908718"/>
      <w:bookmarkStart w:id="615" w:name="_Toc367282183"/>
      <w:bookmarkStart w:id="616" w:name="_Toc367281600"/>
      <w:bookmarkStart w:id="617" w:name="_Toc346698509"/>
      <w:r>
        <w:rPr>
          <w:color w:val="auto"/>
          <w:sz w:val="32"/>
          <w:highlight w:val="none"/>
        </w:rPr>
        <w:t>6、环境风险评价</w:t>
      </w:r>
      <w:bookmarkEnd w:id="614"/>
      <w:bookmarkEnd w:id="615"/>
      <w:bookmarkEnd w:id="616"/>
      <w:bookmarkEnd w:id="617"/>
      <w:r>
        <w:rPr>
          <w:color w:val="auto"/>
          <w:sz w:val="32"/>
          <w:highlight w:val="none"/>
        </w:rPr>
        <w:fldChar w:fldCharType="end"/>
      </w:r>
      <w:bookmarkEnd w:id="613"/>
    </w:p>
    <w:p>
      <w:pPr>
        <w:spacing w:line="360" w:lineRule="auto"/>
        <w:ind w:firstLine="480" w:firstLineChars="200"/>
        <w:rPr>
          <w:color w:val="auto"/>
          <w:sz w:val="24"/>
          <w:highlight w:val="none"/>
        </w:rPr>
      </w:pPr>
      <w:r>
        <w:rPr>
          <w:color w:val="auto"/>
          <w:sz w:val="24"/>
          <w:highlight w:val="none"/>
        </w:rPr>
        <w:t>根据《建设项目环境风险评价技术导则》（HJ/T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keepNext/>
        <w:keepLines/>
        <w:spacing w:line="360" w:lineRule="auto"/>
        <w:outlineLvl w:val="1"/>
        <w:rPr>
          <w:b/>
          <w:bCs/>
          <w:color w:val="auto"/>
          <w:sz w:val="28"/>
          <w:szCs w:val="32"/>
          <w:highlight w:val="none"/>
        </w:rPr>
      </w:pPr>
      <w:bookmarkStart w:id="618" w:name="_Toc30630"/>
      <w:bookmarkStart w:id="619" w:name="_Toc75908719"/>
      <w:r>
        <w:rPr>
          <w:b/>
          <w:bCs/>
          <w:color w:val="auto"/>
          <w:sz w:val="28"/>
          <w:szCs w:val="32"/>
          <w:highlight w:val="none"/>
        </w:rPr>
        <w:t>6.1评价依据</w:t>
      </w:r>
      <w:bookmarkEnd w:id="618"/>
      <w:bookmarkEnd w:id="619"/>
    </w:p>
    <w:p>
      <w:pPr>
        <w:keepNext/>
        <w:keepLines/>
        <w:spacing w:line="360" w:lineRule="auto"/>
        <w:outlineLvl w:val="2"/>
        <w:rPr>
          <w:b/>
          <w:bCs/>
          <w:color w:val="auto"/>
          <w:sz w:val="24"/>
          <w:highlight w:val="none"/>
        </w:rPr>
      </w:pPr>
      <w:bookmarkStart w:id="620" w:name="_Toc12151"/>
      <w:bookmarkStart w:id="621" w:name="_Toc75908720"/>
      <w:bookmarkStart w:id="622" w:name="_Toc322523207"/>
      <w:bookmarkStart w:id="623" w:name="_Toc346698512"/>
      <w:bookmarkStart w:id="624" w:name="_Toc367281603"/>
      <w:bookmarkStart w:id="625" w:name="_Toc367282186"/>
      <w:r>
        <w:rPr>
          <w:b/>
          <w:bCs/>
          <w:color w:val="auto"/>
          <w:sz w:val="24"/>
          <w:highlight w:val="none"/>
        </w:rPr>
        <w:t>6.1.1风险调查</w:t>
      </w:r>
      <w:bookmarkEnd w:id="620"/>
      <w:bookmarkEnd w:id="621"/>
    </w:p>
    <w:bookmarkEnd w:id="622"/>
    <w:bookmarkEnd w:id="623"/>
    <w:bookmarkEnd w:id="624"/>
    <w:bookmarkEnd w:id="625"/>
    <w:p>
      <w:pPr>
        <w:spacing w:line="360" w:lineRule="auto"/>
        <w:ind w:firstLine="480" w:firstLineChars="200"/>
        <w:rPr>
          <w:color w:val="auto"/>
          <w:sz w:val="24"/>
          <w:highlight w:val="none"/>
        </w:rPr>
      </w:pPr>
      <w:r>
        <w:rPr>
          <w:color w:val="auto"/>
          <w:sz w:val="24"/>
          <w:highlight w:val="none"/>
        </w:rPr>
        <w:t>项目生产过程中原料、产品不涉及化学品中的有毒、有害物质。根据项目所属行业及生产工艺特点，按照《建设项目环境风险评价技术导则》（HJ/T169-2018）</w:t>
      </w:r>
      <w:r>
        <w:rPr>
          <w:rFonts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本项目属于橡胶和塑料制品业，主要以</w:t>
      </w:r>
      <w:r>
        <w:rPr>
          <w:rFonts w:hint="eastAsia" w:ascii="Times New Roman" w:hAnsi="Times New Roman" w:eastAsia="宋体" w:cs="Times New Roman"/>
          <w:color w:val="auto"/>
          <w:sz w:val="24"/>
          <w:highlight w:val="none"/>
          <w:lang w:val="en-US" w:eastAsia="zh-CN"/>
        </w:rPr>
        <w:t>聚丙烯</w:t>
      </w:r>
      <w:r>
        <w:rPr>
          <w:rFonts w:hint="default" w:ascii="Times New Roman" w:hAnsi="Times New Roman" w:eastAsia="宋体" w:cs="Times New Roman"/>
          <w:color w:val="auto"/>
          <w:sz w:val="24"/>
          <w:highlight w:val="none"/>
          <w:lang w:val="en-US" w:eastAsia="zh-CN"/>
        </w:rPr>
        <w:t>再生塑料</w:t>
      </w:r>
      <w:r>
        <w:rPr>
          <w:rFonts w:hint="eastAsia" w:ascii="Times New Roman" w:hAnsi="Times New Roman" w:eastAsia="宋体" w:cs="Times New Roman"/>
          <w:color w:val="auto"/>
          <w:sz w:val="24"/>
          <w:highlight w:val="none"/>
          <w:lang w:val="en-US" w:eastAsia="zh-CN"/>
        </w:rPr>
        <w:t>颗粒</w:t>
      </w:r>
      <w:r>
        <w:rPr>
          <w:rFonts w:hint="default" w:ascii="Times New Roman" w:hAnsi="Times New Roman" w:eastAsia="宋体" w:cs="Times New Roman"/>
          <w:color w:val="auto"/>
          <w:sz w:val="24"/>
          <w:highlight w:val="none"/>
          <w:lang w:val="en-US" w:eastAsia="zh-CN"/>
        </w:rPr>
        <w:t>为原料，生产</w:t>
      </w:r>
      <w:r>
        <w:rPr>
          <w:rFonts w:hint="eastAsia" w:ascii="Times New Roman" w:hAnsi="Times New Roman" w:eastAsia="宋体" w:cs="Times New Roman"/>
          <w:color w:val="auto"/>
          <w:sz w:val="24"/>
          <w:highlight w:val="none"/>
          <w:lang w:val="en-US" w:eastAsia="zh-CN"/>
        </w:rPr>
        <w:t>塑料框</w:t>
      </w:r>
      <w:r>
        <w:rPr>
          <w:rFonts w:hint="default" w:ascii="Times New Roman" w:hAnsi="Times New Roman" w:eastAsia="宋体" w:cs="Times New Roman"/>
          <w:color w:val="auto"/>
          <w:sz w:val="24"/>
          <w:highlight w:val="none"/>
          <w:lang w:val="en-US" w:eastAsia="zh-CN"/>
        </w:rPr>
        <w:t>，</w:t>
      </w:r>
      <w:r>
        <w:rPr>
          <w:rFonts w:ascii="Times New Roman" w:hAnsi="Times New Roman" w:eastAsia="宋体" w:cs="Times New Roman"/>
          <w:color w:val="auto"/>
          <w:sz w:val="24"/>
          <w:highlight w:val="none"/>
        </w:rPr>
        <w:t>运行过程中产生的危</w:t>
      </w:r>
      <w:r>
        <w:rPr>
          <w:color w:val="auto"/>
          <w:sz w:val="24"/>
          <w:highlight w:val="none"/>
        </w:rPr>
        <w:t>险物质为废活性炭（HW</w:t>
      </w:r>
      <w:r>
        <w:rPr>
          <w:rFonts w:hint="eastAsia"/>
          <w:color w:val="auto"/>
          <w:sz w:val="24"/>
          <w:highlight w:val="none"/>
          <w:lang w:val="en-US" w:eastAsia="zh-CN"/>
        </w:rPr>
        <w:t>49其他废物</w:t>
      </w:r>
      <w:r>
        <w:rPr>
          <w:color w:val="auto"/>
          <w:sz w:val="24"/>
          <w:highlight w:val="none"/>
        </w:rPr>
        <w:t>非特定行业900-</w:t>
      </w:r>
      <w:r>
        <w:rPr>
          <w:rFonts w:hint="eastAsia"/>
          <w:color w:val="auto"/>
          <w:sz w:val="24"/>
          <w:highlight w:val="none"/>
          <w:lang w:val="en-US" w:eastAsia="zh-CN"/>
        </w:rPr>
        <w:t>039-49</w:t>
      </w:r>
      <w:r>
        <w:rPr>
          <w:color w:val="auto"/>
          <w:sz w:val="24"/>
          <w:highlight w:val="none"/>
        </w:rPr>
        <w:t>，危险性为T毒性）</w:t>
      </w:r>
      <w:r>
        <w:rPr>
          <w:rFonts w:hint="eastAsia"/>
          <w:color w:val="auto"/>
          <w:sz w:val="24"/>
          <w:highlight w:val="none"/>
        </w:rPr>
        <w:t>、</w:t>
      </w:r>
      <w:r>
        <w:rPr>
          <w:color w:val="auto"/>
          <w:sz w:val="24"/>
          <w:highlight w:val="none"/>
        </w:rPr>
        <w:t>废机油（HW08废矿物油与含矿物油废物900-214-08车辆、机械维修和拆解过程中产生的废发动机油、制动器油、自动变</w:t>
      </w:r>
      <w:r>
        <w:rPr>
          <w:rFonts w:hint="eastAsia"/>
          <w:color w:val="auto"/>
          <w:sz w:val="24"/>
          <w:highlight w:val="none"/>
          <w:lang w:eastAsia="zh-CN"/>
        </w:rPr>
        <w:t>速</w:t>
      </w:r>
      <w:r>
        <w:rPr>
          <w:color w:val="auto"/>
          <w:sz w:val="24"/>
          <w:highlight w:val="none"/>
        </w:rPr>
        <w:t>器油、齿轮油等废润滑油；危险特性为T毒性、I易燃性）</w:t>
      </w:r>
      <w:r>
        <w:rPr>
          <w:rFonts w:hint="eastAsia"/>
          <w:color w:val="auto"/>
          <w:sz w:val="24"/>
          <w:highlight w:val="none"/>
        </w:rPr>
        <w:t>、</w:t>
      </w:r>
      <w:r>
        <w:rPr>
          <w:color w:val="auto"/>
          <w:sz w:val="24"/>
          <w:highlight w:val="none"/>
        </w:rPr>
        <w:t>废矿物油桶</w:t>
      </w:r>
      <w:r>
        <w:rPr>
          <w:rFonts w:hint="eastAsia"/>
          <w:color w:val="auto"/>
          <w:sz w:val="24"/>
          <w:highlight w:val="none"/>
        </w:rPr>
        <w:t>（</w:t>
      </w:r>
      <w:r>
        <w:rPr>
          <w:color w:val="auto"/>
          <w:sz w:val="24"/>
          <w:highlight w:val="none"/>
        </w:rPr>
        <w:t>HW49其他废物”中“900-041-49含有或沾染毒性、感染性危险废物的废弃包装物、容器、过滤吸附介质”，危险特性为T毒性、In感染性</w:t>
      </w:r>
      <w:r>
        <w:rPr>
          <w:rFonts w:hint="eastAsia"/>
          <w:color w:val="auto"/>
          <w:sz w:val="24"/>
          <w:highlight w:val="none"/>
        </w:rPr>
        <w:t>）</w:t>
      </w:r>
      <w:r>
        <w:rPr>
          <w:color w:val="auto"/>
          <w:sz w:val="24"/>
          <w:highlight w:val="none"/>
        </w:rPr>
        <w:t>。</w:t>
      </w:r>
    </w:p>
    <w:p>
      <w:pPr>
        <w:spacing w:line="360" w:lineRule="auto"/>
        <w:ind w:firstLine="480" w:firstLineChars="200"/>
        <w:rPr>
          <w:color w:val="auto"/>
          <w:sz w:val="24"/>
          <w:highlight w:val="none"/>
        </w:rPr>
      </w:pPr>
      <w:r>
        <w:rPr>
          <w:color w:val="auto"/>
          <w:sz w:val="24"/>
          <w:highlight w:val="none"/>
        </w:rPr>
        <w:t>活性炭每次储存量按一个月计算，即</w:t>
      </w:r>
      <w:r>
        <w:rPr>
          <w:rFonts w:hint="eastAsia"/>
          <w:color w:val="auto"/>
          <w:sz w:val="24"/>
          <w:highlight w:val="none"/>
          <w:lang w:val="en-US" w:eastAsia="zh-CN"/>
        </w:rPr>
        <w:t>0.9258</w:t>
      </w:r>
      <w:r>
        <w:rPr>
          <w:color w:val="auto"/>
          <w:sz w:val="24"/>
          <w:highlight w:val="none"/>
        </w:rPr>
        <w:t>t/</w:t>
      </w:r>
      <w:r>
        <w:rPr>
          <w:rFonts w:hint="eastAsia"/>
          <w:color w:val="auto"/>
          <w:sz w:val="24"/>
          <w:highlight w:val="none"/>
        </w:rPr>
        <w:t>月；</w:t>
      </w:r>
      <w:r>
        <w:rPr>
          <w:color w:val="auto"/>
          <w:sz w:val="24"/>
          <w:highlight w:val="none"/>
        </w:rPr>
        <w:t>废机油产生量为0.02t/a，最大储量0.02t</w:t>
      </w:r>
      <w:r>
        <w:rPr>
          <w:rFonts w:hint="eastAsia"/>
          <w:color w:val="auto"/>
          <w:sz w:val="24"/>
          <w:highlight w:val="none"/>
        </w:rPr>
        <w:t>。</w:t>
      </w:r>
      <w:r>
        <w:rPr>
          <w:color w:val="auto"/>
          <w:sz w:val="24"/>
          <w:highlight w:val="none"/>
        </w:rPr>
        <w:t>项目设置了危废暂存间，废活性炭及废机油经专用容器收集后</w:t>
      </w:r>
      <w:r>
        <w:rPr>
          <w:rFonts w:hint="eastAsia"/>
          <w:color w:val="auto"/>
          <w:sz w:val="24"/>
          <w:highlight w:val="none"/>
        </w:rPr>
        <w:t>分区</w:t>
      </w:r>
      <w:r>
        <w:rPr>
          <w:color w:val="auto"/>
          <w:sz w:val="24"/>
          <w:highlight w:val="none"/>
        </w:rPr>
        <w:t>暂存在危废暂存间，按照危废规范管理，因储量小，且为固态，本环评重点考虑废机油的易燃性风险（即火灾）；考虑到本项目原料及产品的特殊性，还需考虑原料</w:t>
      </w:r>
      <w:r>
        <w:rPr>
          <w:rFonts w:hint="eastAsia"/>
          <w:color w:val="auto"/>
          <w:sz w:val="24"/>
          <w:highlight w:val="none"/>
          <w:lang w:val="en-US" w:eastAsia="zh-CN"/>
        </w:rPr>
        <w:t>仓库及成品堆存区</w:t>
      </w:r>
      <w:r>
        <w:rPr>
          <w:color w:val="auto"/>
          <w:sz w:val="24"/>
          <w:highlight w:val="none"/>
        </w:rPr>
        <w:t>发生火灾。</w:t>
      </w:r>
    </w:p>
    <w:p>
      <w:pPr>
        <w:keepNext/>
        <w:keepLines/>
        <w:spacing w:line="360" w:lineRule="auto"/>
        <w:outlineLvl w:val="2"/>
        <w:rPr>
          <w:b/>
          <w:bCs/>
          <w:color w:val="auto"/>
          <w:sz w:val="24"/>
          <w:highlight w:val="none"/>
        </w:rPr>
      </w:pPr>
      <w:bookmarkStart w:id="626" w:name="_Toc75908721"/>
      <w:bookmarkStart w:id="627" w:name="_Toc13249"/>
      <w:r>
        <w:rPr>
          <w:b/>
          <w:bCs/>
          <w:color w:val="auto"/>
          <w:sz w:val="24"/>
          <w:highlight w:val="none"/>
        </w:rPr>
        <w:t>6.1.2 环境风险潜势初判</w:t>
      </w:r>
      <w:bookmarkEnd w:id="626"/>
      <w:bookmarkEnd w:id="627"/>
    </w:p>
    <w:p>
      <w:pPr>
        <w:spacing w:line="360" w:lineRule="auto"/>
        <w:ind w:firstLine="480" w:firstLineChars="200"/>
        <w:rPr>
          <w:color w:val="auto"/>
          <w:sz w:val="24"/>
          <w:highlight w:val="none"/>
        </w:rPr>
      </w:pPr>
      <w:r>
        <w:rPr>
          <w:color w:val="auto"/>
          <w:sz w:val="24"/>
          <w:highlight w:val="none"/>
        </w:rPr>
        <w:t>根据《建设项目环境风险评价技术导则》（HJ169-2018）附录B，计算项目涉及的每种危险物质在厂界内的最大存在总量与其在附录B中对应临界量的比值Q。在不同厂区的同一种物质，按其在厂界内的最大存在总量计算。</w:t>
      </w:r>
    </w:p>
    <w:p>
      <w:pPr>
        <w:spacing w:line="360" w:lineRule="auto"/>
        <w:ind w:firstLine="480" w:firstLineChars="200"/>
        <w:rPr>
          <w:color w:val="auto"/>
          <w:sz w:val="24"/>
          <w:highlight w:val="none"/>
        </w:rPr>
      </w:pPr>
      <w:r>
        <w:rPr>
          <w:color w:val="auto"/>
          <w:sz w:val="24"/>
          <w:highlight w:val="none"/>
        </w:rPr>
        <w:t>当只涉及一种危险物质时，计算该物质的总量与其临界量比值，即为Q；</w:t>
      </w:r>
    </w:p>
    <w:p>
      <w:pPr>
        <w:spacing w:line="360" w:lineRule="auto"/>
        <w:ind w:firstLine="480" w:firstLineChars="200"/>
        <w:rPr>
          <w:color w:val="auto"/>
          <w:sz w:val="24"/>
          <w:highlight w:val="none"/>
        </w:rPr>
      </w:pPr>
      <w:r>
        <w:rPr>
          <w:color w:val="auto"/>
          <w:sz w:val="24"/>
          <w:highlight w:val="none"/>
        </w:rPr>
        <w:t>当存在多种危险物质时，则按式（C.1）计算物质总量与其临界量比值（Q）：</w:t>
      </w:r>
    </w:p>
    <w:p>
      <w:pPr>
        <w:spacing w:line="360" w:lineRule="auto"/>
        <w:jc w:val="center"/>
        <w:rPr>
          <w:color w:val="auto"/>
          <w:sz w:val="24"/>
          <w:highlight w:val="none"/>
        </w:rPr>
      </w:pPr>
      <w:r>
        <w:rPr>
          <w:color w:val="auto"/>
          <w:highlight w:val="none"/>
        </w:rPr>
        <w:drawing>
          <wp:inline distT="0" distB="0" distL="114300" distR="114300">
            <wp:extent cx="2304415" cy="563880"/>
            <wp:effectExtent l="0" t="0" r="635" b="762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04415" cy="563880"/>
                    </a:xfrm>
                    <a:prstGeom prst="rect">
                      <a:avLst/>
                    </a:prstGeom>
                  </pic:spPr>
                </pic:pic>
              </a:graphicData>
            </a:graphic>
          </wp:inline>
        </w:drawing>
      </w:r>
    </w:p>
    <w:p>
      <w:pPr>
        <w:spacing w:line="360" w:lineRule="auto"/>
        <w:ind w:firstLine="480" w:firstLineChars="200"/>
        <w:rPr>
          <w:color w:val="auto"/>
          <w:sz w:val="24"/>
          <w:highlight w:val="none"/>
        </w:rPr>
      </w:pPr>
      <w:r>
        <w:rPr>
          <w:color w:val="auto"/>
          <w:sz w:val="24"/>
          <w:highlight w:val="none"/>
        </w:rPr>
        <w:t>式中：q</w:t>
      </w:r>
      <w:r>
        <w:rPr>
          <w:color w:val="auto"/>
          <w:sz w:val="24"/>
          <w:highlight w:val="none"/>
          <w:vertAlign w:val="subscript"/>
        </w:rPr>
        <w:t>1</w:t>
      </w:r>
      <w:r>
        <w:rPr>
          <w:color w:val="auto"/>
          <w:sz w:val="24"/>
          <w:highlight w:val="none"/>
        </w:rPr>
        <w:t>，q</w:t>
      </w:r>
      <w:r>
        <w:rPr>
          <w:color w:val="auto"/>
          <w:sz w:val="24"/>
          <w:highlight w:val="none"/>
          <w:vertAlign w:val="subscript"/>
        </w:rPr>
        <w:t>2</w:t>
      </w:r>
      <w:r>
        <w:rPr>
          <w:color w:val="auto"/>
          <w:sz w:val="24"/>
          <w:highlight w:val="none"/>
        </w:rPr>
        <w:t>，...，q</w:t>
      </w:r>
      <w:r>
        <w:rPr>
          <w:color w:val="auto"/>
          <w:sz w:val="24"/>
          <w:highlight w:val="none"/>
          <w:vertAlign w:val="subscript"/>
        </w:rPr>
        <w:t>n</w:t>
      </w:r>
      <w:r>
        <w:rPr>
          <w:color w:val="auto"/>
          <w:sz w:val="24"/>
          <w:highlight w:val="none"/>
        </w:rPr>
        <w:t>——每种危险物质的最大存在总量，t；</w:t>
      </w:r>
    </w:p>
    <w:p>
      <w:pPr>
        <w:spacing w:line="360" w:lineRule="auto"/>
        <w:ind w:firstLine="1200" w:firstLineChars="500"/>
        <w:rPr>
          <w:color w:val="auto"/>
          <w:sz w:val="24"/>
          <w:highlight w:val="none"/>
        </w:rPr>
      </w:pPr>
      <w:r>
        <w:rPr>
          <w:color w:val="auto"/>
          <w:sz w:val="24"/>
          <w:highlight w:val="none"/>
        </w:rPr>
        <w:t>Q</w:t>
      </w:r>
      <w:r>
        <w:rPr>
          <w:color w:val="auto"/>
          <w:sz w:val="24"/>
          <w:highlight w:val="none"/>
          <w:vertAlign w:val="subscript"/>
        </w:rPr>
        <w:t>1</w:t>
      </w:r>
      <w:r>
        <w:rPr>
          <w:color w:val="auto"/>
          <w:sz w:val="24"/>
          <w:highlight w:val="none"/>
        </w:rPr>
        <w:t>，Q</w:t>
      </w:r>
      <w:r>
        <w:rPr>
          <w:color w:val="auto"/>
          <w:sz w:val="24"/>
          <w:highlight w:val="none"/>
          <w:vertAlign w:val="subscript"/>
        </w:rPr>
        <w:t>2</w:t>
      </w:r>
      <w:r>
        <w:rPr>
          <w:color w:val="auto"/>
          <w:sz w:val="24"/>
          <w:highlight w:val="none"/>
        </w:rPr>
        <w:t>，...，Q</w:t>
      </w:r>
      <w:r>
        <w:rPr>
          <w:color w:val="auto"/>
          <w:sz w:val="24"/>
          <w:highlight w:val="none"/>
          <w:vertAlign w:val="subscript"/>
        </w:rPr>
        <w:t>n—</w:t>
      </w:r>
      <w:r>
        <w:rPr>
          <w:color w:val="auto"/>
          <w:sz w:val="24"/>
          <w:highlight w:val="none"/>
        </w:rPr>
        <w:t>—每种危险物质的临界量，t。</w:t>
      </w:r>
    </w:p>
    <w:p>
      <w:pPr>
        <w:spacing w:line="360" w:lineRule="auto"/>
        <w:ind w:firstLine="1200" w:firstLineChars="500"/>
        <w:rPr>
          <w:color w:val="auto"/>
          <w:sz w:val="24"/>
          <w:highlight w:val="none"/>
        </w:rPr>
      </w:pPr>
      <w:r>
        <w:rPr>
          <w:color w:val="auto"/>
          <w:sz w:val="24"/>
          <w:highlight w:val="none"/>
        </w:rPr>
        <w:t>当Q＜1时，该项目环境风险潜势为Ⅰ。</w:t>
      </w:r>
    </w:p>
    <w:p>
      <w:pPr>
        <w:spacing w:line="360" w:lineRule="auto"/>
        <w:ind w:firstLine="1200" w:firstLineChars="500"/>
        <w:rPr>
          <w:color w:val="auto"/>
          <w:sz w:val="24"/>
          <w:highlight w:val="none"/>
        </w:rPr>
      </w:pPr>
      <w:r>
        <w:rPr>
          <w:color w:val="auto"/>
          <w:sz w:val="24"/>
          <w:highlight w:val="none"/>
        </w:rPr>
        <w:t>当Q≥1时，将 Q值划分为：（1）1≤Q＜10；（2）10≤Q＜100；（3）Q≥100。</w:t>
      </w:r>
    </w:p>
    <w:p>
      <w:pPr>
        <w:spacing w:line="360" w:lineRule="auto"/>
        <w:ind w:firstLine="480" w:firstLineChars="200"/>
        <w:rPr>
          <w:color w:val="auto"/>
          <w:kern w:val="0"/>
          <w:sz w:val="24"/>
          <w:highlight w:val="none"/>
        </w:rPr>
      </w:pPr>
      <w:r>
        <w:rPr>
          <w:color w:val="auto"/>
          <w:sz w:val="24"/>
          <w:highlight w:val="none"/>
        </w:rPr>
        <w:t>根据工程分析，项目废机油产生量为0.02t/a，最大储量0.02t。本项目废机油临界量参照HJ169-2018《建设项目环境风险评价技</w:t>
      </w:r>
      <w:r>
        <w:rPr>
          <w:color w:val="auto"/>
          <w:kern w:val="0"/>
          <w:sz w:val="24"/>
          <w:highlight w:val="none"/>
        </w:rPr>
        <w:t>术导则》中附录B中的“油类物质”，其Q值确定见表</w:t>
      </w:r>
      <w:r>
        <w:rPr>
          <w:rFonts w:hint="eastAsia"/>
          <w:color w:val="auto"/>
          <w:kern w:val="0"/>
          <w:sz w:val="24"/>
          <w:highlight w:val="none"/>
        </w:rPr>
        <w:t>6</w:t>
      </w:r>
      <w:r>
        <w:rPr>
          <w:color w:val="auto"/>
          <w:kern w:val="0"/>
          <w:sz w:val="24"/>
          <w:highlight w:val="none"/>
        </w:rPr>
        <w:t>.1-1。</w:t>
      </w:r>
    </w:p>
    <w:p>
      <w:pPr>
        <w:spacing w:line="360" w:lineRule="auto"/>
        <w:jc w:val="center"/>
        <w:rPr>
          <w:b/>
          <w:bCs/>
          <w:color w:val="auto"/>
          <w:kern w:val="0"/>
          <w:sz w:val="24"/>
          <w:highlight w:val="none"/>
        </w:rPr>
      </w:pPr>
      <w:r>
        <w:rPr>
          <w:b/>
          <w:bCs/>
          <w:color w:val="auto"/>
          <w:kern w:val="0"/>
          <w:sz w:val="24"/>
          <w:highlight w:val="none"/>
        </w:rPr>
        <w:t>表</w:t>
      </w:r>
      <w:r>
        <w:rPr>
          <w:rFonts w:hint="eastAsia"/>
          <w:b/>
          <w:bCs/>
          <w:color w:val="auto"/>
          <w:kern w:val="0"/>
          <w:sz w:val="24"/>
          <w:highlight w:val="none"/>
        </w:rPr>
        <w:t>6</w:t>
      </w:r>
      <w:r>
        <w:rPr>
          <w:b/>
          <w:bCs/>
          <w:color w:val="auto"/>
          <w:kern w:val="0"/>
          <w:sz w:val="24"/>
          <w:highlight w:val="none"/>
        </w:rPr>
        <w:t>.1-1  建设项目Q值确定表</w:t>
      </w:r>
    </w:p>
    <w:tbl>
      <w:tblPr>
        <w:tblStyle w:val="56"/>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734"/>
        <w:gridCol w:w="2525"/>
        <w:gridCol w:w="1710"/>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9" w:type="dxa"/>
            <w:vAlign w:val="center"/>
          </w:tcPr>
          <w:p>
            <w:pPr>
              <w:spacing w:line="360" w:lineRule="auto"/>
              <w:jc w:val="center"/>
              <w:rPr>
                <w:color w:val="auto"/>
                <w:kern w:val="0"/>
                <w:szCs w:val="21"/>
                <w:highlight w:val="none"/>
              </w:rPr>
            </w:pPr>
            <w:r>
              <w:rPr>
                <w:color w:val="auto"/>
                <w:kern w:val="0"/>
                <w:szCs w:val="21"/>
                <w:highlight w:val="none"/>
              </w:rPr>
              <w:t>序号</w:t>
            </w:r>
          </w:p>
        </w:tc>
        <w:tc>
          <w:tcPr>
            <w:tcW w:w="1734" w:type="dxa"/>
            <w:vAlign w:val="center"/>
          </w:tcPr>
          <w:p>
            <w:pPr>
              <w:spacing w:line="360" w:lineRule="auto"/>
              <w:jc w:val="center"/>
              <w:rPr>
                <w:color w:val="auto"/>
                <w:kern w:val="0"/>
                <w:szCs w:val="21"/>
                <w:highlight w:val="none"/>
              </w:rPr>
            </w:pPr>
            <w:r>
              <w:rPr>
                <w:color w:val="auto"/>
                <w:kern w:val="0"/>
                <w:szCs w:val="21"/>
                <w:highlight w:val="none"/>
              </w:rPr>
              <w:t>危险物质名称</w:t>
            </w:r>
          </w:p>
        </w:tc>
        <w:tc>
          <w:tcPr>
            <w:tcW w:w="2525" w:type="dxa"/>
            <w:vAlign w:val="center"/>
          </w:tcPr>
          <w:p>
            <w:pPr>
              <w:spacing w:line="360" w:lineRule="auto"/>
              <w:jc w:val="center"/>
              <w:rPr>
                <w:color w:val="auto"/>
                <w:kern w:val="0"/>
                <w:szCs w:val="21"/>
                <w:highlight w:val="none"/>
              </w:rPr>
            </w:pPr>
            <w:r>
              <w:rPr>
                <w:color w:val="auto"/>
                <w:kern w:val="0"/>
                <w:szCs w:val="21"/>
                <w:highlight w:val="none"/>
              </w:rPr>
              <w:t>最大存在总量q/t</w:t>
            </w:r>
          </w:p>
        </w:tc>
        <w:tc>
          <w:tcPr>
            <w:tcW w:w="1710" w:type="dxa"/>
            <w:vAlign w:val="center"/>
          </w:tcPr>
          <w:p>
            <w:pPr>
              <w:spacing w:line="360" w:lineRule="auto"/>
              <w:jc w:val="center"/>
              <w:rPr>
                <w:color w:val="auto"/>
                <w:kern w:val="0"/>
                <w:szCs w:val="21"/>
                <w:highlight w:val="none"/>
              </w:rPr>
            </w:pPr>
            <w:r>
              <w:rPr>
                <w:color w:val="auto"/>
                <w:kern w:val="0"/>
                <w:szCs w:val="21"/>
                <w:highlight w:val="none"/>
              </w:rPr>
              <w:t>临界量Qn/t</w:t>
            </w:r>
          </w:p>
        </w:tc>
        <w:tc>
          <w:tcPr>
            <w:tcW w:w="1711" w:type="dxa"/>
            <w:vAlign w:val="center"/>
          </w:tcPr>
          <w:p>
            <w:pPr>
              <w:spacing w:line="360" w:lineRule="auto"/>
              <w:jc w:val="center"/>
              <w:rPr>
                <w:color w:val="auto"/>
                <w:kern w:val="0"/>
                <w:szCs w:val="21"/>
                <w:highlight w:val="none"/>
              </w:rPr>
            </w:pPr>
            <w:r>
              <w:rPr>
                <w:color w:val="auto"/>
                <w:kern w:val="0"/>
                <w:szCs w:val="21"/>
                <w:highlight w:val="none"/>
              </w:rPr>
              <w:t>建设项目Q值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spacing w:line="360" w:lineRule="auto"/>
              <w:jc w:val="center"/>
              <w:rPr>
                <w:color w:val="auto"/>
                <w:kern w:val="0"/>
                <w:szCs w:val="21"/>
                <w:highlight w:val="none"/>
              </w:rPr>
            </w:pPr>
            <w:r>
              <w:rPr>
                <w:color w:val="auto"/>
                <w:kern w:val="0"/>
                <w:szCs w:val="21"/>
                <w:highlight w:val="none"/>
              </w:rPr>
              <w:t>1</w:t>
            </w:r>
          </w:p>
        </w:tc>
        <w:tc>
          <w:tcPr>
            <w:tcW w:w="1734" w:type="dxa"/>
            <w:vAlign w:val="center"/>
          </w:tcPr>
          <w:p>
            <w:pPr>
              <w:spacing w:line="360" w:lineRule="auto"/>
              <w:jc w:val="center"/>
              <w:rPr>
                <w:color w:val="auto"/>
                <w:kern w:val="0"/>
                <w:szCs w:val="21"/>
                <w:highlight w:val="none"/>
              </w:rPr>
            </w:pPr>
            <w:r>
              <w:rPr>
                <w:color w:val="auto"/>
                <w:kern w:val="0"/>
                <w:szCs w:val="21"/>
                <w:highlight w:val="none"/>
              </w:rPr>
              <w:t>废机油</w:t>
            </w:r>
          </w:p>
        </w:tc>
        <w:tc>
          <w:tcPr>
            <w:tcW w:w="2525" w:type="dxa"/>
            <w:vAlign w:val="center"/>
          </w:tcPr>
          <w:p>
            <w:pPr>
              <w:spacing w:line="360" w:lineRule="auto"/>
              <w:jc w:val="center"/>
              <w:rPr>
                <w:color w:val="auto"/>
                <w:kern w:val="0"/>
                <w:szCs w:val="21"/>
                <w:highlight w:val="none"/>
              </w:rPr>
            </w:pPr>
            <w:r>
              <w:rPr>
                <w:color w:val="auto"/>
                <w:kern w:val="0"/>
                <w:szCs w:val="21"/>
                <w:highlight w:val="none"/>
              </w:rPr>
              <w:t>0.02</w:t>
            </w:r>
          </w:p>
        </w:tc>
        <w:tc>
          <w:tcPr>
            <w:tcW w:w="1710" w:type="dxa"/>
            <w:vAlign w:val="center"/>
          </w:tcPr>
          <w:p>
            <w:pPr>
              <w:spacing w:line="360" w:lineRule="auto"/>
              <w:jc w:val="center"/>
              <w:rPr>
                <w:color w:val="auto"/>
                <w:kern w:val="0"/>
                <w:szCs w:val="21"/>
                <w:highlight w:val="none"/>
              </w:rPr>
            </w:pPr>
            <w:r>
              <w:rPr>
                <w:color w:val="auto"/>
                <w:kern w:val="0"/>
                <w:szCs w:val="21"/>
                <w:highlight w:val="none"/>
              </w:rPr>
              <w:t>2500</w:t>
            </w:r>
          </w:p>
        </w:tc>
        <w:tc>
          <w:tcPr>
            <w:tcW w:w="1711" w:type="dxa"/>
            <w:vAlign w:val="center"/>
          </w:tcPr>
          <w:p>
            <w:pPr>
              <w:spacing w:line="360" w:lineRule="auto"/>
              <w:jc w:val="center"/>
              <w:rPr>
                <w:color w:val="auto"/>
                <w:kern w:val="0"/>
                <w:szCs w:val="21"/>
                <w:highlight w:val="none"/>
              </w:rPr>
            </w:pPr>
            <w:r>
              <w:rPr>
                <w:color w:val="auto"/>
                <w:kern w:val="0"/>
                <w:szCs w:val="21"/>
                <w:highlight w:val="none"/>
              </w:rPr>
              <w:t>0.000008</w:t>
            </w:r>
          </w:p>
        </w:tc>
      </w:tr>
    </w:tbl>
    <w:p>
      <w:pPr>
        <w:spacing w:line="360" w:lineRule="auto"/>
        <w:ind w:firstLine="480" w:firstLineChars="200"/>
        <w:rPr>
          <w:color w:val="auto"/>
          <w:kern w:val="0"/>
          <w:sz w:val="24"/>
          <w:highlight w:val="none"/>
        </w:rPr>
      </w:pPr>
      <w:r>
        <w:rPr>
          <w:color w:val="auto"/>
          <w:kern w:val="0"/>
          <w:sz w:val="24"/>
          <w:highlight w:val="none"/>
        </w:rPr>
        <w:t>综上，建设项目Q 值＜1，可直接判定本项目环境风险潜势为I。</w:t>
      </w:r>
    </w:p>
    <w:p>
      <w:pPr>
        <w:keepNext/>
        <w:keepLines/>
        <w:spacing w:line="360" w:lineRule="auto"/>
        <w:outlineLvl w:val="2"/>
        <w:rPr>
          <w:b/>
          <w:bCs/>
          <w:color w:val="auto"/>
          <w:sz w:val="24"/>
          <w:highlight w:val="none"/>
        </w:rPr>
      </w:pPr>
      <w:bookmarkStart w:id="628" w:name="_Toc75908722"/>
      <w:bookmarkStart w:id="629" w:name="_Toc29792"/>
      <w:r>
        <w:rPr>
          <w:b/>
          <w:bCs/>
          <w:color w:val="auto"/>
          <w:sz w:val="24"/>
          <w:highlight w:val="none"/>
        </w:rPr>
        <w:t>6.1.3评价工作等级划分</w:t>
      </w:r>
      <w:bookmarkEnd w:id="628"/>
      <w:bookmarkEnd w:id="629"/>
    </w:p>
    <w:p>
      <w:pPr>
        <w:spacing w:line="360" w:lineRule="auto"/>
        <w:ind w:firstLine="480" w:firstLineChars="200"/>
        <w:rPr>
          <w:color w:val="auto"/>
          <w:sz w:val="24"/>
          <w:highlight w:val="none"/>
        </w:rPr>
      </w:pPr>
      <w:r>
        <w:rPr>
          <w:color w:val="auto"/>
          <w:sz w:val="24"/>
          <w:highlight w:val="none"/>
        </w:rPr>
        <w:t>环境风险评价工作等级划分为一级、二级、三级。根据建设项目涉及的物质及工艺系统危险性和所在地的环境敏感性确定环境风险潜势，按照表7.1-2确定评价工作等级。风险潜势为Ⅳ及以上，进行一级评价；风险潜势为Ⅲ，进行二级评价；风险潜势为Ⅱ，进行三级评价；风险潜势为Ⅰ，可开展简单分析。</w:t>
      </w: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rPr>
        <w:t>6</w:t>
      </w:r>
      <w:r>
        <w:rPr>
          <w:b/>
          <w:color w:val="auto"/>
          <w:sz w:val="24"/>
          <w:highlight w:val="none"/>
        </w:rPr>
        <w:t>.1-2  评价工作等级划分</w:t>
      </w:r>
    </w:p>
    <w:tbl>
      <w:tblPr>
        <w:tblStyle w:val="55"/>
        <w:tblW w:w="83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2"/>
        <w:gridCol w:w="1475"/>
        <w:gridCol w:w="1693"/>
        <w:gridCol w:w="1693"/>
        <w:gridCol w:w="19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62" w:type="dxa"/>
            <w:tcBorders>
              <w:tl2br w:val="nil"/>
              <w:tr2bl w:val="nil"/>
            </w:tcBorders>
            <w:vAlign w:val="center"/>
          </w:tcPr>
          <w:p>
            <w:pPr>
              <w:autoSpaceDE w:val="0"/>
              <w:autoSpaceDN w:val="0"/>
              <w:spacing w:line="360" w:lineRule="auto"/>
              <w:jc w:val="center"/>
              <w:rPr>
                <w:b/>
                <w:color w:val="auto"/>
                <w:kern w:val="0"/>
                <w:szCs w:val="21"/>
                <w:highlight w:val="none"/>
              </w:rPr>
            </w:pPr>
            <w:r>
              <w:rPr>
                <w:b/>
                <w:color w:val="auto"/>
                <w:spacing w:val="7"/>
                <w:kern w:val="0"/>
                <w:szCs w:val="21"/>
                <w:highlight w:val="none"/>
              </w:rPr>
              <w:t>环</w:t>
            </w:r>
            <w:r>
              <w:rPr>
                <w:b/>
                <w:color w:val="auto"/>
                <w:spacing w:val="8"/>
                <w:kern w:val="0"/>
                <w:szCs w:val="21"/>
                <w:highlight w:val="none"/>
              </w:rPr>
              <w:t>境风</w:t>
            </w:r>
            <w:r>
              <w:rPr>
                <w:b/>
                <w:color w:val="auto"/>
                <w:spacing w:val="7"/>
                <w:kern w:val="0"/>
                <w:szCs w:val="21"/>
                <w:highlight w:val="none"/>
              </w:rPr>
              <w:t>险</w:t>
            </w:r>
            <w:r>
              <w:rPr>
                <w:b/>
                <w:color w:val="auto"/>
                <w:spacing w:val="8"/>
                <w:kern w:val="0"/>
                <w:szCs w:val="21"/>
                <w:highlight w:val="none"/>
              </w:rPr>
              <w:t>潜势</w:t>
            </w:r>
          </w:p>
        </w:tc>
        <w:tc>
          <w:tcPr>
            <w:tcW w:w="1475" w:type="dxa"/>
            <w:tcBorders>
              <w:tl2br w:val="nil"/>
              <w:tr2bl w:val="nil"/>
            </w:tcBorders>
            <w:vAlign w:val="center"/>
          </w:tcPr>
          <w:p>
            <w:pPr>
              <w:autoSpaceDE w:val="0"/>
              <w:autoSpaceDN w:val="0"/>
              <w:spacing w:line="360" w:lineRule="auto"/>
              <w:jc w:val="center"/>
              <w:rPr>
                <w:b/>
                <w:color w:val="auto"/>
                <w:kern w:val="0"/>
                <w:szCs w:val="21"/>
                <w:highlight w:val="none"/>
              </w:rPr>
            </w:pPr>
            <w:r>
              <w:rPr>
                <w:b/>
                <w:color w:val="auto"/>
                <w:spacing w:val="7"/>
                <w:kern w:val="0"/>
                <w:szCs w:val="21"/>
                <w:highlight w:val="none"/>
              </w:rPr>
              <w:t>Ⅳ</w:t>
            </w:r>
            <w:r>
              <w:rPr>
                <w:b/>
                <w:color w:val="auto"/>
                <w:spacing w:val="8"/>
                <w:kern w:val="0"/>
                <w:szCs w:val="21"/>
                <w:highlight w:val="none"/>
              </w:rPr>
              <w:t>、Ⅳ</w:t>
            </w:r>
            <w:r>
              <w:rPr>
                <w:b/>
                <w:color w:val="auto"/>
                <w:kern w:val="0"/>
                <w:position w:val="8"/>
                <w:szCs w:val="21"/>
                <w:highlight w:val="none"/>
              </w:rPr>
              <w:t>+</w:t>
            </w:r>
          </w:p>
        </w:tc>
        <w:tc>
          <w:tcPr>
            <w:tcW w:w="1693" w:type="dxa"/>
            <w:tcBorders>
              <w:tl2br w:val="nil"/>
              <w:tr2bl w:val="nil"/>
            </w:tcBorders>
            <w:vAlign w:val="center"/>
          </w:tcPr>
          <w:p>
            <w:pPr>
              <w:autoSpaceDE w:val="0"/>
              <w:autoSpaceDN w:val="0"/>
              <w:spacing w:line="360" w:lineRule="auto"/>
              <w:jc w:val="center"/>
              <w:rPr>
                <w:b/>
                <w:color w:val="auto"/>
                <w:kern w:val="0"/>
                <w:szCs w:val="21"/>
                <w:highlight w:val="none"/>
              </w:rPr>
            </w:pPr>
            <w:r>
              <w:rPr>
                <w:b/>
                <w:color w:val="auto"/>
                <w:kern w:val="0"/>
                <w:szCs w:val="21"/>
                <w:highlight w:val="none"/>
              </w:rPr>
              <w:t>Ⅲ</w:t>
            </w:r>
          </w:p>
        </w:tc>
        <w:tc>
          <w:tcPr>
            <w:tcW w:w="1693" w:type="dxa"/>
            <w:tcBorders>
              <w:tl2br w:val="nil"/>
              <w:tr2bl w:val="nil"/>
            </w:tcBorders>
            <w:vAlign w:val="center"/>
          </w:tcPr>
          <w:p>
            <w:pPr>
              <w:autoSpaceDE w:val="0"/>
              <w:autoSpaceDN w:val="0"/>
              <w:spacing w:line="360" w:lineRule="auto"/>
              <w:jc w:val="center"/>
              <w:rPr>
                <w:b/>
                <w:color w:val="auto"/>
                <w:kern w:val="0"/>
                <w:szCs w:val="21"/>
                <w:highlight w:val="none"/>
              </w:rPr>
            </w:pPr>
            <w:r>
              <w:rPr>
                <w:b/>
                <w:color w:val="auto"/>
                <w:kern w:val="0"/>
                <w:szCs w:val="21"/>
                <w:highlight w:val="none"/>
              </w:rPr>
              <w:t>Ⅱ</w:t>
            </w:r>
          </w:p>
        </w:tc>
        <w:tc>
          <w:tcPr>
            <w:tcW w:w="1917" w:type="dxa"/>
            <w:tcBorders>
              <w:tl2br w:val="nil"/>
              <w:tr2bl w:val="nil"/>
            </w:tcBorders>
            <w:shd w:val="solid" w:color="E7E6E6" w:themeColor="background2" w:fill="auto"/>
            <w:vAlign w:val="center"/>
          </w:tcPr>
          <w:p>
            <w:pPr>
              <w:autoSpaceDE w:val="0"/>
              <w:autoSpaceDN w:val="0"/>
              <w:spacing w:line="360" w:lineRule="auto"/>
              <w:jc w:val="center"/>
              <w:rPr>
                <w:b/>
                <w:color w:val="auto"/>
                <w:kern w:val="0"/>
                <w:szCs w:val="21"/>
                <w:highlight w:val="none"/>
              </w:rPr>
            </w:pPr>
            <w:r>
              <w:rPr>
                <w:b/>
                <w:color w:val="auto"/>
                <w:kern w:val="0"/>
                <w:szCs w:val="21"/>
                <w:highlight w:val="none"/>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62" w:type="dxa"/>
            <w:tcBorders>
              <w:tl2br w:val="nil"/>
              <w:tr2bl w:val="nil"/>
            </w:tcBorders>
            <w:vAlign w:val="center"/>
          </w:tcPr>
          <w:p>
            <w:pPr>
              <w:autoSpaceDE w:val="0"/>
              <w:autoSpaceDN w:val="0"/>
              <w:spacing w:line="360" w:lineRule="auto"/>
              <w:jc w:val="center"/>
              <w:rPr>
                <w:color w:val="auto"/>
                <w:kern w:val="0"/>
                <w:szCs w:val="21"/>
                <w:highlight w:val="none"/>
              </w:rPr>
            </w:pPr>
            <w:r>
              <w:rPr>
                <w:color w:val="auto"/>
                <w:spacing w:val="7"/>
                <w:kern w:val="0"/>
                <w:szCs w:val="21"/>
                <w:highlight w:val="none"/>
              </w:rPr>
              <w:t>评</w:t>
            </w:r>
            <w:r>
              <w:rPr>
                <w:color w:val="auto"/>
                <w:spacing w:val="8"/>
                <w:kern w:val="0"/>
                <w:szCs w:val="21"/>
                <w:highlight w:val="none"/>
              </w:rPr>
              <w:t>价工</w:t>
            </w:r>
            <w:r>
              <w:rPr>
                <w:color w:val="auto"/>
                <w:spacing w:val="7"/>
                <w:kern w:val="0"/>
                <w:szCs w:val="21"/>
                <w:highlight w:val="none"/>
              </w:rPr>
              <w:t>作</w:t>
            </w:r>
            <w:r>
              <w:rPr>
                <w:color w:val="auto"/>
                <w:spacing w:val="8"/>
                <w:kern w:val="0"/>
                <w:szCs w:val="21"/>
                <w:highlight w:val="none"/>
              </w:rPr>
              <w:t>等级</w:t>
            </w:r>
          </w:p>
        </w:tc>
        <w:tc>
          <w:tcPr>
            <w:tcW w:w="1475" w:type="dxa"/>
            <w:tcBorders>
              <w:tl2br w:val="nil"/>
              <w:tr2bl w:val="nil"/>
            </w:tcBorders>
            <w:vAlign w:val="center"/>
          </w:tcPr>
          <w:p>
            <w:pPr>
              <w:autoSpaceDE w:val="0"/>
              <w:autoSpaceDN w:val="0"/>
              <w:spacing w:line="360" w:lineRule="auto"/>
              <w:jc w:val="center"/>
              <w:rPr>
                <w:color w:val="auto"/>
                <w:kern w:val="0"/>
                <w:szCs w:val="21"/>
                <w:highlight w:val="none"/>
              </w:rPr>
            </w:pPr>
            <w:r>
              <w:rPr>
                <w:color w:val="auto"/>
                <w:kern w:val="0"/>
                <w:szCs w:val="21"/>
                <w:highlight w:val="none"/>
              </w:rPr>
              <w:t>一</w:t>
            </w:r>
          </w:p>
        </w:tc>
        <w:tc>
          <w:tcPr>
            <w:tcW w:w="1693" w:type="dxa"/>
            <w:tcBorders>
              <w:tl2br w:val="nil"/>
              <w:tr2bl w:val="nil"/>
            </w:tcBorders>
            <w:vAlign w:val="center"/>
          </w:tcPr>
          <w:p>
            <w:pPr>
              <w:autoSpaceDE w:val="0"/>
              <w:autoSpaceDN w:val="0"/>
              <w:spacing w:line="360" w:lineRule="auto"/>
              <w:jc w:val="center"/>
              <w:rPr>
                <w:color w:val="auto"/>
                <w:kern w:val="0"/>
                <w:szCs w:val="21"/>
                <w:highlight w:val="none"/>
              </w:rPr>
            </w:pPr>
            <w:r>
              <w:rPr>
                <w:color w:val="auto"/>
                <w:kern w:val="0"/>
                <w:szCs w:val="21"/>
                <w:highlight w:val="none"/>
              </w:rPr>
              <w:t>二</w:t>
            </w:r>
          </w:p>
        </w:tc>
        <w:tc>
          <w:tcPr>
            <w:tcW w:w="1693" w:type="dxa"/>
            <w:tcBorders>
              <w:tl2br w:val="nil"/>
              <w:tr2bl w:val="nil"/>
            </w:tcBorders>
            <w:vAlign w:val="center"/>
          </w:tcPr>
          <w:p>
            <w:pPr>
              <w:autoSpaceDE w:val="0"/>
              <w:autoSpaceDN w:val="0"/>
              <w:spacing w:line="360" w:lineRule="auto"/>
              <w:jc w:val="center"/>
              <w:rPr>
                <w:color w:val="auto"/>
                <w:kern w:val="0"/>
                <w:szCs w:val="21"/>
                <w:highlight w:val="none"/>
              </w:rPr>
            </w:pPr>
            <w:r>
              <w:rPr>
                <w:color w:val="auto"/>
                <w:kern w:val="0"/>
                <w:szCs w:val="21"/>
                <w:highlight w:val="none"/>
              </w:rPr>
              <w:t>三</w:t>
            </w:r>
          </w:p>
        </w:tc>
        <w:tc>
          <w:tcPr>
            <w:tcW w:w="1917" w:type="dxa"/>
            <w:tcBorders>
              <w:tl2br w:val="nil"/>
              <w:tr2bl w:val="nil"/>
            </w:tcBorders>
            <w:shd w:val="solid" w:color="E7E6E6" w:themeColor="background2" w:fill="auto"/>
            <w:vAlign w:val="center"/>
          </w:tcPr>
          <w:p>
            <w:pPr>
              <w:autoSpaceDE w:val="0"/>
              <w:autoSpaceDN w:val="0"/>
              <w:spacing w:line="360" w:lineRule="auto"/>
              <w:jc w:val="center"/>
              <w:rPr>
                <w:color w:val="auto"/>
                <w:kern w:val="0"/>
                <w:szCs w:val="21"/>
                <w:highlight w:val="none"/>
              </w:rPr>
            </w:pPr>
            <w:r>
              <w:rPr>
                <w:color w:val="auto"/>
                <w:spacing w:val="7"/>
                <w:kern w:val="0"/>
                <w:szCs w:val="21"/>
                <w:highlight w:val="none"/>
              </w:rPr>
              <w:t>简</w:t>
            </w:r>
            <w:r>
              <w:rPr>
                <w:color w:val="auto"/>
                <w:spacing w:val="8"/>
                <w:kern w:val="0"/>
                <w:szCs w:val="21"/>
                <w:highlight w:val="none"/>
              </w:rPr>
              <w:t>单分</w:t>
            </w:r>
            <w:r>
              <w:rPr>
                <w:color w:val="auto"/>
                <w:kern w:val="0"/>
                <w:szCs w:val="21"/>
                <w:highlight w:val="none"/>
              </w:rPr>
              <w:t>析</w:t>
            </w:r>
            <w:r>
              <w:rPr>
                <w:color w:val="auto"/>
                <w:kern w:val="0"/>
                <w:position w:val="8"/>
                <w:szCs w:val="21"/>
                <w:highlight w:val="none"/>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340" w:type="dxa"/>
            <w:gridSpan w:val="5"/>
            <w:tcBorders>
              <w:tl2br w:val="nil"/>
              <w:tr2bl w:val="nil"/>
            </w:tcBorders>
            <w:vAlign w:val="center"/>
          </w:tcPr>
          <w:p>
            <w:pPr>
              <w:autoSpaceDE w:val="0"/>
              <w:autoSpaceDN w:val="0"/>
              <w:spacing w:line="360" w:lineRule="auto"/>
              <w:rPr>
                <w:color w:val="auto"/>
                <w:kern w:val="0"/>
                <w:szCs w:val="21"/>
                <w:highlight w:val="none"/>
              </w:rPr>
            </w:pPr>
            <w:r>
              <w:rPr>
                <w:color w:val="auto"/>
                <w:kern w:val="0"/>
                <w:position w:val="8"/>
                <w:szCs w:val="21"/>
                <w:highlight w:val="none"/>
              </w:rPr>
              <w:t>a</w:t>
            </w:r>
            <w:r>
              <w:rPr>
                <w:color w:val="auto"/>
                <w:spacing w:val="1"/>
                <w:kern w:val="0"/>
                <w:szCs w:val="21"/>
                <w:highlight w:val="none"/>
              </w:rPr>
              <w:t>是</w:t>
            </w:r>
            <w:r>
              <w:rPr>
                <w:color w:val="auto"/>
                <w:spacing w:val="2"/>
                <w:kern w:val="0"/>
                <w:szCs w:val="21"/>
                <w:highlight w:val="none"/>
              </w:rPr>
              <w:t>相</w:t>
            </w:r>
            <w:r>
              <w:rPr>
                <w:color w:val="auto"/>
                <w:spacing w:val="1"/>
                <w:kern w:val="0"/>
                <w:szCs w:val="21"/>
                <w:highlight w:val="none"/>
              </w:rPr>
              <w:t>对于</w:t>
            </w:r>
            <w:r>
              <w:rPr>
                <w:color w:val="auto"/>
                <w:spacing w:val="2"/>
                <w:kern w:val="0"/>
                <w:szCs w:val="21"/>
                <w:highlight w:val="none"/>
              </w:rPr>
              <w:t>详</w:t>
            </w:r>
            <w:r>
              <w:rPr>
                <w:color w:val="auto"/>
                <w:spacing w:val="1"/>
                <w:kern w:val="0"/>
                <w:szCs w:val="21"/>
                <w:highlight w:val="none"/>
              </w:rPr>
              <w:t>细评价</w:t>
            </w:r>
            <w:r>
              <w:rPr>
                <w:color w:val="auto"/>
                <w:spacing w:val="2"/>
                <w:kern w:val="0"/>
                <w:szCs w:val="21"/>
                <w:highlight w:val="none"/>
              </w:rPr>
              <w:t>工</w:t>
            </w:r>
            <w:r>
              <w:rPr>
                <w:color w:val="auto"/>
                <w:spacing w:val="1"/>
                <w:kern w:val="0"/>
                <w:szCs w:val="21"/>
                <w:highlight w:val="none"/>
              </w:rPr>
              <w:t>作</w:t>
            </w:r>
            <w:r>
              <w:rPr>
                <w:color w:val="auto"/>
                <w:spacing w:val="2"/>
                <w:kern w:val="0"/>
                <w:szCs w:val="21"/>
                <w:highlight w:val="none"/>
              </w:rPr>
              <w:t>内</w:t>
            </w:r>
            <w:r>
              <w:rPr>
                <w:color w:val="auto"/>
                <w:spacing w:val="1"/>
                <w:kern w:val="0"/>
                <w:szCs w:val="21"/>
                <w:highlight w:val="none"/>
              </w:rPr>
              <w:t>容而言</w:t>
            </w:r>
            <w:r>
              <w:rPr>
                <w:color w:val="auto"/>
                <w:spacing w:val="2"/>
                <w:kern w:val="0"/>
                <w:szCs w:val="21"/>
                <w:highlight w:val="none"/>
              </w:rPr>
              <w:t>，</w:t>
            </w:r>
            <w:r>
              <w:rPr>
                <w:color w:val="auto"/>
                <w:spacing w:val="1"/>
                <w:kern w:val="0"/>
                <w:szCs w:val="21"/>
                <w:highlight w:val="none"/>
              </w:rPr>
              <w:t>在</w:t>
            </w:r>
            <w:r>
              <w:rPr>
                <w:color w:val="auto"/>
                <w:spacing w:val="2"/>
                <w:kern w:val="0"/>
                <w:szCs w:val="21"/>
                <w:highlight w:val="none"/>
              </w:rPr>
              <w:t>描</w:t>
            </w:r>
            <w:r>
              <w:rPr>
                <w:color w:val="auto"/>
                <w:spacing w:val="1"/>
                <w:kern w:val="0"/>
                <w:szCs w:val="21"/>
                <w:highlight w:val="none"/>
              </w:rPr>
              <w:t>述危险</w:t>
            </w:r>
            <w:r>
              <w:rPr>
                <w:color w:val="auto"/>
                <w:spacing w:val="2"/>
                <w:kern w:val="0"/>
                <w:szCs w:val="21"/>
                <w:highlight w:val="none"/>
              </w:rPr>
              <w:t>物</w:t>
            </w:r>
            <w:r>
              <w:rPr>
                <w:color w:val="auto"/>
                <w:spacing w:val="1"/>
                <w:kern w:val="0"/>
                <w:szCs w:val="21"/>
                <w:highlight w:val="none"/>
              </w:rPr>
              <w:t>质</w:t>
            </w:r>
            <w:r>
              <w:rPr>
                <w:color w:val="auto"/>
                <w:spacing w:val="2"/>
                <w:kern w:val="0"/>
                <w:szCs w:val="21"/>
                <w:highlight w:val="none"/>
              </w:rPr>
              <w:t>、</w:t>
            </w:r>
            <w:r>
              <w:rPr>
                <w:color w:val="auto"/>
                <w:spacing w:val="1"/>
                <w:kern w:val="0"/>
                <w:szCs w:val="21"/>
                <w:highlight w:val="none"/>
              </w:rPr>
              <w:t>环境影</w:t>
            </w:r>
            <w:r>
              <w:rPr>
                <w:color w:val="auto"/>
                <w:spacing w:val="2"/>
                <w:kern w:val="0"/>
                <w:szCs w:val="21"/>
                <w:highlight w:val="none"/>
              </w:rPr>
              <w:t>响</w:t>
            </w:r>
            <w:r>
              <w:rPr>
                <w:color w:val="auto"/>
                <w:spacing w:val="1"/>
                <w:kern w:val="0"/>
                <w:szCs w:val="21"/>
                <w:highlight w:val="none"/>
              </w:rPr>
              <w:t>途</w:t>
            </w:r>
            <w:r>
              <w:rPr>
                <w:color w:val="auto"/>
                <w:spacing w:val="2"/>
                <w:kern w:val="0"/>
                <w:szCs w:val="21"/>
                <w:highlight w:val="none"/>
              </w:rPr>
              <w:t>径</w:t>
            </w:r>
            <w:r>
              <w:rPr>
                <w:color w:val="auto"/>
                <w:spacing w:val="1"/>
                <w:kern w:val="0"/>
                <w:szCs w:val="21"/>
                <w:highlight w:val="none"/>
              </w:rPr>
              <w:t>、环境</w:t>
            </w:r>
            <w:r>
              <w:rPr>
                <w:color w:val="auto"/>
                <w:spacing w:val="2"/>
                <w:kern w:val="0"/>
                <w:szCs w:val="21"/>
                <w:highlight w:val="none"/>
              </w:rPr>
              <w:t>危</w:t>
            </w:r>
            <w:r>
              <w:rPr>
                <w:color w:val="auto"/>
                <w:spacing w:val="1"/>
                <w:kern w:val="0"/>
                <w:szCs w:val="21"/>
                <w:highlight w:val="none"/>
              </w:rPr>
              <w:t>害</w:t>
            </w:r>
            <w:r>
              <w:rPr>
                <w:color w:val="auto"/>
                <w:spacing w:val="2"/>
                <w:kern w:val="0"/>
                <w:szCs w:val="21"/>
                <w:highlight w:val="none"/>
              </w:rPr>
              <w:t>后</w:t>
            </w:r>
            <w:r>
              <w:rPr>
                <w:color w:val="auto"/>
                <w:spacing w:val="1"/>
                <w:kern w:val="0"/>
                <w:szCs w:val="21"/>
                <w:highlight w:val="none"/>
              </w:rPr>
              <w:t>果、风</w:t>
            </w:r>
            <w:r>
              <w:rPr>
                <w:color w:val="auto"/>
                <w:spacing w:val="2"/>
                <w:kern w:val="0"/>
                <w:szCs w:val="21"/>
                <w:highlight w:val="none"/>
              </w:rPr>
              <w:t>险</w:t>
            </w:r>
            <w:r>
              <w:rPr>
                <w:color w:val="auto"/>
                <w:spacing w:val="1"/>
                <w:kern w:val="0"/>
                <w:szCs w:val="21"/>
                <w:highlight w:val="none"/>
              </w:rPr>
              <w:t>防</w:t>
            </w:r>
            <w:r>
              <w:rPr>
                <w:color w:val="auto"/>
                <w:spacing w:val="2"/>
                <w:kern w:val="0"/>
                <w:szCs w:val="21"/>
                <w:highlight w:val="none"/>
              </w:rPr>
              <w:t>范</w:t>
            </w:r>
            <w:r>
              <w:rPr>
                <w:color w:val="auto"/>
                <w:spacing w:val="1"/>
                <w:kern w:val="0"/>
                <w:szCs w:val="21"/>
                <w:highlight w:val="none"/>
              </w:rPr>
              <w:t>措施等</w:t>
            </w:r>
            <w:r>
              <w:rPr>
                <w:color w:val="auto"/>
                <w:spacing w:val="2"/>
                <w:kern w:val="0"/>
                <w:szCs w:val="21"/>
                <w:highlight w:val="none"/>
              </w:rPr>
              <w:t>方</w:t>
            </w:r>
            <w:r>
              <w:rPr>
                <w:color w:val="auto"/>
                <w:spacing w:val="1"/>
                <w:kern w:val="0"/>
                <w:szCs w:val="21"/>
                <w:highlight w:val="none"/>
              </w:rPr>
              <w:t>面给</w:t>
            </w:r>
            <w:r>
              <w:rPr>
                <w:color w:val="auto"/>
                <w:kern w:val="0"/>
                <w:szCs w:val="21"/>
                <w:highlight w:val="none"/>
              </w:rPr>
              <w:t>出定性的说明。</w:t>
            </w:r>
          </w:p>
        </w:tc>
      </w:tr>
    </w:tbl>
    <w:p>
      <w:pPr>
        <w:spacing w:line="360" w:lineRule="auto"/>
        <w:ind w:firstLine="480" w:firstLineChars="200"/>
        <w:rPr>
          <w:color w:val="auto"/>
          <w:sz w:val="24"/>
          <w:highlight w:val="none"/>
        </w:rPr>
      </w:pPr>
      <w:r>
        <w:rPr>
          <w:color w:val="auto"/>
          <w:sz w:val="24"/>
          <w:highlight w:val="none"/>
        </w:rPr>
        <w:t>根据判定结果，本项目环境风险潜势为Ⅰ，因此确定风险评价工作不设等级，仅进行简单分析。</w:t>
      </w:r>
    </w:p>
    <w:p>
      <w:pPr>
        <w:keepNext/>
        <w:keepLines/>
        <w:spacing w:line="360" w:lineRule="auto"/>
        <w:outlineLvl w:val="1"/>
        <w:rPr>
          <w:b/>
          <w:bCs/>
          <w:color w:val="auto"/>
          <w:sz w:val="28"/>
          <w:szCs w:val="32"/>
          <w:highlight w:val="none"/>
        </w:rPr>
      </w:pPr>
      <w:bookmarkStart w:id="630" w:name="_Toc75908723"/>
      <w:bookmarkStart w:id="631" w:name="_Toc6147"/>
      <w:r>
        <w:rPr>
          <w:b/>
          <w:bCs/>
          <w:color w:val="auto"/>
          <w:sz w:val="28"/>
          <w:szCs w:val="32"/>
          <w:highlight w:val="none"/>
        </w:rPr>
        <w:t>6.2环境敏感目标</w:t>
      </w:r>
      <w:bookmarkEnd w:id="630"/>
      <w:bookmarkEnd w:id="631"/>
    </w:p>
    <w:p>
      <w:pPr>
        <w:spacing w:line="360" w:lineRule="auto"/>
        <w:jc w:val="center"/>
        <w:rPr>
          <w:b/>
          <w:color w:val="auto"/>
          <w:sz w:val="24"/>
          <w:highlight w:val="none"/>
        </w:rPr>
      </w:pPr>
    </w:p>
    <w:p>
      <w:pPr>
        <w:spacing w:line="360" w:lineRule="auto"/>
        <w:jc w:val="center"/>
        <w:rPr>
          <w:b/>
          <w:color w:val="auto"/>
          <w:sz w:val="24"/>
          <w:highlight w:val="none"/>
        </w:rPr>
      </w:pPr>
    </w:p>
    <w:p>
      <w:pPr>
        <w:spacing w:line="360" w:lineRule="auto"/>
        <w:jc w:val="center"/>
        <w:rPr>
          <w:b/>
          <w:color w:val="auto"/>
          <w:sz w:val="24"/>
          <w:highlight w:val="none"/>
        </w:rPr>
      </w:pP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rPr>
        <w:t>6</w:t>
      </w:r>
      <w:r>
        <w:rPr>
          <w:b/>
          <w:color w:val="auto"/>
          <w:sz w:val="24"/>
          <w:highlight w:val="none"/>
        </w:rPr>
        <w:t>.2-1  项目环境敏感特征表</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235"/>
        <w:gridCol w:w="1125"/>
        <w:gridCol w:w="898"/>
        <w:gridCol w:w="916"/>
        <w:gridCol w:w="1794"/>
        <w:gridCol w:w="874"/>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环境</w:t>
            </w:r>
          </w:p>
          <w:p>
            <w:pPr>
              <w:pStyle w:val="496"/>
              <w:rPr>
                <w:rFonts w:ascii="Times New Roman" w:hAnsi="Times New Roman"/>
                <w:color w:val="auto"/>
                <w:sz w:val="21"/>
                <w:highlight w:val="none"/>
              </w:rPr>
            </w:pPr>
            <w:r>
              <w:rPr>
                <w:rFonts w:ascii="Times New Roman" w:hAnsi="Times New Roman"/>
                <w:color w:val="auto"/>
                <w:sz w:val="21"/>
                <w:highlight w:val="none"/>
              </w:rPr>
              <w:t>要素</w:t>
            </w:r>
          </w:p>
        </w:tc>
        <w:tc>
          <w:tcPr>
            <w:tcW w:w="2360" w:type="dxa"/>
            <w:gridSpan w:val="2"/>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坐标/m</w:t>
            </w:r>
          </w:p>
        </w:tc>
        <w:tc>
          <w:tcPr>
            <w:tcW w:w="898"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保护</w:t>
            </w:r>
          </w:p>
          <w:p>
            <w:pPr>
              <w:pStyle w:val="496"/>
              <w:rPr>
                <w:rFonts w:ascii="Times New Roman" w:hAnsi="Times New Roman"/>
                <w:color w:val="auto"/>
                <w:sz w:val="21"/>
                <w:highlight w:val="none"/>
              </w:rPr>
            </w:pPr>
            <w:r>
              <w:rPr>
                <w:rFonts w:ascii="Times New Roman" w:hAnsi="Times New Roman"/>
                <w:color w:val="auto"/>
                <w:sz w:val="21"/>
                <w:highlight w:val="none"/>
              </w:rPr>
              <w:t>对象</w:t>
            </w:r>
          </w:p>
        </w:tc>
        <w:tc>
          <w:tcPr>
            <w:tcW w:w="916"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保护</w:t>
            </w:r>
          </w:p>
          <w:p>
            <w:pPr>
              <w:pStyle w:val="496"/>
              <w:rPr>
                <w:rFonts w:ascii="Times New Roman" w:hAnsi="Times New Roman"/>
                <w:color w:val="auto"/>
                <w:sz w:val="21"/>
                <w:highlight w:val="none"/>
              </w:rPr>
            </w:pPr>
            <w:r>
              <w:rPr>
                <w:rFonts w:ascii="Times New Roman" w:hAnsi="Times New Roman"/>
                <w:color w:val="auto"/>
                <w:sz w:val="21"/>
                <w:highlight w:val="none"/>
              </w:rPr>
              <w:t>内容</w:t>
            </w:r>
          </w:p>
        </w:tc>
        <w:tc>
          <w:tcPr>
            <w:tcW w:w="1794"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保护</w:t>
            </w:r>
          </w:p>
          <w:p>
            <w:pPr>
              <w:pStyle w:val="496"/>
              <w:rPr>
                <w:rFonts w:ascii="Times New Roman" w:hAnsi="Times New Roman"/>
                <w:color w:val="auto"/>
                <w:sz w:val="21"/>
                <w:highlight w:val="none"/>
              </w:rPr>
            </w:pPr>
            <w:r>
              <w:rPr>
                <w:rFonts w:ascii="Times New Roman" w:hAnsi="Times New Roman"/>
                <w:color w:val="auto"/>
                <w:sz w:val="21"/>
                <w:highlight w:val="none"/>
              </w:rPr>
              <w:t>级别</w:t>
            </w:r>
          </w:p>
        </w:tc>
        <w:tc>
          <w:tcPr>
            <w:tcW w:w="874"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相对厂</w:t>
            </w:r>
          </w:p>
          <w:p>
            <w:pPr>
              <w:pStyle w:val="496"/>
              <w:rPr>
                <w:rFonts w:ascii="Times New Roman" w:hAnsi="Times New Roman"/>
                <w:color w:val="auto"/>
                <w:sz w:val="21"/>
                <w:highlight w:val="none"/>
              </w:rPr>
            </w:pPr>
            <w:r>
              <w:rPr>
                <w:rFonts w:ascii="Times New Roman" w:hAnsi="Times New Roman"/>
                <w:color w:val="auto"/>
                <w:sz w:val="21"/>
                <w:highlight w:val="none"/>
              </w:rPr>
              <w:t>址方位</w:t>
            </w:r>
          </w:p>
        </w:tc>
        <w:tc>
          <w:tcPr>
            <w:tcW w:w="836"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widowControl/>
              <w:jc w:val="center"/>
              <w:rPr>
                <w:color w:val="auto"/>
                <w:szCs w:val="21"/>
                <w:highlight w:val="none"/>
              </w:rPr>
            </w:pPr>
          </w:p>
        </w:tc>
        <w:tc>
          <w:tcPr>
            <w:tcW w:w="1235" w:type="dxa"/>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经度</w:t>
            </w:r>
          </w:p>
          <w:p>
            <w:pPr>
              <w:pStyle w:val="496"/>
              <w:rPr>
                <w:rFonts w:ascii="Times New Roman" w:hAnsi="Times New Roman"/>
                <w:color w:val="auto"/>
                <w:sz w:val="21"/>
                <w:highlight w:val="none"/>
              </w:rPr>
            </w:pPr>
            <w:r>
              <w:rPr>
                <w:rFonts w:ascii="Times New Roman" w:hAnsi="Times New Roman"/>
                <w:color w:val="auto"/>
                <w:sz w:val="21"/>
                <w:highlight w:val="none"/>
              </w:rPr>
              <w:t>（E）</w:t>
            </w:r>
          </w:p>
        </w:tc>
        <w:tc>
          <w:tcPr>
            <w:tcW w:w="1125" w:type="dxa"/>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纬度（N）</w:t>
            </w:r>
          </w:p>
        </w:tc>
        <w:tc>
          <w:tcPr>
            <w:tcW w:w="898" w:type="dxa"/>
            <w:vMerge w:val="continue"/>
            <w:tcBorders>
              <w:tl2br w:val="nil"/>
              <w:tr2bl w:val="nil"/>
            </w:tcBorders>
            <w:vAlign w:val="center"/>
          </w:tcPr>
          <w:p>
            <w:pPr>
              <w:widowControl/>
              <w:rPr>
                <w:color w:val="auto"/>
                <w:szCs w:val="21"/>
                <w:highlight w:val="none"/>
              </w:rPr>
            </w:pPr>
          </w:p>
        </w:tc>
        <w:tc>
          <w:tcPr>
            <w:tcW w:w="916" w:type="dxa"/>
            <w:vMerge w:val="continue"/>
            <w:tcBorders>
              <w:tl2br w:val="nil"/>
              <w:tr2bl w:val="nil"/>
            </w:tcBorders>
            <w:vAlign w:val="center"/>
          </w:tcPr>
          <w:p>
            <w:pPr>
              <w:widowControl/>
              <w:rPr>
                <w:color w:val="auto"/>
                <w:szCs w:val="21"/>
                <w:highlight w:val="none"/>
              </w:rPr>
            </w:pPr>
          </w:p>
        </w:tc>
        <w:tc>
          <w:tcPr>
            <w:tcW w:w="1794" w:type="dxa"/>
            <w:vMerge w:val="continue"/>
            <w:tcBorders>
              <w:tl2br w:val="nil"/>
              <w:tr2bl w:val="nil"/>
            </w:tcBorders>
            <w:vAlign w:val="center"/>
          </w:tcPr>
          <w:p>
            <w:pPr>
              <w:widowControl/>
              <w:jc w:val="center"/>
              <w:rPr>
                <w:color w:val="auto"/>
                <w:szCs w:val="21"/>
                <w:highlight w:val="none"/>
              </w:rPr>
            </w:pPr>
          </w:p>
        </w:tc>
        <w:tc>
          <w:tcPr>
            <w:tcW w:w="874" w:type="dxa"/>
            <w:vMerge w:val="continue"/>
            <w:tcBorders>
              <w:tl2br w:val="nil"/>
              <w:tr2bl w:val="nil"/>
            </w:tcBorders>
            <w:vAlign w:val="center"/>
          </w:tcPr>
          <w:p>
            <w:pPr>
              <w:widowControl/>
              <w:rPr>
                <w:color w:val="auto"/>
                <w:szCs w:val="21"/>
                <w:highlight w:val="none"/>
              </w:rPr>
            </w:pPr>
          </w:p>
        </w:tc>
        <w:tc>
          <w:tcPr>
            <w:tcW w:w="836" w:type="dxa"/>
            <w:vMerge w:val="continue"/>
            <w:tcBorders>
              <w:tl2br w:val="nil"/>
              <w:tr2bl w:val="nil"/>
            </w:tcBorders>
            <w:vAlign w:val="center"/>
          </w:tcPr>
          <w:p>
            <w:pPr>
              <w:widowControl/>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71"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大气</w:t>
            </w:r>
          </w:p>
          <w:p>
            <w:pPr>
              <w:pStyle w:val="496"/>
              <w:rPr>
                <w:rFonts w:ascii="Times New Roman" w:hAnsi="Times New Roman"/>
                <w:color w:val="auto"/>
                <w:sz w:val="21"/>
                <w:highlight w:val="none"/>
              </w:rPr>
            </w:pPr>
            <w:r>
              <w:rPr>
                <w:rFonts w:ascii="Times New Roman" w:hAnsi="Times New Roman"/>
                <w:color w:val="auto"/>
                <w:sz w:val="21"/>
                <w:highlight w:val="none"/>
              </w:rPr>
              <w:t>环境</w:t>
            </w:r>
          </w:p>
        </w:tc>
        <w:tc>
          <w:tcPr>
            <w:tcW w:w="1235" w:type="dxa"/>
            <w:tcBorders>
              <w:tl2br w:val="nil"/>
              <w:tr2bl w:val="nil"/>
            </w:tcBorders>
            <w:vAlign w:val="center"/>
          </w:tcPr>
          <w:p>
            <w:pPr>
              <w:widowControl/>
              <w:jc w:val="center"/>
              <w:textAlignment w:val="center"/>
              <w:rPr>
                <w:color w:val="auto"/>
                <w:szCs w:val="21"/>
                <w:highlight w:val="none"/>
              </w:rPr>
            </w:pPr>
            <w:r>
              <w:rPr>
                <w:rFonts w:hint="eastAsia"/>
                <w:color w:val="auto"/>
                <w:kern w:val="0"/>
                <w:szCs w:val="21"/>
                <w:highlight w:val="none"/>
                <w:lang w:val="en-US" w:eastAsia="zh-CN" w:bidi="ar"/>
              </w:rPr>
              <w:t>103.230393</w:t>
            </w:r>
          </w:p>
        </w:tc>
        <w:tc>
          <w:tcPr>
            <w:tcW w:w="1125" w:type="dxa"/>
            <w:tcBorders>
              <w:tl2br w:val="nil"/>
              <w:tr2bl w:val="nil"/>
            </w:tcBorders>
            <w:vAlign w:val="center"/>
          </w:tcPr>
          <w:p>
            <w:pPr>
              <w:widowControl/>
              <w:jc w:val="center"/>
              <w:textAlignment w:val="center"/>
              <w:rPr>
                <w:color w:val="auto"/>
                <w:szCs w:val="21"/>
                <w:highlight w:val="none"/>
              </w:rPr>
            </w:pPr>
            <w:r>
              <w:rPr>
                <w:rFonts w:hint="eastAsia"/>
                <w:color w:val="auto"/>
                <w:kern w:val="0"/>
                <w:szCs w:val="21"/>
                <w:highlight w:val="none"/>
                <w:lang w:val="en-US" w:eastAsia="zh-CN" w:bidi="ar"/>
              </w:rPr>
              <w:t>25.544060</w:t>
            </w:r>
          </w:p>
        </w:tc>
        <w:tc>
          <w:tcPr>
            <w:tcW w:w="89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三月三散户</w:t>
            </w:r>
          </w:p>
        </w:tc>
        <w:tc>
          <w:tcPr>
            <w:tcW w:w="91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2人</w:t>
            </w:r>
          </w:p>
        </w:tc>
        <w:tc>
          <w:tcPr>
            <w:tcW w:w="1794"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GB3095-2012《环境空气质量标准》二级标准</w:t>
            </w:r>
          </w:p>
        </w:tc>
        <w:tc>
          <w:tcPr>
            <w:tcW w:w="87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东侧</w:t>
            </w:r>
          </w:p>
        </w:tc>
        <w:tc>
          <w:tcPr>
            <w:tcW w:w="83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103.233671</w:t>
            </w:r>
          </w:p>
        </w:tc>
        <w:tc>
          <w:tcPr>
            <w:tcW w:w="112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25.544195</w:t>
            </w:r>
          </w:p>
        </w:tc>
        <w:tc>
          <w:tcPr>
            <w:tcW w:w="89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三月三</w:t>
            </w:r>
          </w:p>
        </w:tc>
        <w:tc>
          <w:tcPr>
            <w:tcW w:w="91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1000人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东侧</w:t>
            </w:r>
          </w:p>
        </w:tc>
        <w:tc>
          <w:tcPr>
            <w:tcW w:w="83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103.216231</w:t>
            </w:r>
          </w:p>
        </w:tc>
        <w:tc>
          <w:tcPr>
            <w:tcW w:w="112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25.549618</w:t>
            </w:r>
          </w:p>
        </w:tc>
        <w:tc>
          <w:tcPr>
            <w:tcW w:w="89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哨上</w:t>
            </w:r>
          </w:p>
        </w:tc>
        <w:tc>
          <w:tcPr>
            <w:tcW w:w="91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1500人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西北侧</w:t>
            </w:r>
          </w:p>
        </w:tc>
        <w:tc>
          <w:tcPr>
            <w:tcW w:w="83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103.253556</w:t>
            </w:r>
          </w:p>
        </w:tc>
        <w:tc>
          <w:tcPr>
            <w:tcW w:w="112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25.543556</w:t>
            </w:r>
          </w:p>
        </w:tc>
        <w:tc>
          <w:tcPr>
            <w:tcW w:w="898" w:type="dxa"/>
            <w:tcBorders>
              <w:tl2br w:val="nil"/>
              <w:tr2bl w:val="nil"/>
            </w:tcBorders>
            <w:vAlign w:val="center"/>
          </w:tcPr>
          <w:p>
            <w:pPr>
              <w:jc w:val="center"/>
              <w:rPr>
                <w:rFonts w:ascii="Times New Roman" w:hAnsi="Times New Roman"/>
                <w:color w:val="auto"/>
                <w:sz w:val="21"/>
                <w:highlight w:val="none"/>
              </w:rPr>
            </w:pPr>
            <w:r>
              <w:rPr>
                <w:rFonts w:hint="eastAsia"/>
                <w:color w:val="auto"/>
                <w:szCs w:val="21"/>
                <w:highlight w:val="none"/>
                <w:lang w:val="en-US" w:eastAsia="zh-CN"/>
              </w:rPr>
              <w:t>回龙村</w:t>
            </w:r>
          </w:p>
        </w:tc>
        <w:tc>
          <w:tcPr>
            <w:tcW w:w="91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2500人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东侧</w:t>
            </w:r>
          </w:p>
        </w:tc>
        <w:tc>
          <w:tcPr>
            <w:tcW w:w="83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2367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103.236905</w:t>
            </w:r>
          </w:p>
        </w:tc>
        <w:tc>
          <w:tcPr>
            <w:tcW w:w="112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25.537827</w:t>
            </w:r>
          </w:p>
        </w:tc>
        <w:tc>
          <w:tcPr>
            <w:tcW w:w="898" w:type="dxa"/>
            <w:tcBorders>
              <w:tl2br w:val="nil"/>
              <w:tr2bl w:val="nil"/>
            </w:tcBorders>
            <w:vAlign w:val="center"/>
          </w:tcPr>
          <w:p>
            <w:pPr>
              <w:pStyle w:val="496"/>
              <w:rPr>
                <w:rFonts w:ascii="Times New Roman" w:hAnsi="Times New Roman"/>
                <w:color w:val="auto"/>
                <w:sz w:val="21"/>
                <w:highlight w:val="none"/>
              </w:rPr>
            </w:pPr>
            <w:r>
              <w:rPr>
                <w:rFonts w:hint="eastAsia" w:ascii="Times New Roman" w:hAnsi="Times New Roman"/>
                <w:color w:val="auto"/>
                <w:sz w:val="21"/>
                <w:highlight w:val="none"/>
                <w:lang w:val="en-US" w:eastAsia="zh-CN"/>
              </w:rPr>
              <w:t>海会寺</w:t>
            </w:r>
          </w:p>
        </w:tc>
        <w:tc>
          <w:tcPr>
            <w:tcW w:w="91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50人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东南侧</w:t>
            </w:r>
          </w:p>
        </w:tc>
        <w:tc>
          <w:tcPr>
            <w:tcW w:w="83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103.255584</w:t>
            </w:r>
          </w:p>
        </w:tc>
        <w:tc>
          <w:tcPr>
            <w:tcW w:w="1125"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25.540252</w:t>
            </w:r>
          </w:p>
        </w:tc>
        <w:tc>
          <w:tcPr>
            <w:tcW w:w="898" w:type="dxa"/>
            <w:tcBorders>
              <w:tl2br w:val="nil"/>
              <w:tr2bl w:val="nil"/>
            </w:tcBorders>
            <w:vAlign w:val="center"/>
          </w:tcPr>
          <w:p>
            <w:pPr>
              <w:pStyle w:val="496"/>
              <w:rPr>
                <w:rFonts w:ascii="Times New Roman" w:hAnsi="Times New Roman"/>
                <w:color w:val="auto"/>
                <w:sz w:val="21"/>
                <w:highlight w:val="none"/>
              </w:rPr>
            </w:pPr>
            <w:r>
              <w:rPr>
                <w:rFonts w:hint="eastAsia" w:ascii="Times New Roman" w:hAnsi="Times New Roman"/>
                <w:color w:val="auto"/>
                <w:sz w:val="21"/>
                <w:highlight w:val="none"/>
                <w:lang w:val="en-US" w:eastAsia="zh-CN"/>
              </w:rPr>
              <w:t>建设社区</w:t>
            </w:r>
          </w:p>
        </w:tc>
        <w:tc>
          <w:tcPr>
            <w:tcW w:w="916"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4000人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东南侧</w:t>
            </w:r>
          </w:p>
        </w:tc>
        <w:tc>
          <w:tcPr>
            <w:tcW w:w="836" w:type="dxa"/>
            <w:tcBorders>
              <w:tl2br w:val="nil"/>
              <w:tr2bl w:val="nil"/>
            </w:tcBorders>
            <w:vAlign w:val="center"/>
          </w:tcPr>
          <w:p>
            <w:pPr>
              <w:jc w:val="center"/>
              <w:rPr>
                <w:rFonts w:hint="default"/>
                <w:color w:val="auto"/>
                <w:szCs w:val="21"/>
                <w:highlight w:val="none"/>
                <w:lang w:val="en-US"/>
              </w:rPr>
            </w:pPr>
            <w:r>
              <w:rPr>
                <w:rFonts w:hint="eastAsia"/>
                <w:color w:val="auto"/>
                <w:szCs w:val="21"/>
                <w:highlight w:val="none"/>
                <w:lang w:val="en-US" w:eastAsia="zh-C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103.254061</w:t>
            </w:r>
          </w:p>
        </w:tc>
        <w:tc>
          <w:tcPr>
            <w:tcW w:w="1125" w:type="dxa"/>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25.551603</w:t>
            </w:r>
          </w:p>
        </w:tc>
        <w:tc>
          <w:tcPr>
            <w:tcW w:w="898" w:type="dxa"/>
            <w:tcBorders>
              <w:tl2br w:val="nil"/>
              <w:tr2bl w:val="nil"/>
            </w:tcBorders>
            <w:vAlign w:val="center"/>
          </w:tcPr>
          <w:p>
            <w:pPr>
              <w:pStyle w:val="496"/>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月甲村</w:t>
            </w:r>
          </w:p>
        </w:tc>
        <w:tc>
          <w:tcPr>
            <w:tcW w:w="91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东北侧</w:t>
            </w:r>
          </w:p>
        </w:tc>
        <w:tc>
          <w:tcPr>
            <w:tcW w:w="83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rFonts w:hint="default"/>
                <w:color w:val="auto"/>
                <w:highlight w:val="none"/>
                <w:lang w:val="en-US" w:eastAsia="zh-CN"/>
              </w:rPr>
            </w:pPr>
            <w:r>
              <w:rPr>
                <w:rFonts w:hint="eastAsia"/>
                <w:color w:val="auto"/>
                <w:szCs w:val="21"/>
                <w:highlight w:val="none"/>
                <w:lang w:val="en-US" w:eastAsia="zh-CN"/>
              </w:rPr>
              <w:t>103.253664</w:t>
            </w:r>
          </w:p>
        </w:tc>
        <w:tc>
          <w:tcPr>
            <w:tcW w:w="1125" w:type="dxa"/>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25.555304</w:t>
            </w:r>
          </w:p>
        </w:tc>
        <w:tc>
          <w:tcPr>
            <w:tcW w:w="898" w:type="dxa"/>
            <w:tcBorders>
              <w:tl2br w:val="nil"/>
              <w:tr2bl w:val="nil"/>
            </w:tcBorders>
            <w:vAlign w:val="center"/>
          </w:tcPr>
          <w:p>
            <w:pPr>
              <w:pStyle w:val="496"/>
              <w:rPr>
                <w:rFonts w:hint="default"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月秀村</w:t>
            </w:r>
          </w:p>
        </w:tc>
        <w:tc>
          <w:tcPr>
            <w:tcW w:w="916"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2000人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东北侧</w:t>
            </w:r>
          </w:p>
        </w:tc>
        <w:tc>
          <w:tcPr>
            <w:tcW w:w="836"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103.253503</w:t>
            </w:r>
          </w:p>
        </w:tc>
        <w:tc>
          <w:tcPr>
            <w:tcW w:w="1125" w:type="dxa"/>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25.538213</w:t>
            </w:r>
          </w:p>
        </w:tc>
        <w:tc>
          <w:tcPr>
            <w:tcW w:w="898" w:type="dxa"/>
            <w:tcBorders>
              <w:tl2br w:val="nil"/>
              <w:tr2bl w:val="nil"/>
            </w:tcBorders>
            <w:vAlign w:val="center"/>
          </w:tcPr>
          <w:p>
            <w:pPr>
              <w:pStyle w:val="496"/>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三板桥</w:t>
            </w:r>
          </w:p>
        </w:tc>
        <w:tc>
          <w:tcPr>
            <w:tcW w:w="91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600人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东南侧</w:t>
            </w:r>
          </w:p>
        </w:tc>
        <w:tc>
          <w:tcPr>
            <w:tcW w:w="836"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103.250756</w:t>
            </w:r>
          </w:p>
        </w:tc>
        <w:tc>
          <w:tcPr>
            <w:tcW w:w="1125" w:type="dxa"/>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25.563169</w:t>
            </w:r>
          </w:p>
        </w:tc>
        <w:tc>
          <w:tcPr>
            <w:tcW w:w="898" w:type="dxa"/>
            <w:tcBorders>
              <w:tl2br w:val="nil"/>
              <w:tr2bl w:val="nil"/>
            </w:tcBorders>
            <w:vAlign w:val="center"/>
          </w:tcPr>
          <w:p>
            <w:pPr>
              <w:pStyle w:val="496"/>
              <w:rPr>
                <w:rFonts w:hint="default"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南钟社区</w:t>
            </w:r>
          </w:p>
        </w:tc>
        <w:tc>
          <w:tcPr>
            <w:tcW w:w="916"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3000人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东北侧</w:t>
            </w:r>
          </w:p>
        </w:tc>
        <w:tc>
          <w:tcPr>
            <w:tcW w:w="836"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2779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1235" w:type="dxa"/>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103.252816</w:t>
            </w:r>
          </w:p>
        </w:tc>
        <w:tc>
          <w:tcPr>
            <w:tcW w:w="1125" w:type="dxa"/>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25.526905</w:t>
            </w:r>
          </w:p>
        </w:tc>
        <w:tc>
          <w:tcPr>
            <w:tcW w:w="898" w:type="dxa"/>
            <w:tcBorders>
              <w:tl2br w:val="nil"/>
              <w:tr2bl w:val="nil"/>
            </w:tcBorders>
            <w:vAlign w:val="center"/>
          </w:tcPr>
          <w:p>
            <w:pPr>
              <w:pStyle w:val="496"/>
              <w:rPr>
                <w:rFonts w:hint="default"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沙坝塘</w:t>
            </w:r>
          </w:p>
        </w:tc>
        <w:tc>
          <w:tcPr>
            <w:tcW w:w="916"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1500人</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东南侧</w:t>
            </w:r>
          </w:p>
        </w:tc>
        <w:tc>
          <w:tcPr>
            <w:tcW w:w="836"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Merge w:val="continue"/>
            <w:tcBorders>
              <w:tl2br w:val="nil"/>
              <w:tr2bl w:val="nil"/>
            </w:tcBorders>
            <w:vAlign w:val="center"/>
          </w:tcPr>
          <w:p>
            <w:pPr>
              <w:pStyle w:val="496"/>
              <w:rPr>
                <w:rFonts w:ascii="Times New Roman" w:hAnsi="Times New Roman"/>
                <w:color w:val="auto"/>
                <w:sz w:val="21"/>
                <w:highlight w:val="none"/>
              </w:rPr>
            </w:pPr>
          </w:p>
        </w:tc>
        <w:tc>
          <w:tcPr>
            <w:tcW w:w="7678" w:type="dxa"/>
            <w:gridSpan w:val="7"/>
            <w:tcBorders>
              <w:tl2br w:val="nil"/>
              <w:tr2bl w:val="nil"/>
            </w:tcBorders>
            <w:vAlign w:val="center"/>
          </w:tcPr>
          <w:p>
            <w:pPr>
              <w:jc w:val="center"/>
              <w:rPr>
                <w:color w:val="auto"/>
                <w:szCs w:val="21"/>
                <w:highlight w:val="none"/>
              </w:rPr>
            </w:pPr>
            <w:r>
              <w:rPr>
                <w:color w:val="auto"/>
                <w:szCs w:val="21"/>
                <w:highlight w:val="none"/>
              </w:rPr>
              <w:t>厂址周边500m范围内人口数小计：</w:t>
            </w:r>
            <w:r>
              <w:rPr>
                <w:rFonts w:hint="eastAsia"/>
                <w:color w:val="auto"/>
                <w:szCs w:val="21"/>
                <w:highlight w:val="none"/>
                <w:lang w:val="en-US" w:eastAsia="zh-CN"/>
              </w:rPr>
              <w:t>1002</w:t>
            </w:r>
            <w:r>
              <w:rPr>
                <w:color w:val="auto"/>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1"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地表水</w:t>
            </w:r>
          </w:p>
          <w:p>
            <w:pPr>
              <w:pStyle w:val="496"/>
              <w:rPr>
                <w:rFonts w:ascii="Times New Roman" w:hAnsi="Times New Roman"/>
                <w:color w:val="auto"/>
                <w:sz w:val="21"/>
                <w:highlight w:val="none"/>
              </w:rPr>
            </w:pPr>
            <w:r>
              <w:rPr>
                <w:rFonts w:ascii="Times New Roman" w:hAnsi="Times New Roman"/>
                <w:color w:val="auto"/>
                <w:sz w:val="21"/>
                <w:highlight w:val="none"/>
              </w:rPr>
              <w:t>环境</w:t>
            </w:r>
          </w:p>
        </w:tc>
        <w:tc>
          <w:tcPr>
            <w:tcW w:w="4174" w:type="dxa"/>
            <w:gridSpan w:val="4"/>
            <w:tcBorders>
              <w:tl2br w:val="nil"/>
              <w:tr2bl w:val="nil"/>
            </w:tcBorders>
            <w:vAlign w:val="center"/>
          </w:tcPr>
          <w:p>
            <w:pPr>
              <w:pStyle w:val="496"/>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三月三水库</w:t>
            </w:r>
          </w:p>
        </w:tc>
        <w:tc>
          <w:tcPr>
            <w:tcW w:w="1794" w:type="dxa"/>
            <w:vMerge w:val="restart"/>
            <w:tcBorders>
              <w:tl2br w:val="nil"/>
              <w:tr2bl w:val="nil"/>
            </w:tcBorders>
            <w:vAlign w:val="center"/>
          </w:tcPr>
          <w:p>
            <w:pPr>
              <w:pStyle w:val="496"/>
              <w:rPr>
                <w:rFonts w:ascii="Times New Roman" w:hAnsi="Times New Roman"/>
                <w:color w:val="auto"/>
                <w:sz w:val="21"/>
                <w:highlight w:val="none"/>
              </w:rPr>
            </w:pPr>
            <w:r>
              <w:rPr>
                <w:rFonts w:ascii="Times New Roman" w:hAnsi="Times New Roman"/>
                <w:color w:val="auto"/>
                <w:sz w:val="21"/>
                <w:highlight w:val="none"/>
              </w:rPr>
              <w:t>《地表水环境质量标准》</w:t>
            </w:r>
            <w:r>
              <w:rPr>
                <w:rFonts w:hint="eastAsia" w:ascii="Times New Roman" w:hAnsi="Times New Roman"/>
                <w:color w:val="auto"/>
                <w:sz w:val="21"/>
                <w:highlight w:val="none"/>
              </w:rPr>
              <w:t>（</w:t>
            </w:r>
            <w:r>
              <w:rPr>
                <w:rFonts w:ascii="Times New Roman" w:hAnsi="Times New Roman"/>
                <w:color w:val="auto"/>
                <w:sz w:val="21"/>
                <w:highlight w:val="none"/>
              </w:rPr>
              <w:t>GB3838-2002</w:t>
            </w:r>
            <w:r>
              <w:rPr>
                <w:rFonts w:hint="eastAsia" w:ascii="Times New Roman" w:hAnsi="Times New Roman"/>
                <w:color w:val="auto"/>
                <w:sz w:val="21"/>
                <w:highlight w:val="none"/>
              </w:rPr>
              <w:t>）</w:t>
            </w:r>
            <w:r>
              <w:rPr>
                <w:rFonts w:ascii="Times New Roman" w:hAnsi="Times New Roman"/>
                <w:color w:val="auto"/>
                <w:sz w:val="21"/>
                <w:highlight w:val="none"/>
              </w:rPr>
              <w:t>Ⅲ类标准</w:t>
            </w:r>
          </w:p>
        </w:tc>
        <w:tc>
          <w:tcPr>
            <w:tcW w:w="874" w:type="dxa"/>
            <w:tcBorders>
              <w:tl2br w:val="nil"/>
              <w:tr2bl w:val="nil"/>
            </w:tcBorders>
            <w:vAlign w:val="center"/>
          </w:tcPr>
          <w:p>
            <w:pPr>
              <w:pStyle w:val="496"/>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东侧</w:t>
            </w:r>
          </w:p>
        </w:tc>
        <w:tc>
          <w:tcPr>
            <w:tcW w:w="836" w:type="dxa"/>
            <w:tcBorders>
              <w:tl2br w:val="nil"/>
              <w:tr2bl w:val="nil"/>
            </w:tcBorders>
            <w:vAlign w:val="center"/>
          </w:tcPr>
          <w:p>
            <w:pPr>
              <w:pStyle w:val="496"/>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1" w:type="dxa"/>
            <w:vMerge w:val="continue"/>
            <w:tcBorders>
              <w:tl2br w:val="nil"/>
              <w:tr2bl w:val="nil"/>
            </w:tcBorders>
            <w:vAlign w:val="center"/>
          </w:tcPr>
          <w:p>
            <w:pPr>
              <w:pStyle w:val="496"/>
              <w:rPr>
                <w:color w:val="auto"/>
                <w:highlight w:val="none"/>
              </w:rPr>
            </w:pPr>
          </w:p>
        </w:tc>
        <w:tc>
          <w:tcPr>
            <w:tcW w:w="4174" w:type="dxa"/>
            <w:gridSpan w:val="4"/>
            <w:tcBorders>
              <w:tl2br w:val="nil"/>
              <w:tr2bl w:val="nil"/>
            </w:tcBorders>
            <w:vAlign w:val="center"/>
          </w:tcPr>
          <w:p>
            <w:pPr>
              <w:pStyle w:val="496"/>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前进河</w:t>
            </w:r>
          </w:p>
        </w:tc>
        <w:tc>
          <w:tcPr>
            <w:tcW w:w="1794" w:type="dxa"/>
            <w:vMerge w:val="continue"/>
            <w:tcBorders>
              <w:tl2br w:val="nil"/>
              <w:tr2bl w:val="nil"/>
            </w:tcBorders>
            <w:vAlign w:val="center"/>
          </w:tcPr>
          <w:p>
            <w:pPr>
              <w:pStyle w:val="496"/>
              <w:rPr>
                <w:rFonts w:ascii="Times New Roman" w:hAnsi="Times New Roman"/>
                <w:color w:val="auto"/>
                <w:sz w:val="21"/>
                <w:highlight w:val="none"/>
              </w:rPr>
            </w:pPr>
          </w:p>
        </w:tc>
        <w:tc>
          <w:tcPr>
            <w:tcW w:w="874" w:type="dxa"/>
            <w:tcBorders>
              <w:tl2br w:val="nil"/>
              <w:tr2bl w:val="nil"/>
            </w:tcBorders>
            <w:vAlign w:val="center"/>
          </w:tcPr>
          <w:p>
            <w:pPr>
              <w:pStyle w:val="496"/>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东侧</w:t>
            </w:r>
          </w:p>
        </w:tc>
        <w:tc>
          <w:tcPr>
            <w:tcW w:w="836" w:type="dxa"/>
            <w:tcBorders>
              <w:tl2br w:val="nil"/>
              <w:tr2bl w:val="nil"/>
            </w:tcBorders>
            <w:vAlign w:val="center"/>
          </w:tcPr>
          <w:p>
            <w:pPr>
              <w:pStyle w:val="496"/>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2470</w:t>
            </w:r>
          </w:p>
        </w:tc>
      </w:tr>
    </w:tbl>
    <w:p>
      <w:pPr>
        <w:keepNext/>
        <w:keepLines/>
        <w:spacing w:line="360" w:lineRule="auto"/>
        <w:outlineLvl w:val="1"/>
        <w:rPr>
          <w:b/>
          <w:bCs/>
          <w:color w:val="auto"/>
          <w:sz w:val="28"/>
          <w:szCs w:val="32"/>
          <w:highlight w:val="none"/>
        </w:rPr>
      </w:pPr>
      <w:bookmarkStart w:id="632" w:name="_Toc367281606"/>
      <w:bookmarkStart w:id="633" w:name="_Toc367282189"/>
      <w:bookmarkStart w:id="634" w:name="_Toc75908724"/>
      <w:bookmarkStart w:id="635" w:name="_Toc21194"/>
      <w:bookmarkStart w:id="636" w:name="_Toc346698516"/>
      <w:bookmarkStart w:id="637" w:name="_Toc322523210"/>
      <w:r>
        <w:rPr>
          <w:b/>
          <w:bCs/>
          <w:color w:val="auto"/>
          <w:sz w:val="28"/>
          <w:szCs w:val="32"/>
          <w:highlight w:val="none"/>
        </w:rPr>
        <w:t>6.3环境风险识别</w:t>
      </w:r>
      <w:bookmarkEnd w:id="632"/>
      <w:bookmarkEnd w:id="633"/>
      <w:bookmarkEnd w:id="634"/>
      <w:bookmarkEnd w:id="635"/>
      <w:bookmarkEnd w:id="636"/>
      <w:bookmarkEnd w:id="637"/>
    </w:p>
    <w:p>
      <w:pPr>
        <w:keepNext/>
        <w:keepLines/>
        <w:spacing w:line="360" w:lineRule="auto"/>
        <w:outlineLvl w:val="2"/>
        <w:rPr>
          <w:b/>
          <w:bCs/>
          <w:color w:val="auto"/>
          <w:sz w:val="24"/>
          <w:highlight w:val="none"/>
        </w:rPr>
      </w:pPr>
      <w:bookmarkStart w:id="638" w:name="_Toc367281607"/>
      <w:bookmarkStart w:id="639" w:name="_Toc332813846"/>
      <w:bookmarkStart w:id="640" w:name="_Toc28370"/>
      <w:bookmarkStart w:id="641" w:name="_Toc312922795"/>
      <w:bookmarkStart w:id="642" w:name="_Toc75908725"/>
      <w:bookmarkStart w:id="643" w:name="_Toc367282190"/>
      <w:bookmarkStart w:id="644" w:name="_Toc346698518"/>
      <w:bookmarkStart w:id="645" w:name="_Toc322523212"/>
      <w:r>
        <w:rPr>
          <w:b/>
          <w:bCs/>
          <w:color w:val="auto"/>
          <w:sz w:val="24"/>
          <w:highlight w:val="none"/>
        </w:rPr>
        <w:t>6.3.1物质危险性识别</w:t>
      </w:r>
      <w:bookmarkEnd w:id="638"/>
      <w:bookmarkEnd w:id="639"/>
      <w:bookmarkEnd w:id="640"/>
      <w:bookmarkEnd w:id="641"/>
      <w:bookmarkEnd w:id="642"/>
      <w:bookmarkEnd w:id="643"/>
    </w:p>
    <w:p>
      <w:pPr>
        <w:spacing w:line="360" w:lineRule="auto"/>
        <w:ind w:firstLine="480" w:firstLineChars="200"/>
        <w:rPr>
          <w:color w:val="auto"/>
          <w:sz w:val="24"/>
          <w:highlight w:val="none"/>
        </w:rPr>
      </w:pPr>
      <w:r>
        <w:rPr>
          <w:color w:val="auto"/>
          <w:sz w:val="24"/>
          <w:highlight w:val="none"/>
        </w:rPr>
        <w:t>项目</w:t>
      </w:r>
      <w:r>
        <w:rPr>
          <w:rFonts w:hint="eastAsia"/>
          <w:color w:val="auto"/>
          <w:sz w:val="24"/>
          <w:highlight w:val="none"/>
          <w:lang w:val="en-US" w:eastAsia="zh-CN"/>
        </w:rPr>
        <w:t>聚丙烯再生塑料颗粒</w:t>
      </w:r>
      <w:r>
        <w:rPr>
          <w:color w:val="auto"/>
          <w:sz w:val="24"/>
          <w:highlight w:val="none"/>
        </w:rPr>
        <w:t>原料及产品塑料</w:t>
      </w:r>
      <w:r>
        <w:rPr>
          <w:rFonts w:hint="eastAsia"/>
          <w:color w:val="auto"/>
          <w:sz w:val="24"/>
          <w:highlight w:val="none"/>
          <w:lang w:val="en-US" w:eastAsia="zh-CN"/>
        </w:rPr>
        <w:t>框</w:t>
      </w:r>
      <w:r>
        <w:rPr>
          <w:color w:val="auto"/>
          <w:sz w:val="24"/>
          <w:highlight w:val="none"/>
        </w:rPr>
        <w:t>具有可燃性，不属于附录B中规定的危险物质。但本项目原料及产品主要成分为聚丙烯，一旦发生火灾，将会产生有毒有害气体。这将对项目造成一定的经济损失，危及周边的企业和居民，且可能引发一系列的次生环境问题。</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根据《建设项目环境风险评价技术导则》（HJ169-2018）附录B进行辨识，项目所涉及的危险物质主要为废机油，其理化性质和危险特性见下表。</w:t>
      </w:r>
    </w:p>
    <w:p>
      <w:pPr>
        <w:widowControl/>
        <w:spacing w:line="360" w:lineRule="auto"/>
        <w:jc w:val="center"/>
        <w:rPr>
          <w:rFonts w:hint="eastAsia"/>
          <w:b/>
          <w:color w:val="auto"/>
          <w:kern w:val="0"/>
          <w:sz w:val="24"/>
          <w:highlight w:val="none"/>
          <w:lang w:val="en-US" w:eastAsia="zh-CN"/>
        </w:rPr>
      </w:pPr>
      <w:r>
        <w:rPr>
          <w:rFonts w:hint="eastAsia"/>
          <w:b/>
          <w:color w:val="auto"/>
          <w:kern w:val="0"/>
          <w:sz w:val="24"/>
          <w:highlight w:val="none"/>
          <w:lang w:val="en-US" w:eastAsia="zh-CN"/>
        </w:rPr>
        <w:t>表6.3-1  废机油的理化性质和危险特性</w:t>
      </w:r>
    </w:p>
    <w:tbl>
      <w:tblPr>
        <w:tblStyle w:val="56"/>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6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物质名称</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外观与性状</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浅黄色黏稠液体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相对密度（水=1）</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闪点，℃</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引燃温度，℃</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凝点，℃</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饱和蒸汽压（KPa）</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0.13（145.8℃）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火灾危险类别</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丙B类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爆炸极限</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无爆炸性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健康危害</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侵入途径：眼睛、皮肤、吸入；急性影响：气体吸入可能会引起上呼吸道刺激；眼睛可能会引起轻微刺激；皮肤长期接触可能会引起脱脂；吞食未知；由于长期接触会使皮肤或呼吸道疾病的人症状加重。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毒性危害</w:t>
            </w:r>
          </w:p>
        </w:tc>
        <w:tc>
          <w:tcPr>
            <w:tcW w:w="651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急性毒性数据无，低毒</w:t>
            </w:r>
          </w:p>
        </w:tc>
      </w:tr>
    </w:tbl>
    <w:p>
      <w:pPr>
        <w:pStyle w:val="21"/>
        <w:rPr>
          <w:rFonts w:hint="default"/>
          <w:color w:val="auto"/>
          <w:highlight w:val="none"/>
          <w:lang w:val="en-US" w:eastAsia="zh-CN"/>
        </w:rPr>
      </w:pPr>
    </w:p>
    <w:p>
      <w:pPr>
        <w:keepNext/>
        <w:keepLines/>
        <w:spacing w:line="360" w:lineRule="auto"/>
        <w:outlineLvl w:val="2"/>
        <w:rPr>
          <w:b/>
          <w:bCs/>
          <w:color w:val="auto"/>
          <w:sz w:val="24"/>
          <w:highlight w:val="none"/>
        </w:rPr>
      </w:pPr>
      <w:bookmarkStart w:id="646" w:name="_Toc367282191"/>
      <w:bookmarkStart w:id="647" w:name="_Toc332813847"/>
      <w:bookmarkStart w:id="648" w:name="_Toc312922796"/>
      <w:bookmarkStart w:id="649" w:name="_Toc75908726"/>
      <w:bookmarkStart w:id="650" w:name="_Toc367281608"/>
      <w:bookmarkStart w:id="651" w:name="_Toc15695"/>
      <w:r>
        <w:rPr>
          <w:b/>
          <w:bCs/>
          <w:color w:val="auto"/>
          <w:sz w:val="24"/>
          <w:highlight w:val="none"/>
        </w:rPr>
        <w:t>6.3.2生产系统危险性识别</w:t>
      </w:r>
      <w:bookmarkEnd w:id="646"/>
      <w:bookmarkEnd w:id="647"/>
      <w:bookmarkEnd w:id="648"/>
      <w:bookmarkEnd w:id="649"/>
      <w:bookmarkEnd w:id="650"/>
      <w:bookmarkEnd w:id="651"/>
    </w:p>
    <w:bookmarkEnd w:id="644"/>
    <w:bookmarkEnd w:id="645"/>
    <w:p>
      <w:pPr>
        <w:spacing w:line="360" w:lineRule="auto"/>
        <w:ind w:firstLine="480" w:firstLineChars="200"/>
        <w:rPr>
          <w:color w:val="auto"/>
          <w:sz w:val="24"/>
          <w:highlight w:val="none"/>
        </w:rPr>
      </w:pPr>
      <w:bookmarkStart w:id="652" w:name="_Toc346698519"/>
      <w:r>
        <w:rPr>
          <w:color w:val="auto"/>
          <w:sz w:val="24"/>
          <w:highlight w:val="none"/>
        </w:rPr>
        <w:t>（1）生产设施风险识别</w:t>
      </w:r>
    </w:p>
    <w:p>
      <w:pPr>
        <w:spacing w:line="360" w:lineRule="auto"/>
        <w:ind w:firstLine="480" w:firstLineChars="200"/>
        <w:rPr>
          <w:color w:val="auto"/>
          <w:sz w:val="24"/>
          <w:highlight w:val="none"/>
        </w:rPr>
      </w:pPr>
      <w:r>
        <w:rPr>
          <w:color w:val="auto"/>
          <w:sz w:val="24"/>
          <w:highlight w:val="none"/>
        </w:rPr>
        <w:t>塑料在生产过程中潜在的危险主要为火灾，塑料</w:t>
      </w:r>
      <w:r>
        <w:rPr>
          <w:color w:val="auto"/>
          <w:kern w:val="0"/>
          <w:sz w:val="24"/>
          <w:highlight w:val="none"/>
        </w:rPr>
        <w:t>燃烧产生的高温、烟尘和有机废气对人畜和环境造成较大危害。</w:t>
      </w:r>
      <w:r>
        <w:rPr>
          <w:color w:val="auto"/>
          <w:sz w:val="24"/>
          <w:highlight w:val="none"/>
        </w:rPr>
        <w:t>项目生产设施风险识别见表6.3-</w:t>
      </w:r>
      <w:r>
        <w:rPr>
          <w:rFonts w:hint="eastAsia"/>
          <w:color w:val="auto"/>
          <w:sz w:val="24"/>
          <w:highlight w:val="none"/>
          <w:lang w:val="en-US" w:eastAsia="zh-CN"/>
        </w:rPr>
        <w:t>2</w:t>
      </w:r>
      <w:r>
        <w:rPr>
          <w:color w:val="auto"/>
          <w:sz w:val="24"/>
          <w:highlight w:val="none"/>
        </w:rPr>
        <w:t>。</w:t>
      </w:r>
    </w:p>
    <w:p>
      <w:pPr>
        <w:widowControl/>
        <w:spacing w:line="360" w:lineRule="auto"/>
        <w:jc w:val="center"/>
        <w:rPr>
          <w:b/>
          <w:color w:val="auto"/>
          <w:kern w:val="0"/>
          <w:sz w:val="24"/>
          <w:highlight w:val="none"/>
        </w:rPr>
      </w:pPr>
      <w:r>
        <w:rPr>
          <w:b/>
          <w:color w:val="auto"/>
          <w:kern w:val="0"/>
          <w:sz w:val="24"/>
          <w:highlight w:val="none"/>
        </w:rPr>
        <w:t>表</w:t>
      </w:r>
      <w:r>
        <w:rPr>
          <w:b/>
          <w:bCs/>
          <w:color w:val="auto"/>
          <w:kern w:val="0"/>
          <w:sz w:val="24"/>
          <w:highlight w:val="none"/>
        </w:rPr>
        <w:t>6.3-</w:t>
      </w:r>
      <w:r>
        <w:rPr>
          <w:rFonts w:hint="eastAsia"/>
          <w:b/>
          <w:bCs/>
          <w:color w:val="auto"/>
          <w:kern w:val="0"/>
          <w:sz w:val="24"/>
          <w:highlight w:val="none"/>
          <w:lang w:val="en-US" w:eastAsia="zh-CN"/>
        </w:rPr>
        <w:t>2</w:t>
      </w:r>
      <w:r>
        <w:rPr>
          <w:b/>
          <w:bCs/>
          <w:color w:val="auto"/>
          <w:kern w:val="0"/>
          <w:sz w:val="24"/>
          <w:highlight w:val="none"/>
        </w:rPr>
        <w:t xml:space="preserve">  </w:t>
      </w:r>
      <w:r>
        <w:rPr>
          <w:b/>
          <w:color w:val="auto"/>
          <w:kern w:val="0"/>
          <w:sz w:val="24"/>
          <w:highlight w:val="none"/>
        </w:rPr>
        <w:t>项目生产设施环境风险因素识别</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659"/>
        <w:gridCol w:w="2062"/>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vAlign w:val="center"/>
          </w:tcPr>
          <w:p>
            <w:pPr>
              <w:widowControl/>
              <w:spacing w:line="360" w:lineRule="auto"/>
              <w:jc w:val="center"/>
              <w:rPr>
                <w:b/>
                <w:color w:val="auto"/>
                <w:kern w:val="0"/>
                <w:szCs w:val="21"/>
                <w:highlight w:val="none"/>
              </w:rPr>
            </w:pPr>
            <w:r>
              <w:rPr>
                <w:b/>
                <w:color w:val="auto"/>
                <w:kern w:val="0"/>
                <w:szCs w:val="21"/>
                <w:highlight w:val="none"/>
              </w:rPr>
              <w:t>序号</w:t>
            </w:r>
          </w:p>
        </w:tc>
        <w:tc>
          <w:tcPr>
            <w:tcW w:w="3659" w:type="dxa"/>
            <w:tcBorders>
              <w:tl2br w:val="nil"/>
              <w:tr2bl w:val="nil"/>
            </w:tcBorders>
            <w:vAlign w:val="center"/>
          </w:tcPr>
          <w:p>
            <w:pPr>
              <w:widowControl/>
              <w:spacing w:line="360" w:lineRule="auto"/>
              <w:jc w:val="center"/>
              <w:rPr>
                <w:rFonts w:hint="eastAsia" w:eastAsia="宋体"/>
                <w:b/>
                <w:color w:val="auto"/>
                <w:kern w:val="0"/>
                <w:szCs w:val="21"/>
                <w:highlight w:val="none"/>
                <w:lang w:eastAsia="zh-CN"/>
              </w:rPr>
            </w:pPr>
            <w:r>
              <w:rPr>
                <w:rFonts w:hint="eastAsia"/>
                <w:b/>
                <w:color w:val="auto"/>
                <w:kern w:val="0"/>
                <w:szCs w:val="21"/>
                <w:highlight w:val="none"/>
                <w:lang w:val="en-US" w:eastAsia="zh-CN"/>
              </w:rPr>
              <w:t>危险源</w:t>
            </w:r>
          </w:p>
        </w:tc>
        <w:tc>
          <w:tcPr>
            <w:tcW w:w="2062" w:type="dxa"/>
            <w:tcBorders>
              <w:tl2br w:val="nil"/>
              <w:tr2bl w:val="nil"/>
            </w:tcBorders>
            <w:vAlign w:val="center"/>
          </w:tcPr>
          <w:p>
            <w:pPr>
              <w:widowControl/>
              <w:spacing w:line="360" w:lineRule="auto"/>
              <w:jc w:val="center"/>
              <w:rPr>
                <w:rFonts w:hint="default"/>
                <w:b/>
                <w:color w:val="auto"/>
                <w:kern w:val="0"/>
                <w:szCs w:val="21"/>
                <w:highlight w:val="none"/>
                <w:lang w:val="en-US" w:eastAsia="zh-CN"/>
              </w:rPr>
            </w:pPr>
            <w:r>
              <w:rPr>
                <w:rFonts w:hint="eastAsia"/>
                <w:b/>
                <w:color w:val="auto"/>
                <w:kern w:val="0"/>
                <w:szCs w:val="21"/>
                <w:highlight w:val="none"/>
                <w:lang w:val="en-US" w:eastAsia="zh-CN"/>
              </w:rPr>
              <w:t>危险物质</w:t>
            </w:r>
          </w:p>
        </w:tc>
        <w:tc>
          <w:tcPr>
            <w:tcW w:w="2096" w:type="dxa"/>
            <w:tcBorders>
              <w:tl2br w:val="nil"/>
              <w:tr2bl w:val="nil"/>
            </w:tcBorders>
            <w:vAlign w:val="center"/>
          </w:tcPr>
          <w:p>
            <w:pPr>
              <w:widowControl/>
              <w:spacing w:line="360" w:lineRule="auto"/>
              <w:jc w:val="center"/>
              <w:rPr>
                <w:b/>
                <w:color w:val="auto"/>
                <w:kern w:val="0"/>
                <w:szCs w:val="21"/>
                <w:highlight w:val="none"/>
              </w:rPr>
            </w:pPr>
            <w:r>
              <w:rPr>
                <w:b/>
                <w:color w:val="auto"/>
                <w:kern w:val="0"/>
                <w:szCs w:val="21"/>
                <w:highlight w:val="none"/>
              </w:rPr>
              <w:t>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vAlign w:val="center"/>
          </w:tcPr>
          <w:p>
            <w:pPr>
              <w:widowControl/>
              <w:spacing w:line="360" w:lineRule="auto"/>
              <w:jc w:val="center"/>
              <w:rPr>
                <w:color w:val="auto"/>
                <w:kern w:val="0"/>
                <w:szCs w:val="21"/>
                <w:highlight w:val="none"/>
              </w:rPr>
            </w:pPr>
            <w:r>
              <w:rPr>
                <w:color w:val="auto"/>
                <w:kern w:val="0"/>
                <w:szCs w:val="21"/>
                <w:highlight w:val="none"/>
              </w:rPr>
              <w:t>1</w:t>
            </w:r>
          </w:p>
        </w:tc>
        <w:tc>
          <w:tcPr>
            <w:tcW w:w="3659" w:type="dxa"/>
            <w:tcBorders>
              <w:tl2br w:val="nil"/>
              <w:tr2bl w:val="nil"/>
            </w:tcBorders>
            <w:vAlign w:val="center"/>
          </w:tcPr>
          <w:p>
            <w:pPr>
              <w:widowControl/>
              <w:spacing w:line="360" w:lineRule="auto"/>
              <w:jc w:val="center"/>
              <w:rPr>
                <w:color w:val="auto"/>
                <w:kern w:val="0"/>
                <w:szCs w:val="21"/>
                <w:highlight w:val="none"/>
              </w:rPr>
            </w:pPr>
            <w:r>
              <w:rPr>
                <w:color w:val="auto"/>
                <w:kern w:val="0"/>
                <w:szCs w:val="21"/>
                <w:highlight w:val="none"/>
              </w:rPr>
              <w:t>储存场所（</w:t>
            </w:r>
            <w:r>
              <w:rPr>
                <w:rFonts w:hint="eastAsia"/>
                <w:color w:val="auto"/>
                <w:kern w:val="0"/>
                <w:szCs w:val="21"/>
                <w:highlight w:val="none"/>
                <w:lang w:val="en-US" w:eastAsia="zh-CN"/>
              </w:rPr>
              <w:t>原料仓库、成品堆存区</w:t>
            </w:r>
            <w:r>
              <w:rPr>
                <w:color w:val="auto"/>
                <w:kern w:val="0"/>
                <w:szCs w:val="21"/>
                <w:highlight w:val="none"/>
              </w:rPr>
              <w:t>）</w:t>
            </w:r>
          </w:p>
        </w:tc>
        <w:tc>
          <w:tcPr>
            <w:tcW w:w="2062" w:type="dxa"/>
            <w:vMerge w:val="restart"/>
            <w:tcBorders>
              <w:tl2br w:val="nil"/>
              <w:tr2bl w:val="nil"/>
            </w:tcBorders>
            <w:vAlign w:val="center"/>
          </w:tcPr>
          <w:p>
            <w:pPr>
              <w:widowControl/>
              <w:spacing w:line="36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塑料颗粒、塑料框</w:t>
            </w:r>
          </w:p>
        </w:tc>
        <w:tc>
          <w:tcPr>
            <w:tcW w:w="2096" w:type="dxa"/>
            <w:tcBorders>
              <w:tl2br w:val="nil"/>
              <w:tr2bl w:val="nil"/>
            </w:tcBorders>
            <w:vAlign w:val="center"/>
          </w:tcPr>
          <w:p>
            <w:pPr>
              <w:widowControl/>
              <w:spacing w:line="360" w:lineRule="auto"/>
              <w:jc w:val="center"/>
              <w:rPr>
                <w:color w:val="auto"/>
                <w:kern w:val="0"/>
                <w:szCs w:val="21"/>
                <w:highlight w:val="none"/>
              </w:rPr>
            </w:pPr>
            <w:r>
              <w:rPr>
                <w:color w:val="auto"/>
                <w:kern w:val="0"/>
                <w:szCs w:val="21"/>
                <w:highlight w:val="none"/>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vAlign w:val="center"/>
          </w:tcPr>
          <w:p>
            <w:pPr>
              <w:widowControl/>
              <w:spacing w:line="360" w:lineRule="auto"/>
              <w:jc w:val="center"/>
              <w:rPr>
                <w:color w:val="auto"/>
                <w:kern w:val="0"/>
                <w:szCs w:val="21"/>
                <w:highlight w:val="none"/>
              </w:rPr>
            </w:pPr>
            <w:r>
              <w:rPr>
                <w:color w:val="auto"/>
                <w:kern w:val="0"/>
                <w:szCs w:val="21"/>
                <w:highlight w:val="none"/>
              </w:rPr>
              <w:t>2</w:t>
            </w:r>
          </w:p>
        </w:tc>
        <w:tc>
          <w:tcPr>
            <w:tcW w:w="3659" w:type="dxa"/>
            <w:tcBorders>
              <w:tl2br w:val="nil"/>
              <w:tr2bl w:val="nil"/>
            </w:tcBorders>
            <w:vAlign w:val="center"/>
          </w:tcPr>
          <w:p>
            <w:pPr>
              <w:widowControl/>
              <w:spacing w:line="360" w:lineRule="auto"/>
              <w:jc w:val="center"/>
              <w:rPr>
                <w:color w:val="auto"/>
                <w:kern w:val="0"/>
                <w:szCs w:val="21"/>
                <w:highlight w:val="none"/>
              </w:rPr>
            </w:pPr>
            <w:r>
              <w:rPr>
                <w:color w:val="auto"/>
                <w:kern w:val="0"/>
                <w:szCs w:val="21"/>
                <w:highlight w:val="none"/>
              </w:rPr>
              <w:t>生产车间</w:t>
            </w:r>
          </w:p>
        </w:tc>
        <w:tc>
          <w:tcPr>
            <w:tcW w:w="2062" w:type="dxa"/>
            <w:vMerge w:val="continue"/>
            <w:tcBorders>
              <w:tl2br w:val="nil"/>
              <w:tr2bl w:val="nil"/>
            </w:tcBorders>
            <w:vAlign w:val="center"/>
          </w:tcPr>
          <w:p>
            <w:pPr>
              <w:widowControl/>
              <w:spacing w:line="360" w:lineRule="auto"/>
              <w:jc w:val="center"/>
              <w:rPr>
                <w:color w:val="auto"/>
                <w:kern w:val="0"/>
                <w:szCs w:val="21"/>
                <w:highlight w:val="none"/>
              </w:rPr>
            </w:pPr>
          </w:p>
        </w:tc>
        <w:tc>
          <w:tcPr>
            <w:tcW w:w="2096" w:type="dxa"/>
            <w:tcBorders>
              <w:tl2br w:val="nil"/>
              <w:tr2bl w:val="nil"/>
            </w:tcBorders>
            <w:vAlign w:val="center"/>
          </w:tcPr>
          <w:p>
            <w:pPr>
              <w:widowControl/>
              <w:spacing w:line="360" w:lineRule="auto"/>
              <w:jc w:val="center"/>
              <w:rPr>
                <w:color w:val="auto"/>
                <w:kern w:val="0"/>
                <w:szCs w:val="21"/>
                <w:highlight w:val="none"/>
              </w:rPr>
            </w:pPr>
            <w:r>
              <w:rPr>
                <w:color w:val="auto"/>
                <w:kern w:val="0"/>
                <w:szCs w:val="21"/>
                <w:highlight w:val="none"/>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vAlign w:val="center"/>
          </w:tcPr>
          <w:p>
            <w:pPr>
              <w:widowControl/>
              <w:spacing w:line="360" w:lineRule="auto"/>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3</w:t>
            </w:r>
          </w:p>
        </w:tc>
        <w:tc>
          <w:tcPr>
            <w:tcW w:w="3659" w:type="dxa"/>
            <w:tcBorders>
              <w:tl2br w:val="nil"/>
              <w:tr2bl w:val="nil"/>
            </w:tcBorders>
            <w:vAlign w:val="center"/>
          </w:tcPr>
          <w:p>
            <w:pPr>
              <w:widowControl/>
              <w:spacing w:line="36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危废暂存间</w:t>
            </w:r>
          </w:p>
        </w:tc>
        <w:tc>
          <w:tcPr>
            <w:tcW w:w="2062" w:type="dxa"/>
            <w:tcBorders>
              <w:tl2br w:val="nil"/>
              <w:tr2bl w:val="nil"/>
            </w:tcBorders>
            <w:vAlign w:val="center"/>
          </w:tcPr>
          <w:p>
            <w:pPr>
              <w:widowControl/>
              <w:spacing w:line="360" w:lineRule="auto"/>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废机油</w:t>
            </w:r>
          </w:p>
        </w:tc>
        <w:tc>
          <w:tcPr>
            <w:tcW w:w="2096" w:type="dxa"/>
            <w:tcBorders>
              <w:tl2br w:val="nil"/>
              <w:tr2bl w:val="nil"/>
            </w:tcBorders>
            <w:vAlign w:val="center"/>
          </w:tcPr>
          <w:p>
            <w:pPr>
              <w:widowControl/>
              <w:spacing w:line="36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泄漏和火灾</w:t>
            </w:r>
          </w:p>
        </w:tc>
      </w:tr>
    </w:tbl>
    <w:p>
      <w:pPr>
        <w:autoSpaceDE w:val="0"/>
        <w:autoSpaceDN w:val="0"/>
        <w:spacing w:line="360" w:lineRule="auto"/>
        <w:ind w:firstLine="480" w:firstLineChars="200"/>
        <w:jc w:val="left"/>
        <w:rPr>
          <w:color w:val="auto"/>
          <w:sz w:val="24"/>
          <w:highlight w:val="none"/>
        </w:rPr>
      </w:pPr>
      <w:r>
        <w:rPr>
          <w:color w:val="auto"/>
          <w:sz w:val="24"/>
          <w:highlight w:val="none"/>
        </w:rPr>
        <w:t>（2）运输过程中的风险分析</w:t>
      </w:r>
    </w:p>
    <w:p>
      <w:pPr>
        <w:autoSpaceDE w:val="0"/>
        <w:autoSpaceDN w:val="0"/>
        <w:spacing w:line="360" w:lineRule="auto"/>
        <w:ind w:firstLine="480" w:firstLineChars="200"/>
        <w:rPr>
          <w:color w:val="auto"/>
          <w:sz w:val="24"/>
          <w:highlight w:val="none"/>
        </w:rPr>
      </w:pPr>
      <w:r>
        <w:rPr>
          <w:rFonts w:hint="eastAsia"/>
          <w:color w:val="auto"/>
          <w:sz w:val="24"/>
          <w:highlight w:val="none"/>
        </w:rPr>
        <w:t>外购的原料</w:t>
      </w:r>
      <w:r>
        <w:rPr>
          <w:color w:val="auto"/>
          <w:sz w:val="24"/>
          <w:highlight w:val="none"/>
        </w:rPr>
        <w:t>在运输回厂区过程中，存在交通事故风险。如发生交通事故，</w:t>
      </w:r>
      <w:r>
        <w:rPr>
          <w:rFonts w:hint="eastAsia"/>
          <w:color w:val="auto"/>
          <w:sz w:val="24"/>
          <w:highlight w:val="none"/>
          <w:lang w:val="en-US" w:eastAsia="zh-CN"/>
        </w:rPr>
        <w:t>聚丙烯再生树脂颗粒</w:t>
      </w:r>
      <w:r>
        <w:rPr>
          <w:color w:val="auto"/>
          <w:sz w:val="24"/>
          <w:highlight w:val="none"/>
        </w:rPr>
        <w:t>散落到水体、公路上，若不能及时回收，将造成一定的环境污染。另外，如果由于交通事故而造成起火，将对大气环境造成污染，</w:t>
      </w:r>
      <w:r>
        <w:rPr>
          <w:rFonts w:hint="eastAsia"/>
          <w:color w:val="auto"/>
          <w:sz w:val="24"/>
          <w:highlight w:val="none"/>
          <w:lang w:val="en-US" w:eastAsia="zh-CN"/>
        </w:rPr>
        <w:t>聚丙烯再生树脂颗粒</w:t>
      </w:r>
      <w:r>
        <w:rPr>
          <w:color w:val="auto"/>
          <w:sz w:val="24"/>
          <w:highlight w:val="none"/>
        </w:rPr>
        <w:t>燃烧产生的高温、烟尘和有机废气也会对人畜和环境造成较大影响。</w:t>
      </w:r>
    </w:p>
    <w:p>
      <w:pPr>
        <w:keepNext/>
        <w:keepLines/>
        <w:spacing w:line="360" w:lineRule="auto"/>
        <w:outlineLvl w:val="2"/>
        <w:rPr>
          <w:b/>
          <w:bCs/>
          <w:color w:val="auto"/>
          <w:sz w:val="24"/>
          <w:highlight w:val="none"/>
        </w:rPr>
      </w:pPr>
      <w:bookmarkStart w:id="653" w:name="_Toc75908727"/>
      <w:bookmarkStart w:id="654" w:name="_Toc4873"/>
      <w:r>
        <w:rPr>
          <w:b/>
          <w:bCs/>
          <w:color w:val="auto"/>
          <w:sz w:val="24"/>
          <w:highlight w:val="none"/>
        </w:rPr>
        <w:t>6.3.3风险识别结果</w:t>
      </w:r>
      <w:bookmarkEnd w:id="653"/>
      <w:bookmarkEnd w:id="654"/>
    </w:p>
    <w:p>
      <w:pPr>
        <w:autoSpaceDE w:val="0"/>
        <w:autoSpaceDN w:val="0"/>
        <w:spacing w:line="360" w:lineRule="auto"/>
        <w:ind w:firstLine="480" w:firstLineChars="200"/>
        <w:jc w:val="left"/>
        <w:rPr>
          <w:rFonts w:hint="default" w:eastAsia="宋体"/>
          <w:color w:val="auto"/>
          <w:sz w:val="24"/>
          <w:highlight w:val="none"/>
          <w:lang w:val="en-US" w:eastAsia="zh-CN"/>
        </w:rPr>
      </w:pPr>
      <w:r>
        <w:rPr>
          <w:color w:val="auto"/>
          <w:sz w:val="24"/>
          <w:highlight w:val="none"/>
        </w:rPr>
        <w:t>本项目主要风险事故为危废暂存间废机油发生泄漏造成土壤、地表水及地下水的污染，废机油发生火灾、爆炸伴生/次生污染物排放。</w:t>
      </w:r>
    </w:p>
    <w:p>
      <w:pPr>
        <w:autoSpaceDE w:val="0"/>
        <w:autoSpaceDN w:val="0"/>
        <w:spacing w:line="360" w:lineRule="auto"/>
        <w:ind w:firstLine="480" w:firstLineChars="200"/>
        <w:jc w:val="left"/>
        <w:rPr>
          <w:color w:val="auto"/>
          <w:sz w:val="24"/>
          <w:highlight w:val="none"/>
        </w:rPr>
      </w:pPr>
      <w:r>
        <w:rPr>
          <w:rFonts w:hint="eastAsia"/>
          <w:color w:val="auto"/>
          <w:sz w:val="24"/>
          <w:highlight w:val="none"/>
        </w:rPr>
        <w:t>原料</w:t>
      </w:r>
      <w:r>
        <w:rPr>
          <w:rFonts w:hint="eastAsia"/>
          <w:color w:val="auto"/>
          <w:sz w:val="24"/>
          <w:highlight w:val="none"/>
          <w:lang w:val="en-US" w:eastAsia="zh-CN"/>
        </w:rPr>
        <w:t>塑料颗粒</w:t>
      </w:r>
      <w:r>
        <w:rPr>
          <w:color w:val="auto"/>
          <w:sz w:val="24"/>
          <w:highlight w:val="none"/>
        </w:rPr>
        <w:t>、</w:t>
      </w:r>
      <w:r>
        <w:rPr>
          <w:rFonts w:hint="eastAsia"/>
          <w:color w:val="auto"/>
          <w:sz w:val="24"/>
          <w:highlight w:val="none"/>
        </w:rPr>
        <w:t>成品</w:t>
      </w:r>
      <w:r>
        <w:rPr>
          <w:color w:val="auto"/>
          <w:sz w:val="24"/>
          <w:highlight w:val="none"/>
        </w:rPr>
        <w:t>塑料</w:t>
      </w:r>
      <w:r>
        <w:rPr>
          <w:rFonts w:hint="eastAsia"/>
          <w:color w:val="auto"/>
          <w:sz w:val="24"/>
          <w:highlight w:val="none"/>
          <w:lang w:val="en-US" w:eastAsia="zh-CN"/>
        </w:rPr>
        <w:t>框</w:t>
      </w:r>
      <w:r>
        <w:rPr>
          <w:color w:val="auto"/>
          <w:sz w:val="24"/>
          <w:highlight w:val="none"/>
        </w:rPr>
        <w:t>等在贮运和加工生产过程中操作不当引起火灾事故及伴随产生的有毒废气。</w:t>
      </w:r>
    </w:p>
    <w:bookmarkEnd w:id="652"/>
    <w:p>
      <w:pPr>
        <w:keepNext/>
        <w:keepLines/>
        <w:spacing w:line="360" w:lineRule="auto"/>
        <w:outlineLvl w:val="1"/>
        <w:rPr>
          <w:b/>
          <w:bCs/>
          <w:color w:val="auto"/>
          <w:sz w:val="28"/>
          <w:szCs w:val="32"/>
          <w:highlight w:val="none"/>
        </w:rPr>
      </w:pPr>
      <w:bookmarkStart w:id="655" w:name="_Toc75908728"/>
      <w:bookmarkStart w:id="656" w:name="_Toc532819598"/>
      <w:bookmarkStart w:id="657" w:name="_Toc367281612"/>
      <w:bookmarkStart w:id="658" w:name="_Toc4989"/>
      <w:bookmarkStart w:id="659" w:name="_Toc367282195"/>
      <w:bookmarkStart w:id="660" w:name="_Toc346698520"/>
      <w:r>
        <w:rPr>
          <w:b/>
          <w:bCs/>
          <w:color w:val="auto"/>
          <w:sz w:val="28"/>
          <w:szCs w:val="32"/>
          <w:highlight w:val="none"/>
        </w:rPr>
        <w:t>6.4环境风险分析</w:t>
      </w:r>
      <w:bookmarkEnd w:id="655"/>
      <w:bookmarkEnd w:id="656"/>
      <w:bookmarkEnd w:id="657"/>
      <w:bookmarkEnd w:id="658"/>
      <w:bookmarkEnd w:id="659"/>
      <w:bookmarkEnd w:id="660"/>
    </w:p>
    <w:p>
      <w:pPr>
        <w:spacing w:line="360" w:lineRule="auto"/>
        <w:ind w:firstLine="482" w:firstLineChars="200"/>
        <w:rPr>
          <w:b/>
          <w:bCs/>
          <w:color w:val="auto"/>
          <w:sz w:val="24"/>
          <w:highlight w:val="none"/>
        </w:rPr>
      </w:pPr>
      <w:r>
        <w:rPr>
          <w:b/>
          <w:bCs/>
          <w:color w:val="auto"/>
          <w:sz w:val="24"/>
          <w:highlight w:val="none"/>
        </w:rPr>
        <w:t>1、大气环境风险分析</w:t>
      </w:r>
    </w:p>
    <w:p>
      <w:pPr>
        <w:spacing w:line="360" w:lineRule="auto"/>
        <w:ind w:firstLine="480" w:firstLineChars="200"/>
        <w:rPr>
          <w:color w:val="auto"/>
          <w:sz w:val="24"/>
          <w:highlight w:val="none"/>
        </w:rPr>
      </w:pPr>
      <w:r>
        <w:rPr>
          <w:color w:val="auto"/>
          <w:sz w:val="24"/>
          <w:highlight w:val="none"/>
        </w:rPr>
        <w:t>根据《建设项目环境风险评价技术导则》（HJ/T169-2018）要求，大气环境风险简单分析应定性分析说明大气环境影响后果。因此，本次评价仅进行定性分析，不做预测分析。</w:t>
      </w:r>
    </w:p>
    <w:p>
      <w:pPr>
        <w:spacing w:line="360" w:lineRule="auto"/>
        <w:ind w:firstLine="480" w:firstLineChars="200"/>
        <w:rPr>
          <w:color w:val="auto"/>
          <w:sz w:val="24"/>
          <w:highlight w:val="none"/>
        </w:rPr>
      </w:pPr>
      <w:r>
        <w:rPr>
          <w:color w:val="auto"/>
          <w:sz w:val="24"/>
          <w:highlight w:val="none"/>
        </w:rPr>
        <w:t>本项目废机油、原料及产品遇高温明火可发生燃烧。如营运期安全措施不到位，极易引发火灾事故和污染事故。一般火灾事故会造成较大的人身财产安全，在物料燃烧过程中会造成大气环境污染。燃烧过程中会产生如CO、烟尘等有毒有害气体。CO在大气中比较稳定，不易与其他物质产生化学反应，但当CO浓度过高时，人在这种环境下待的时间较长，就会出现晕眩、头痛、怠倦的现象，CO对人的主要危害就是引起组织缺氧，导致急性或者慢性中毒甚至有死亡的威胁。此外，CO还可能造成听力与视力的损害，比如视野的减小或者听力的丧失。二氧化碳对环境影响主要为温室效应。</w:t>
      </w:r>
    </w:p>
    <w:p>
      <w:pPr>
        <w:spacing w:line="360" w:lineRule="auto"/>
        <w:ind w:firstLine="480" w:firstLineChars="200"/>
        <w:rPr>
          <w:color w:val="auto"/>
          <w:sz w:val="24"/>
          <w:highlight w:val="none"/>
        </w:rPr>
      </w:pPr>
      <w:r>
        <w:rPr>
          <w:color w:val="auto"/>
          <w:sz w:val="24"/>
          <w:highlight w:val="none"/>
        </w:rPr>
        <w:t>因此，本次环评要求，建设单位</w:t>
      </w:r>
      <w:r>
        <w:rPr>
          <w:rFonts w:hint="eastAsia"/>
          <w:color w:val="auto"/>
          <w:sz w:val="24"/>
          <w:highlight w:val="none"/>
          <w:lang w:val="en-US" w:eastAsia="zh-CN"/>
        </w:rPr>
        <w:t>运营期应认真</w:t>
      </w:r>
      <w:r>
        <w:rPr>
          <w:color w:val="auto"/>
          <w:sz w:val="24"/>
          <w:highlight w:val="none"/>
        </w:rPr>
        <w:t>落实风险防范措施，</w:t>
      </w:r>
      <w:r>
        <w:rPr>
          <w:rFonts w:hint="eastAsia"/>
          <w:color w:val="auto"/>
          <w:sz w:val="24"/>
          <w:highlight w:val="none"/>
          <w:lang w:val="en-US" w:eastAsia="zh-CN"/>
        </w:rPr>
        <w:t>通过设置禁止吸烟、禁止明火等标志，加强员工安全防火意识，按照消防要求设置灭火器等相应防火应急措施后，发生风险概率很小，项目大气环境风险可控，对大气环境影响是可以接受的。</w:t>
      </w:r>
    </w:p>
    <w:p>
      <w:pPr>
        <w:spacing w:line="360" w:lineRule="auto"/>
        <w:ind w:firstLine="482" w:firstLineChars="200"/>
        <w:rPr>
          <w:b/>
          <w:bCs/>
          <w:color w:val="auto"/>
          <w:sz w:val="24"/>
          <w:highlight w:val="none"/>
        </w:rPr>
      </w:pPr>
      <w:r>
        <w:rPr>
          <w:b/>
          <w:bCs/>
          <w:color w:val="auto"/>
          <w:sz w:val="24"/>
          <w:highlight w:val="none"/>
        </w:rPr>
        <w:t>2、地表水环境风险分析</w:t>
      </w:r>
    </w:p>
    <w:p>
      <w:pPr>
        <w:spacing w:line="360" w:lineRule="auto"/>
        <w:ind w:firstLine="480" w:firstLineChars="200"/>
        <w:rPr>
          <w:color w:val="auto"/>
          <w:sz w:val="24"/>
          <w:highlight w:val="none"/>
        </w:rPr>
      </w:pPr>
      <w:r>
        <w:rPr>
          <w:color w:val="auto"/>
          <w:sz w:val="24"/>
          <w:highlight w:val="none"/>
        </w:rPr>
        <w:t>根据《建设项目环境风险评价技术导则》（HJ/T169-2018）要求，本次地表水环境风险评价仅定性分析，不做预测</w:t>
      </w:r>
      <w:r>
        <w:rPr>
          <w:rFonts w:hint="eastAsia"/>
          <w:color w:val="auto"/>
          <w:sz w:val="24"/>
          <w:highlight w:val="none"/>
          <w:lang w:val="en-US" w:eastAsia="zh-CN"/>
        </w:rPr>
        <w:t>分析</w:t>
      </w:r>
      <w:r>
        <w:rPr>
          <w:color w:val="auto"/>
          <w:sz w:val="24"/>
          <w:highlight w:val="none"/>
        </w:rPr>
        <w:t>。</w:t>
      </w:r>
    </w:p>
    <w:p>
      <w:pPr>
        <w:spacing w:line="360" w:lineRule="auto"/>
        <w:ind w:firstLine="480" w:firstLineChars="200"/>
        <w:rPr>
          <w:color w:val="auto"/>
          <w:sz w:val="24"/>
          <w:highlight w:val="none"/>
        </w:rPr>
      </w:pPr>
      <w:r>
        <w:rPr>
          <w:color w:val="auto"/>
          <w:sz w:val="24"/>
          <w:highlight w:val="none"/>
        </w:rPr>
        <w:t>项目运营过程中，</w:t>
      </w:r>
      <w:r>
        <w:rPr>
          <w:rFonts w:hint="eastAsia"/>
          <w:color w:val="auto"/>
          <w:sz w:val="24"/>
          <w:highlight w:val="none"/>
          <w:lang w:val="en-US" w:eastAsia="zh-CN"/>
        </w:rPr>
        <w:t>危废暂存间暂存的废机油一旦发生泄漏进入水体，将会对水质造成一定的影响，浓度较高时会导致水体中动植物死亡，造成地表水污染。项目周边汇水范围为项目东侧1035m的三月三水库，废机油储存量不大，采用专用桶收集存放，不易发生泄漏。</w:t>
      </w:r>
      <w:r>
        <w:rPr>
          <w:color w:val="auto"/>
          <w:sz w:val="24"/>
          <w:highlight w:val="none"/>
        </w:rPr>
        <w:t>为了防止废机油桶发生侧翻时桶内废机油漫流，考虑到废机油储存量小，本次环评要求在废机油储存区</w:t>
      </w:r>
      <w:r>
        <w:rPr>
          <w:rFonts w:hint="eastAsia"/>
          <w:color w:val="auto"/>
          <w:sz w:val="24"/>
          <w:highlight w:val="none"/>
          <w:lang w:val="en-US" w:eastAsia="zh-CN"/>
        </w:rPr>
        <w:t>设置不小于废机油储存量容积的铁质托盘，用于收集泄漏后的废机油，</w:t>
      </w:r>
      <w:r>
        <w:rPr>
          <w:color w:val="auto"/>
          <w:sz w:val="24"/>
          <w:highlight w:val="none"/>
        </w:rPr>
        <w:t>能够满足项目区内废机油最大储存量（0.02t）均发生侧翻泄漏时的废机油储存</w:t>
      </w:r>
      <w:r>
        <w:rPr>
          <w:rFonts w:hint="eastAsia"/>
          <w:color w:val="auto"/>
          <w:sz w:val="24"/>
          <w:highlight w:val="none"/>
          <w:lang w:eastAsia="zh-CN"/>
        </w:rPr>
        <w:t>。</w:t>
      </w:r>
      <w:r>
        <w:rPr>
          <w:rFonts w:hint="eastAsia"/>
          <w:color w:val="auto"/>
          <w:sz w:val="24"/>
          <w:highlight w:val="none"/>
          <w:lang w:val="en-US" w:eastAsia="zh-CN"/>
        </w:rPr>
        <w:t>危废暂存间根据相关要求进行防渗、防雨等，泄漏控制在危废暂存间内。发生火灾后及时采取应急措施，封堵雨水排口，将消防废水引至项目区化粪池内，及时由建设单位清运至寻甸县水质净化厂，不会排入三月三水库。综上，项目在采取相应应急措施后，风险可控，</w:t>
      </w:r>
      <w:r>
        <w:rPr>
          <w:color w:val="auto"/>
          <w:sz w:val="24"/>
          <w:highlight w:val="none"/>
        </w:rPr>
        <w:t>对周围地表水环境影响小。</w:t>
      </w:r>
    </w:p>
    <w:p>
      <w:pPr>
        <w:spacing w:line="360" w:lineRule="auto"/>
        <w:ind w:firstLine="482" w:firstLineChars="200"/>
        <w:rPr>
          <w:b/>
          <w:bCs/>
          <w:color w:val="auto"/>
          <w:sz w:val="24"/>
          <w:highlight w:val="none"/>
        </w:rPr>
      </w:pPr>
      <w:r>
        <w:rPr>
          <w:b/>
          <w:bCs/>
          <w:color w:val="auto"/>
          <w:sz w:val="24"/>
          <w:highlight w:val="none"/>
        </w:rPr>
        <w:t>3、地下水环境风险分析</w:t>
      </w:r>
    </w:p>
    <w:p>
      <w:pPr>
        <w:spacing w:line="360" w:lineRule="auto"/>
        <w:ind w:firstLine="480" w:firstLineChars="200"/>
        <w:rPr>
          <w:color w:val="auto"/>
          <w:sz w:val="24"/>
          <w:highlight w:val="none"/>
        </w:rPr>
      </w:pPr>
      <w:r>
        <w:rPr>
          <w:color w:val="auto"/>
          <w:sz w:val="24"/>
          <w:highlight w:val="none"/>
        </w:rPr>
        <w:t>根据《建设项目环境风险评价技术导则》（HJ/T169-2018）要求，本次地</w:t>
      </w:r>
      <w:r>
        <w:rPr>
          <w:rFonts w:hint="eastAsia"/>
          <w:color w:val="auto"/>
          <w:sz w:val="24"/>
          <w:highlight w:val="none"/>
          <w:lang w:val="en-US" w:eastAsia="zh-CN"/>
        </w:rPr>
        <w:t>下水</w:t>
      </w:r>
      <w:r>
        <w:rPr>
          <w:color w:val="auto"/>
          <w:sz w:val="24"/>
          <w:highlight w:val="none"/>
        </w:rPr>
        <w:t>环境风险评价仅定性分析，不做预测</w:t>
      </w:r>
      <w:r>
        <w:rPr>
          <w:rFonts w:hint="eastAsia"/>
          <w:color w:val="auto"/>
          <w:sz w:val="24"/>
          <w:highlight w:val="none"/>
          <w:lang w:val="en-US" w:eastAsia="zh-CN"/>
        </w:rPr>
        <w:t>分析</w:t>
      </w:r>
      <w:r>
        <w:rPr>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lang w:val="en-US" w:eastAsia="zh-CN"/>
        </w:rPr>
        <w:t>项目废机油一旦发生泄漏事故，若防渗措施不到位，有可能渗入土壤，最终会引起地下水污染。本次环评提出，危废暂存间应采取重点防渗措施，</w:t>
      </w:r>
      <w:r>
        <w:rPr>
          <w:color w:val="auto"/>
          <w:sz w:val="24"/>
          <w:highlight w:val="none"/>
        </w:rPr>
        <w:t>项目危废暂存间（含围堰）严格按照GB18597-20</w:t>
      </w:r>
      <w:r>
        <w:rPr>
          <w:rFonts w:hint="eastAsia"/>
          <w:color w:val="auto"/>
          <w:sz w:val="24"/>
          <w:highlight w:val="none"/>
          <w:lang w:val="en-US" w:eastAsia="zh-CN"/>
        </w:rPr>
        <w:t>23</w:t>
      </w:r>
      <w:r>
        <w:rPr>
          <w:color w:val="auto"/>
          <w:sz w:val="24"/>
          <w:highlight w:val="none"/>
        </w:rPr>
        <w:t>《危险废物贮存污染控制标准》进行建设，在现有的水泥硬化基础上新增2</w:t>
      </w:r>
      <w:r>
        <w:rPr>
          <w:color w:val="auto"/>
          <w:sz w:val="24"/>
          <w:szCs w:val="24"/>
          <w:highlight w:val="none"/>
        </w:rPr>
        <w:t>.0mmHDPE膜</w:t>
      </w:r>
      <w:r>
        <w:rPr>
          <w:color w:val="auto"/>
          <w:sz w:val="24"/>
          <w:highlight w:val="none"/>
        </w:rPr>
        <w:t>进行防渗，使其地面达到渗透系数≤1×10</w:t>
      </w:r>
      <w:r>
        <w:rPr>
          <w:color w:val="auto"/>
          <w:sz w:val="24"/>
          <w:highlight w:val="none"/>
          <w:vertAlign w:val="superscript"/>
        </w:rPr>
        <w:t>-10</w:t>
      </w:r>
      <w:r>
        <w:rPr>
          <w:color w:val="auto"/>
          <w:sz w:val="24"/>
          <w:highlight w:val="none"/>
        </w:rPr>
        <w:t>cm/s的防渗性能。</w:t>
      </w:r>
      <w:r>
        <w:rPr>
          <w:rFonts w:hint="eastAsia"/>
          <w:color w:val="auto"/>
          <w:sz w:val="24"/>
          <w:highlight w:val="none"/>
          <w:lang w:val="en-US" w:eastAsia="zh-CN"/>
        </w:rPr>
        <w:t>若发生泄漏，应派专人及时对其处理，并应做好工作人员的防护。在采取本次环评提出的措施后，可保证危险物质在泄漏事故情况下不会直接进入土壤环境从而渗入地下水污染地下水。发生泄漏后若立即采取有效措施，影响是短时间的，环境风险是可控的，</w:t>
      </w:r>
      <w:r>
        <w:rPr>
          <w:color w:val="auto"/>
          <w:sz w:val="24"/>
          <w:highlight w:val="none"/>
        </w:rPr>
        <w:t>对周围地下水环境影响小。</w:t>
      </w:r>
    </w:p>
    <w:p>
      <w:pPr>
        <w:keepNext/>
        <w:keepLines/>
        <w:spacing w:line="360" w:lineRule="auto"/>
        <w:outlineLvl w:val="1"/>
        <w:rPr>
          <w:b/>
          <w:bCs/>
          <w:color w:val="auto"/>
          <w:sz w:val="28"/>
          <w:szCs w:val="32"/>
          <w:highlight w:val="none"/>
        </w:rPr>
      </w:pPr>
      <w:bookmarkStart w:id="661" w:name="_Toc367282199"/>
      <w:bookmarkStart w:id="662" w:name="_Toc346698522"/>
      <w:bookmarkStart w:id="663" w:name="_Toc75908729"/>
      <w:bookmarkStart w:id="664" w:name="_Toc367281616"/>
      <w:bookmarkStart w:id="665" w:name="_Toc32173"/>
      <w:r>
        <w:rPr>
          <w:b/>
          <w:bCs/>
          <w:color w:val="auto"/>
          <w:sz w:val="28"/>
          <w:szCs w:val="32"/>
          <w:highlight w:val="none"/>
        </w:rPr>
        <w:t>6.5环境风险防范措施及应急要求</w:t>
      </w:r>
      <w:bookmarkEnd w:id="661"/>
      <w:bookmarkEnd w:id="662"/>
      <w:bookmarkEnd w:id="663"/>
      <w:bookmarkEnd w:id="664"/>
      <w:bookmarkEnd w:id="665"/>
    </w:p>
    <w:p>
      <w:pPr>
        <w:spacing w:line="360" w:lineRule="auto"/>
        <w:ind w:firstLine="480" w:firstLineChars="200"/>
        <w:rPr>
          <w:bCs/>
          <w:color w:val="auto"/>
          <w:sz w:val="24"/>
          <w:highlight w:val="none"/>
        </w:rPr>
      </w:pPr>
      <w:bookmarkStart w:id="666" w:name="_Toc322523223"/>
      <w:bookmarkStart w:id="667" w:name="_Toc259130476"/>
      <w:bookmarkStart w:id="668" w:name="_Toc259104881"/>
      <w:bookmarkStart w:id="669" w:name="_Toc259129109"/>
      <w:bookmarkStart w:id="670" w:name="_Toc259104201"/>
      <w:bookmarkStart w:id="671" w:name="_Toc278630087"/>
      <w:r>
        <w:rPr>
          <w:bCs/>
          <w:color w:val="auto"/>
          <w:sz w:val="24"/>
          <w:highlight w:val="none"/>
        </w:rPr>
        <w:t>针对本项目可能产生的风险类别，建设单位应考虑采取一系列防范措施，为进一步减少风险事故可能产生的环境影响，建议在采取预防措施基础上加强以下风险防范和管理措施。</w:t>
      </w:r>
    </w:p>
    <w:p>
      <w:pPr>
        <w:keepNext/>
        <w:keepLines/>
        <w:spacing w:line="360" w:lineRule="auto"/>
        <w:outlineLvl w:val="2"/>
        <w:rPr>
          <w:b/>
          <w:bCs/>
          <w:color w:val="auto"/>
          <w:sz w:val="24"/>
          <w:highlight w:val="none"/>
        </w:rPr>
      </w:pPr>
      <w:bookmarkStart w:id="672" w:name="_Toc346698523"/>
      <w:bookmarkStart w:id="673" w:name="_Toc367282200"/>
      <w:bookmarkStart w:id="674" w:name="_Toc367281617"/>
      <w:bookmarkStart w:id="675" w:name="_Toc27431"/>
      <w:bookmarkStart w:id="676" w:name="_Toc75908730"/>
      <w:r>
        <w:rPr>
          <w:b/>
          <w:bCs/>
          <w:color w:val="auto"/>
          <w:sz w:val="24"/>
          <w:highlight w:val="none"/>
        </w:rPr>
        <w:t>6.5.</w:t>
      </w:r>
      <w:bookmarkEnd w:id="672"/>
      <w:bookmarkEnd w:id="673"/>
      <w:bookmarkEnd w:id="674"/>
      <w:r>
        <w:rPr>
          <w:b/>
          <w:bCs/>
          <w:color w:val="auto"/>
          <w:sz w:val="24"/>
          <w:highlight w:val="none"/>
        </w:rPr>
        <w:t>1风险防范措施</w:t>
      </w:r>
      <w:bookmarkEnd w:id="675"/>
      <w:bookmarkEnd w:id="676"/>
    </w:p>
    <w:p>
      <w:pPr>
        <w:spacing w:line="360" w:lineRule="auto"/>
        <w:ind w:firstLine="480" w:firstLineChars="200"/>
        <w:rPr>
          <w:bCs/>
          <w:color w:val="auto"/>
          <w:sz w:val="24"/>
          <w:highlight w:val="none"/>
        </w:rPr>
      </w:pPr>
      <w:r>
        <w:rPr>
          <w:bCs/>
          <w:color w:val="auto"/>
          <w:sz w:val="24"/>
          <w:highlight w:val="none"/>
        </w:rPr>
        <w:t>根据国家环保部的相关要求，通过对污染事故的风险评价，各有关企业单位应加强安全生产管理，制订重大环境事故发生的应急工作计划，消除事故隐患的实施及突发性事故应急办法等。</w:t>
      </w:r>
    </w:p>
    <w:p>
      <w:pPr>
        <w:spacing w:line="360" w:lineRule="auto"/>
        <w:ind w:firstLine="480" w:firstLineChars="200"/>
        <w:rPr>
          <w:bCs/>
          <w:color w:val="auto"/>
          <w:sz w:val="24"/>
          <w:highlight w:val="none"/>
        </w:rPr>
      </w:pPr>
      <w:r>
        <w:rPr>
          <w:bCs/>
          <w:color w:val="auto"/>
          <w:sz w:val="24"/>
          <w:highlight w:val="none"/>
        </w:rPr>
        <w:t>围绕风险物质的运输、储存及使用过程存在风险进行管理，具体措施有：</w:t>
      </w:r>
    </w:p>
    <w:p>
      <w:pPr>
        <w:spacing w:line="360" w:lineRule="auto"/>
        <w:ind w:firstLine="482" w:firstLineChars="200"/>
        <w:rPr>
          <w:b/>
          <w:color w:val="auto"/>
          <w:sz w:val="24"/>
          <w:highlight w:val="none"/>
        </w:rPr>
      </w:pPr>
      <w:r>
        <w:rPr>
          <w:b/>
          <w:color w:val="auto"/>
          <w:sz w:val="24"/>
          <w:highlight w:val="none"/>
        </w:rPr>
        <w:t>1、运输过程的环境风险防范措施</w:t>
      </w:r>
    </w:p>
    <w:p>
      <w:pPr>
        <w:spacing w:line="360" w:lineRule="auto"/>
        <w:ind w:firstLine="480" w:firstLineChars="200"/>
        <w:rPr>
          <w:bCs/>
          <w:color w:val="auto"/>
          <w:sz w:val="24"/>
          <w:highlight w:val="none"/>
        </w:rPr>
      </w:pPr>
      <w:r>
        <w:rPr>
          <w:bCs/>
          <w:color w:val="auto"/>
          <w:sz w:val="24"/>
          <w:highlight w:val="none"/>
        </w:rPr>
        <w:t>建设单位加大宣传力度和提出要求，在</w:t>
      </w:r>
      <w:r>
        <w:rPr>
          <w:rFonts w:hint="eastAsia"/>
          <w:bCs/>
          <w:color w:val="auto"/>
          <w:sz w:val="24"/>
          <w:highlight w:val="none"/>
        </w:rPr>
        <w:t>原料</w:t>
      </w:r>
      <w:r>
        <w:rPr>
          <w:bCs/>
          <w:color w:val="auto"/>
          <w:sz w:val="24"/>
          <w:highlight w:val="none"/>
        </w:rPr>
        <w:t>运至项目区过程应包装牢固并压制打捆。在输送环节上尽可能的减少人为的不安全行为，如不遵守交通规则，误操作等。最大程度减少交通</w:t>
      </w:r>
      <w:r>
        <w:rPr>
          <w:rFonts w:hint="eastAsia"/>
          <w:bCs/>
          <w:color w:val="auto"/>
          <w:sz w:val="24"/>
          <w:highlight w:val="none"/>
          <w:lang w:eastAsia="zh-CN"/>
        </w:rPr>
        <w:t>事故</w:t>
      </w:r>
      <w:r>
        <w:rPr>
          <w:bCs/>
          <w:color w:val="auto"/>
          <w:sz w:val="24"/>
          <w:highlight w:val="none"/>
        </w:rPr>
        <w:t>导致</w:t>
      </w:r>
      <w:r>
        <w:rPr>
          <w:rFonts w:hint="eastAsia"/>
          <w:bCs/>
          <w:color w:val="auto"/>
          <w:sz w:val="24"/>
          <w:highlight w:val="none"/>
          <w:lang w:val="en-US" w:eastAsia="zh-CN"/>
        </w:rPr>
        <w:t>聚丙烯再生树脂颗粒</w:t>
      </w:r>
      <w:r>
        <w:rPr>
          <w:bCs/>
          <w:color w:val="auto"/>
          <w:sz w:val="24"/>
          <w:highlight w:val="none"/>
        </w:rPr>
        <w:t>散落或引起火灾的可能，同时输送车辆配有专门的防火设施，以防发生事故时风险的扩大。</w:t>
      </w:r>
    </w:p>
    <w:p>
      <w:pPr>
        <w:spacing w:line="360" w:lineRule="auto"/>
        <w:ind w:firstLine="482" w:firstLineChars="200"/>
        <w:rPr>
          <w:b/>
          <w:color w:val="auto"/>
          <w:sz w:val="24"/>
          <w:highlight w:val="none"/>
        </w:rPr>
      </w:pPr>
      <w:r>
        <w:rPr>
          <w:b/>
          <w:color w:val="auto"/>
          <w:sz w:val="24"/>
          <w:highlight w:val="none"/>
        </w:rPr>
        <w:t>2、储存、使用过程的环境风险防范措施</w:t>
      </w:r>
    </w:p>
    <w:p>
      <w:pPr>
        <w:spacing w:line="360" w:lineRule="auto"/>
        <w:ind w:firstLine="480" w:firstLineChars="200"/>
        <w:rPr>
          <w:bCs/>
          <w:color w:val="auto"/>
          <w:sz w:val="24"/>
          <w:highlight w:val="none"/>
        </w:rPr>
      </w:pPr>
      <w:r>
        <w:rPr>
          <w:bCs/>
          <w:color w:val="auto"/>
          <w:sz w:val="24"/>
          <w:highlight w:val="none"/>
        </w:rPr>
        <w:t>（1）原料、产品贮存区设置明确禁止烟火标识；</w:t>
      </w:r>
    </w:p>
    <w:p>
      <w:pPr>
        <w:spacing w:line="360" w:lineRule="auto"/>
        <w:ind w:firstLine="480" w:firstLineChars="200"/>
        <w:rPr>
          <w:bCs/>
          <w:color w:val="auto"/>
          <w:sz w:val="24"/>
          <w:highlight w:val="none"/>
        </w:rPr>
      </w:pPr>
      <w:r>
        <w:rPr>
          <w:bCs/>
          <w:color w:val="auto"/>
          <w:sz w:val="24"/>
          <w:highlight w:val="none"/>
        </w:rPr>
        <w:t>（2）严格控制原料、产品在场内的贮存量。</w:t>
      </w:r>
    </w:p>
    <w:p>
      <w:pPr>
        <w:spacing w:line="360" w:lineRule="auto"/>
        <w:ind w:firstLine="480" w:firstLineChars="200"/>
        <w:rPr>
          <w:bCs/>
          <w:color w:val="auto"/>
          <w:sz w:val="24"/>
          <w:highlight w:val="none"/>
        </w:rPr>
      </w:pPr>
      <w:r>
        <w:rPr>
          <w:bCs/>
          <w:color w:val="auto"/>
          <w:sz w:val="24"/>
          <w:highlight w:val="none"/>
        </w:rPr>
        <w:t>（3）实行安全检查制度，各类安全设施、消防器材，进行各种日常的、定期的、专业的防火安全检查，并将发现的问题定人、限期落实整改。</w:t>
      </w:r>
    </w:p>
    <w:p>
      <w:pPr>
        <w:spacing w:line="360" w:lineRule="auto"/>
        <w:ind w:firstLine="480" w:firstLineChars="200"/>
        <w:rPr>
          <w:bCs/>
          <w:color w:val="auto"/>
          <w:sz w:val="24"/>
          <w:highlight w:val="none"/>
        </w:rPr>
      </w:pPr>
      <w:r>
        <w:rPr>
          <w:bCs/>
          <w:color w:val="auto"/>
          <w:sz w:val="24"/>
          <w:highlight w:val="none"/>
        </w:rPr>
        <w:t>（4）制定各种操作规范，加强监督管理，严格看管检查制度，避免事故的发生。</w:t>
      </w:r>
    </w:p>
    <w:p>
      <w:pPr>
        <w:spacing w:line="360" w:lineRule="auto"/>
        <w:ind w:firstLine="480" w:firstLineChars="200"/>
        <w:rPr>
          <w:bCs/>
          <w:color w:val="auto"/>
          <w:sz w:val="24"/>
          <w:highlight w:val="none"/>
        </w:rPr>
      </w:pPr>
      <w:r>
        <w:rPr>
          <w:bCs/>
          <w:color w:val="auto"/>
          <w:sz w:val="24"/>
          <w:highlight w:val="none"/>
        </w:rPr>
        <w:t>（5）制定、落实事故风险应急预案和环境监测计划。</w:t>
      </w:r>
    </w:p>
    <w:p>
      <w:pPr>
        <w:spacing w:line="360" w:lineRule="auto"/>
        <w:ind w:firstLine="482" w:firstLineChars="200"/>
        <w:rPr>
          <w:b/>
          <w:color w:val="auto"/>
          <w:sz w:val="24"/>
          <w:highlight w:val="none"/>
        </w:rPr>
      </w:pPr>
      <w:r>
        <w:rPr>
          <w:b/>
          <w:color w:val="auto"/>
          <w:sz w:val="24"/>
          <w:highlight w:val="none"/>
        </w:rPr>
        <w:t>3、</w:t>
      </w:r>
      <w:r>
        <w:rPr>
          <w:rFonts w:hint="eastAsia"/>
          <w:b/>
          <w:color w:val="auto"/>
          <w:sz w:val="24"/>
          <w:highlight w:val="none"/>
          <w:lang w:val="en-US" w:eastAsia="zh-CN"/>
        </w:rPr>
        <w:t>危险废物</w:t>
      </w:r>
      <w:r>
        <w:rPr>
          <w:b/>
          <w:color w:val="auto"/>
          <w:sz w:val="24"/>
          <w:highlight w:val="none"/>
        </w:rPr>
        <w:t>防范措施</w:t>
      </w:r>
    </w:p>
    <w:p>
      <w:pPr>
        <w:spacing w:line="360" w:lineRule="auto"/>
        <w:ind w:firstLine="480" w:firstLineChars="200"/>
        <w:rPr>
          <w:bCs/>
          <w:color w:val="auto"/>
          <w:sz w:val="24"/>
          <w:highlight w:val="none"/>
        </w:rPr>
      </w:pPr>
      <w:r>
        <w:rPr>
          <w:bCs/>
          <w:color w:val="auto"/>
          <w:sz w:val="24"/>
          <w:highlight w:val="none"/>
        </w:rPr>
        <w:t>（1）</w:t>
      </w:r>
      <w:r>
        <w:rPr>
          <w:rFonts w:hint="eastAsia"/>
          <w:bCs/>
          <w:color w:val="auto"/>
          <w:sz w:val="24"/>
          <w:highlight w:val="none"/>
          <w:lang w:val="en-US" w:eastAsia="zh-CN"/>
        </w:rPr>
        <w:t>危险废物</w:t>
      </w:r>
      <w:r>
        <w:rPr>
          <w:bCs/>
          <w:color w:val="auto"/>
          <w:sz w:val="24"/>
          <w:highlight w:val="none"/>
        </w:rPr>
        <w:t>必须按规定设置警示标志，分类管理，分类存放；配备必要的危险品事故防范和应急技术装备。</w:t>
      </w:r>
    </w:p>
    <w:p>
      <w:pPr>
        <w:spacing w:line="360" w:lineRule="auto"/>
        <w:ind w:firstLine="480" w:firstLineChars="200"/>
        <w:rPr>
          <w:bCs/>
          <w:color w:val="auto"/>
          <w:sz w:val="24"/>
          <w:highlight w:val="none"/>
        </w:rPr>
      </w:pPr>
      <w:r>
        <w:rPr>
          <w:bCs/>
          <w:color w:val="auto"/>
          <w:sz w:val="24"/>
          <w:highlight w:val="none"/>
        </w:rPr>
        <w:t>（2）根据消防部门的要求配置泡沫灭火器等消防设施。</w:t>
      </w:r>
    </w:p>
    <w:p>
      <w:pPr>
        <w:spacing w:line="360" w:lineRule="auto"/>
        <w:ind w:firstLine="480" w:firstLineChars="200"/>
        <w:rPr>
          <w:bCs/>
          <w:color w:val="auto"/>
          <w:sz w:val="24"/>
          <w:highlight w:val="none"/>
        </w:rPr>
      </w:pPr>
      <w:r>
        <w:rPr>
          <w:bCs/>
          <w:color w:val="auto"/>
          <w:sz w:val="24"/>
          <w:highlight w:val="none"/>
        </w:rPr>
        <w:t>（3）严格按照《建筑设计防火规范》（GB50016-2014）等标准规范进行设计。</w:t>
      </w:r>
    </w:p>
    <w:p>
      <w:pPr>
        <w:spacing w:line="360" w:lineRule="auto"/>
        <w:ind w:firstLine="480" w:firstLineChars="200"/>
        <w:rPr>
          <w:bCs/>
          <w:color w:val="auto"/>
          <w:sz w:val="24"/>
          <w:highlight w:val="none"/>
        </w:rPr>
      </w:pPr>
      <w:r>
        <w:rPr>
          <w:bCs/>
          <w:color w:val="auto"/>
          <w:sz w:val="24"/>
          <w:highlight w:val="none"/>
        </w:rPr>
        <w:t>（4）危废暂存间地面</w:t>
      </w:r>
      <w:r>
        <w:rPr>
          <w:color w:val="auto"/>
          <w:sz w:val="24"/>
          <w:szCs w:val="24"/>
          <w:highlight w:val="none"/>
        </w:rPr>
        <w:t>在现有的水泥硬化基础上新增2.0mmHDPE膜</w:t>
      </w:r>
      <w:r>
        <w:rPr>
          <w:bCs/>
          <w:color w:val="auto"/>
          <w:sz w:val="24"/>
          <w:highlight w:val="none"/>
        </w:rPr>
        <w:t>进行防渗，使其地面、围堰区达到渗透系数≤1×10</w:t>
      </w:r>
      <w:r>
        <w:rPr>
          <w:bCs/>
          <w:color w:val="auto"/>
          <w:sz w:val="24"/>
          <w:highlight w:val="none"/>
          <w:vertAlign w:val="superscript"/>
        </w:rPr>
        <w:t>-10</w:t>
      </w:r>
      <w:r>
        <w:rPr>
          <w:bCs/>
          <w:color w:val="auto"/>
          <w:sz w:val="24"/>
          <w:highlight w:val="none"/>
        </w:rPr>
        <w:t>cm/s的防渗性能。</w:t>
      </w:r>
    </w:p>
    <w:p>
      <w:pPr>
        <w:spacing w:line="360" w:lineRule="auto"/>
        <w:ind w:firstLine="480" w:firstLineChars="200"/>
        <w:rPr>
          <w:bCs/>
          <w:color w:val="auto"/>
          <w:sz w:val="24"/>
          <w:highlight w:val="none"/>
        </w:rPr>
      </w:pPr>
      <w:r>
        <w:rPr>
          <w:bCs/>
          <w:color w:val="auto"/>
          <w:sz w:val="24"/>
          <w:highlight w:val="none"/>
        </w:rPr>
        <w:t>（5）危废暂存间内废机油暂存区域设置</w:t>
      </w:r>
      <w:r>
        <w:rPr>
          <w:rFonts w:hint="eastAsia"/>
          <w:color w:val="auto"/>
          <w:sz w:val="24"/>
          <w:highlight w:val="none"/>
          <w:lang w:val="en-US" w:eastAsia="zh-CN"/>
        </w:rPr>
        <w:t>不小于废机油储存量容积的铁质托盘，用于收集泄漏后的废机油</w:t>
      </w:r>
      <w:r>
        <w:rPr>
          <w:bCs/>
          <w:color w:val="auto"/>
          <w:sz w:val="24"/>
          <w:highlight w:val="none"/>
        </w:rPr>
        <w:t>。</w:t>
      </w:r>
    </w:p>
    <w:p>
      <w:pPr>
        <w:spacing w:line="360" w:lineRule="auto"/>
        <w:ind w:firstLine="480" w:firstLineChars="200"/>
        <w:rPr>
          <w:bCs/>
          <w:color w:val="auto"/>
          <w:sz w:val="24"/>
          <w:highlight w:val="none"/>
        </w:rPr>
      </w:pPr>
      <w:r>
        <w:rPr>
          <w:bCs/>
          <w:color w:val="auto"/>
          <w:sz w:val="24"/>
          <w:highlight w:val="none"/>
        </w:rPr>
        <w:t>（6）盛装废机油容器上必须贴相应的危险废物标志。危险废物贮存设施都必须按环境保护图形《固体废物贮存（处置）场》（GB15562.2-1995）的规定设置警示标志。</w:t>
      </w:r>
    </w:p>
    <w:p>
      <w:pPr>
        <w:spacing w:line="360" w:lineRule="auto"/>
        <w:ind w:firstLine="480" w:firstLineChars="200"/>
        <w:rPr>
          <w:bCs/>
          <w:color w:val="auto"/>
          <w:sz w:val="24"/>
          <w:highlight w:val="none"/>
        </w:rPr>
      </w:pPr>
      <w:r>
        <w:rPr>
          <w:bCs/>
          <w:color w:val="auto"/>
          <w:sz w:val="24"/>
          <w:highlight w:val="none"/>
        </w:rPr>
        <w:t>（7）设置危险固废管理台账，</w:t>
      </w:r>
      <w:r>
        <w:rPr>
          <w:rFonts w:hint="eastAsia"/>
          <w:bCs/>
          <w:color w:val="auto"/>
          <w:sz w:val="24"/>
          <w:highlight w:val="none"/>
          <w:lang w:val="en-US" w:eastAsia="zh-CN"/>
        </w:rPr>
        <w:t>办理转移联单。</w:t>
      </w:r>
      <w:r>
        <w:rPr>
          <w:bCs/>
          <w:color w:val="auto"/>
          <w:sz w:val="24"/>
          <w:highlight w:val="none"/>
        </w:rPr>
        <w:t>如实记载</w:t>
      </w:r>
      <w:r>
        <w:rPr>
          <w:rFonts w:hint="eastAsia"/>
          <w:bCs/>
          <w:color w:val="auto"/>
          <w:sz w:val="24"/>
          <w:highlight w:val="none"/>
          <w:lang w:val="en-US" w:eastAsia="zh-CN"/>
        </w:rPr>
        <w:t>危险废物</w:t>
      </w:r>
      <w:r>
        <w:rPr>
          <w:bCs/>
          <w:color w:val="auto"/>
          <w:sz w:val="24"/>
          <w:highlight w:val="none"/>
        </w:rPr>
        <w:t>的来源、数量、特性、包装容器类别、入库日期、存放库位。贮存期间，定期对存储容器进行检查，及时更换破损容器。</w:t>
      </w:r>
    </w:p>
    <w:p>
      <w:pPr>
        <w:keepNext/>
        <w:keepLines/>
        <w:spacing w:line="360" w:lineRule="auto"/>
        <w:outlineLvl w:val="2"/>
        <w:rPr>
          <w:b/>
          <w:bCs/>
          <w:color w:val="auto"/>
          <w:sz w:val="24"/>
          <w:highlight w:val="none"/>
        </w:rPr>
      </w:pPr>
      <w:bookmarkStart w:id="677" w:name="_Toc4741"/>
      <w:bookmarkStart w:id="678" w:name="_Toc75908731"/>
      <w:bookmarkStart w:id="679" w:name="_Toc346698524"/>
      <w:bookmarkStart w:id="680" w:name="_Toc367282201"/>
      <w:bookmarkStart w:id="681" w:name="_Toc367281618"/>
      <w:r>
        <w:rPr>
          <w:b/>
          <w:bCs/>
          <w:color w:val="auto"/>
          <w:sz w:val="24"/>
          <w:highlight w:val="none"/>
        </w:rPr>
        <w:t>6.5.2应急预案</w:t>
      </w:r>
      <w:bookmarkEnd w:id="666"/>
      <w:bookmarkEnd w:id="667"/>
      <w:bookmarkEnd w:id="668"/>
      <w:bookmarkEnd w:id="669"/>
      <w:bookmarkEnd w:id="670"/>
      <w:bookmarkEnd w:id="671"/>
      <w:bookmarkEnd w:id="677"/>
      <w:bookmarkEnd w:id="678"/>
      <w:bookmarkEnd w:id="679"/>
      <w:bookmarkEnd w:id="680"/>
      <w:bookmarkEnd w:id="681"/>
    </w:p>
    <w:p>
      <w:pPr>
        <w:spacing w:line="360" w:lineRule="auto"/>
        <w:ind w:firstLine="480" w:firstLineChars="200"/>
        <w:rPr>
          <w:bCs/>
          <w:color w:val="auto"/>
          <w:sz w:val="24"/>
          <w:highlight w:val="none"/>
        </w:rPr>
      </w:pPr>
      <w:bookmarkStart w:id="682" w:name="_Toc259104882"/>
      <w:bookmarkStart w:id="683" w:name="_Toc278630088"/>
      <w:bookmarkStart w:id="684" w:name="_Toc322523224"/>
      <w:bookmarkStart w:id="685" w:name="_Toc259130477"/>
      <w:bookmarkStart w:id="686" w:name="_Toc259129110"/>
      <w:bookmarkStart w:id="687" w:name="_Toc259104202"/>
      <w:r>
        <w:rPr>
          <w:bCs/>
          <w:color w:val="auto"/>
          <w:sz w:val="24"/>
          <w:highlight w:val="none"/>
        </w:rPr>
        <w:t>对于项目主要风险（主要是火灾事故</w:t>
      </w:r>
      <w:r>
        <w:rPr>
          <w:rFonts w:hint="eastAsia"/>
          <w:bCs/>
          <w:color w:val="auto"/>
          <w:sz w:val="24"/>
          <w:highlight w:val="none"/>
          <w:lang w:eastAsia="zh-CN"/>
        </w:rPr>
        <w:t>、</w:t>
      </w:r>
      <w:r>
        <w:rPr>
          <w:rFonts w:hint="eastAsia"/>
          <w:bCs/>
          <w:color w:val="auto"/>
          <w:sz w:val="24"/>
          <w:highlight w:val="none"/>
          <w:lang w:val="en-US" w:eastAsia="zh-CN"/>
        </w:rPr>
        <w:t>泄漏事故</w:t>
      </w:r>
      <w:r>
        <w:rPr>
          <w:bCs/>
          <w:color w:val="auto"/>
          <w:sz w:val="24"/>
          <w:highlight w:val="none"/>
        </w:rPr>
        <w:t>），制定应急响应方案，建立应急反应体系，事件一旦发生，可迅速加以控制，使危害和损失降低到尽可能低的程度。</w:t>
      </w:r>
    </w:p>
    <w:p>
      <w:pPr>
        <w:spacing w:line="360" w:lineRule="auto"/>
        <w:ind w:firstLine="480" w:firstLineChars="200"/>
        <w:rPr>
          <w:b/>
          <w:bCs/>
          <w:color w:val="auto"/>
          <w:sz w:val="24"/>
          <w:highlight w:val="none"/>
        </w:rPr>
      </w:pPr>
      <w:r>
        <w:rPr>
          <w:bCs/>
          <w:color w:val="auto"/>
          <w:sz w:val="24"/>
          <w:highlight w:val="none"/>
        </w:rPr>
        <w:t>作为事故风险防范和应急对策的重要组成部分，应急组织机构应制定应急计划，其基本内容应包括应急组织、应急设施（设备器材）、</w:t>
      </w:r>
      <w:r>
        <w:rPr>
          <w:rFonts w:hint="eastAsia"/>
          <w:bCs/>
          <w:color w:val="auto"/>
          <w:sz w:val="24"/>
          <w:highlight w:val="none"/>
          <w:lang w:eastAsia="zh-CN"/>
        </w:rPr>
        <w:t>应急通信</w:t>
      </w:r>
      <w:r>
        <w:rPr>
          <w:bCs/>
          <w:color w:val="auto"/>
          <w:sz w:val="24"/>
          <w:highlight w:val="none"/>
        </w:rPr>
        <w:t>联络、应急监测、应急安全保卫、应急撤离措施、应急救援、应急状态终止、事故后果评价、应急报告等。建设单位应根据本项目实际情况，结合相关规范制定应急预案，具体内容见表6.5-1。</w:t>
      </w:r>
    </w:p>
    <w:p>
      <w:pPr>
        <w:spacing w:line="360" w:lineRule="auto"/>
        <w:jc w:val="center"/>
        <w:rPr>
          <w:b/>
          <w:bCs/>
          <w:color w:val="auto"/>
          <w:sz w:val="24"/>
          <w:highlight w:val="none"/>
        </w:rPr>
      </w:pPr>
      <w:r>
        <w:rPr>
          <w:b/>
          <w:bCs/>
          <w:color w:val="auto"/>
          <w:sz w:val="24"/>
          <w:highlight w:val="none"/>
        </w:rPr>
        <w:t>表6.5-1  应急预案内容</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543"/>
        <w:gridCol w:w="6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7" w:type="dxa"/>
            <w:tcBorders>
              <w:tl2br w:val="nil"/>
              <w:tr2bl w:val="nil"/>
            </w:tcBorders>
            <w:vAlign w:val="center"/>
          </w:tcPr>
          <w:p>
            <w:pPr>
              <w:jc w:val="center"/>
              <w:rPr>
                <w:b/>
                <w:color w:val="auto"/>
                <w:szCs w:val="21"/>
                <w:highlight w:val="none"/>
              </w:rPr>
            </w:pPr>
            <w:r>
              <w:rPr>
                <w:b/>
                <w:color w:val="auto"/>
                <w:szCs w:val="21"/>
                <w:highlight w:val="none"/>
              </w:rPr>
              <w:t>序号</w:t>
            </w:r>
          </w:p>
        </w:tc>
        <w:tc>
          <w:tcPr>
            <w:tcW w:w="1543" w:type="dxa"/>
            <w:tcBorders>
              <w:tl2br w:val="nil"/>
              <w:tr2bl w:val="nil"/>
            </w:tcBorders>
            <w:vAlign w:val="center"/>
          </w:tcPr>
          <w:p>
            <w:pPr>
              <w:jc w:val="center"/>
              <w:rPr>
                <w:b/>
                <w:color w:val="auto"/>
                <w:szCs w:val="21"/>
                <w:highlight w:val="none"/>
              </w:rPr>
            </w:pPr>
            <w:r>
              <w:rPr>
                <w:b/>
                <w:color w:val="auto"/>
                <w:szCs w:val="21"/>
                <w:highlight w:val="none"/>
              </w:rPr>
              <w:t>项目</w:t>
            </w:r>
          </w:p>
        </w:tc>
        <w:tc>
          <w:tcPr>
            <w:tcW w:w="6309" w:type="dxa"/>
            <w:tcBorders>
              <w:tl2br w:val="nil"/>
              <w:tr2bl w:val="nil"/>
            </w:tcBorders>
            <w:vAlign w:val="center"/>
          </w:tcPr>
          <w:p>
            <w:pPr>
              <w:jc w:val="center"/>
              <w:rPr>
                <w:b/>
                <w:color w:val="auto"/>
                <w:szCs w:val="21"/>
                <w:highlight w:val="none"/>
              </w:rPr>
            </w:pPr>
            <w:r>
              <w:rPr>
                <w:b/>
                <w:color w:val="auto"/>
                <w:szCs w:val="21"/>
                <w:highlight w:val="none"/>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1</w:t>
            </w:r>
          </w:p>
        </w:tc>
        <w:tc>
          <w:tcPr>
            <w:tcW w:w="1543" w:type="dxa"/>
            <w:tcBorders>
              <w:tl2br w:val="nil"/>
              <w:tr2bl w:val="nil"/>
            </w:tcBorders>
            <w:vAlign w:val="center"/>
          </w:tcPr>
          <w:p>
            <w:pPr>
              <w:jc w:val="center"/>
              <w:rPr>
                <w:color w:val="auto"/>
                <w:szCs w:val="21"/>
                <w:highlight w:val="none"/>
              </w:rPr>
            </w:pPr>
            <w:r>
              <w:rPr>
                <w:color w:val="auto"/>
                <w:szCs w:val="21"/>
                <w:highlight w:val="none"/>
              </w:rPr>
              <w:t>应急计划区</w:t>
            </w:r>
          </w:p>
        </w:tc>
        <w:tc>
          <w:tcPr>
            <w:tcW w:w="6309" w:type="dxa"/>
            <w:tcBorders>
              <w:tl2br w:val="nil"/>
              <w:tr2bl w:val="nil"/>
            </w:tcBorders>
            <w:vAlign w:val="center"/>
          </w:tcPr>
          <w:p>
            <w:pPr>
              <w:rPr>
                <w:color w:val="auto"/>
                <w:szCs w:val="21"/>
                <w:highlight w:val="none"/>
              </w:rPr>
            </w:pPr>
            <w:r>
              <w:rPr>
                <w:color w:val="auto"/>
                <w:szCs w:val="21"/>
                <w:highlight w:val="none"/>
              </w:rPr>
              <w:t>危险目标：生产车间、原料</w:t>
            </w:r>
            <w:r>
              <w:rPr>
                <w:rFonts w:hint="eastAsia"/>
                <w:color w:val="auto"/>
                <w:szCs w:val="21"/>
                <w:highlight w:val="none"/>
                <w:lang w:val="en-US" w:eastAsia="zh-CN"/>
              </w:rPr>
              <w:t>仓库</w:t>
            </w:r>
            <w:r>
              <w:rPr>
                <w:color w:val="auto"/>
                <w:szCs w:val="21"/>
                <w:highlight w:val="none"/>
              </w:rPr>
              <w:t>、</w:t>
            </w:r>
            <w:r>
              <w:rPr>
                <w:rFonts w:hint="eastAsia"/>
                <w:color w:val="auto"/>
                <w:szCs w:val="21"/>
                <w:highlight w:val="none"/>
                <w:lang w:eastAsia="zh-CN"/>
              </w:rPr>
              <w:t>成品堆存区</w:t>
            </w:r>
            <w:r>
              <w:rPr>
                <w:rFonts w:hint="eastAsia"/>
                <w:color w:val="auto"/>
                <w:szCs w:val="21"/>
                <w:highlight w:val="no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2</w:t>
            </w:r>
          </w:p>
        </w:tc>
        <w:tc>
          <w:tcPr>
            <w:tcW w:w="1543" w:type="dxa"/>
            <w:tcBorders>
              <w:tl2br w:val="nil"/>
              <w:tr2bl w:val="nil"/>
            </w:tcBorders>
            <w:vAlign w:val="center"/>
          </w:tcPr>
          <w:p>
            <w:pPr>
              <w:jc w:val="center"/>
              <w:rPr>
                <w:color w:val="auto"/>
                <w:szCs w:val="21"/>
                <w:highlight w:val="none"/>
              </w:rPr>
            </w:pPr>
            <w:r>
              <w:rPr>
                <w:color w:val="auto"/>
                <w:szCs w:val="21"/>
                <w:highlight w:val="none"/>
              </w:rPr>
              <w:t>应急组织结构、人员</w:t>
            </w:r>
          </w:p>
        </w:tc>
        <w:tc>
          <w:tcPr>
            <w:tcW w:w="6309" w:type="dxa"/>
            <w:tcBorders>
              <w:tl2br w:val="nil"/>
              <w:tr2bl w:val="nil"/>
            </w:tcBorders>
            <w:vAlign w:val="center"/>
          </w:tcPr>
          <w:p>
            <w:pPr>
              <w:autoSpaceDE w:val="0"/>
              <w:autoSpaceDN w:val="0"/>
              <w:jc w:val="left"/>
              <w:rPr>
                <w:color w:val="auto"/>
                <w:szCs w:val="21"/>
                <w:highlight w:val="none"/>
              </w:rPr>
            </w:pPr>
            <w:r>
              <w:rPr>
                <w:color w:val="auto"/>
                <w:kern w:val="0"/>
                <w:szCs w:val="21"/>
                <w:highlight w:val="none"/>
              </w:rPr>
              <w:t>以厂区为主体，各主要负责人为应急计划、协调第一人，应急人员必须为培训上岗熟练工；区域应急组织结构由当地政府、相关行业专家、卫生安全相关单位组成，并由当地政府进行统一调度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3</w:t>
            </w:r>
          </w:p>
        </w:tc>
        <w:tc>
          <w:tcPr>
            <w:tcW w:w="1543" w:type="dxa"/>
            <w:tcBorders>
              <w:tl2br w:val="nil"/>
              <w:tr2bl w:val="nil"/>
            </w:tcBorders>
            <w:vAlign w:val="center"/>
          </w:tcPr>
          <w:p>
            <w:pPr>
              <w:jc w:val="center"/>
              <w:rPr>
                <w:color w:val="auto"/>
                <w:szCs w:val="21"/>
                <w:highlight w:val="none"/>
              </w:rPr>
            </w:pPr>
            <w:r>
              <w:rPr>
                <w:color w:val="auto"/>
                <w:szCs w:val="21"/>
                <w:highlight w:val="none"/>
              </w:rPr>
              <w:t>预案分级</w:t>
            </w:r>
          </w:p>
          <w:p>
            <w:pPr>
              <w:jc w:val="center"/>
              <w:rPr>
                <w:color w:val="auto"/>
                <w:szCs w:val="21"/>
                <w:highlight w:val="none"/>
              </w:rPr>
            </w:pPr>
            <w:r>
              <w:rPr>
                <w:color w:val="auto"/>
                <w:szCs w:val="21"/>
                <w:highlight w:val="none"/>
              </w:rPr>
              <w:t>响应条件</w:t>
            </w:r>
          </w:p>
        </w:tc>
        <w:tc>
          <w:tcPr>
            <w:tcW w:w="6309" w:type="dxa"/>
            <w:tcBorders>
              <w:tl2br w:val="nil"/>
              <w:tr2bl w:val="nil"/>
            </w:tcBorders>
            <w:vAlign w:val="center"/>
          </w:tcPr>
          <w:p>
            <w:pPr>
              <w:rPr>
                <w:color w:val="auto"/>
                <w:szCs w:val="21"/>
                <w:highlight w:val="none"/>
              </w:rPr>
            </w:pPr>
            <w:r>
              <w:rPr>
                <w:color w:val="auto"/>
                <w:szCs w:val="21"/>
                <w:highlight w:val="none"/>
              </w:rPr>
              <w:t>根据事故的严重程度制定相应级别的应急预案，以及适合相应情况的处理措施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4</w:t>
            </w:r>
          </w:p>
        </w:tc>
        <w:tc>
          <w:tcPr>
            <w:tcW w:w="1543" w:type="dxa"/>
            <w:tcBorders>
              <w:tl2br w:val="nil"/>
              <w:tr2bl w:val="nil"/>
            </w:tcBorders>
            <w:vAlign w:val="center"/>
          </w:tcPr>
          <w:p>
            <w:pPr>
              <w:jc w:val="center"/>
              <w:rPr>
                <w:color w:val="auto"/>
                <w:szCs w:val="21"/>
                <w:highlight w:val="none"/>
              </w:rPr>
            </w:pPr>
            <w:r>
              <w:rPr>
                <w:color w:val="auto"/>
                <w:szCs w:val="21"/>
                <w:highlight w:val="none"/>
              </w:rPr>
              <w:t>应急救援保障</w:t>
            </w:r>
          </w:p>
        </w:tc>
        <w:tc>
          <w:tcPr>
            <w:tcW w:w="6309" w:type="dxa"/>
            <w:tcBorders>
              <w:tl2br w:val="nil"/>
              <w:tr2bl w:val="nil"/>
            </w:tcBorders>
            <w:vAlign w:val="center"/>
          </w:tcPr>
          <w:p>
            <w:pPr>
              <w:rPr>
                <w:color w:val="auto"/>
                <w:szCs w:val="21"/>
                <w:highlight w:val="none"/>
              </w:rPr>
            </w:pPr>
            <w:r>
              <w:rPr>
                <w:color w:val="auto"/>
                <w:szCs w:val="21"/>
                <w:highlight w:val="none"/>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5</w:t>
            </w:r>
          </w:p>
        </w:tc>
        <w:tc>
          <w:tcPr>
            <w:tcW w:w="1543" w:type="dxa"/>
            <w:tcBorders>
              <w:tl2br w:val="nil"/>
              <w:tr2bl w:val="nil"/>
            </w:tcBorders>
            <w:vAlign w:val="center"/>
          </w:tcPr>
          <w:p>
            <w:pPr>
              <w:jc w:val="center"/>
              <w:rPr>
                <w:color w:val="auto"/>
                <w:szCs w:val="21"/>
                <w:highlight w:val="none"/>
              </w:rPr>
            </w:pPr>
            <w:r>
              <w:rPr>
                <w:color w:val="auto"/>
                <w:szCs w:val="21"/>
                <w:highlight w:val="none"/>
              </w:rPr>
              <w:t>报警、通讯</w:t>
            </w:r>
          </w:p>
          <w:p>
            <w:pPr>
              <w:jc w:val="center"/>
              <w:rPr>
                <w:color w:val="auto"/>
                <w:szCs w:val="21"/>
                <w:highlight w:val="none"/>
              </w:rPr>
            </w:pPr>
            <w:r>
              <w:rPr>
                <w:color w:val="auto"/>
                <w:szCs w:val="21"/>
                <w:highlight w:val="none"/>
              </w:rPr>
              <w:t>联络方式</w:t>
            </w:r>
          </w:p>
        </w:tc>
        <w:tc>
          <w:tcPr>
            <w:tcW w:w="6309" w:type="dxa"/>
            <w:tcBorders>
              <w:tl2br w:val="nil"/>
              <w:tr2bl w:val="nil"/>
            </w:tcBorders>
            <w:vAlign w:val="center"/>
          </w:tcPr>
          <w:p>
            <w:pPr>
              <w:autoSpaceDE w:val="0"/>
              <w:autoSpaceDN w:val="0"/>
              <w:jc w:val="left"/>
              <w:rPr>
                <w:color w:val="auto"/>
                <w:szCs w:val="21"/>
                <w:highlight w:val="none"/>
              </w:rPr>
            </w:pPr>
            <w:r>
              <w:rPr>
                <w:color w:val="auto"/>
                <w:szCs w:val="21"/>
                <w:highlight w:val="none"/>
              </w:rPr>
              <w:t>逐一细化应急状态下各主要负责单位的</w:t>
            </w:r>
            <w:r>
              <w:rPr>
                <w:rFonts w:hint="eastAsia"/>
                <w:color w:val="auto"/>
                <w:szCs w:val="21"/>
                <w:highlight w:val="none"/>
                <w:lang w:eastAsia="zh-CN"/>
              </w:rPr>
              <w:t>报警通信</w:t>
            </w:r>
            <w:r>
              <w:rPr>
                <w:color w:val="auto"/>
                <w:szCs w:val="21"/>
                <w:highlight w:val="none"/>
              </w:rPr>
              <w:t>方式、地点、电话号码以及相关配套的交通保障、管制、消防</w:t>
            </w:r>
            <w:r>
              <w:rPr>
                <w:color w:val="auto"/>
                <w:kern w:val="0"/>
                <w:szCs w:val="21"/>
                <w:highlight w:val="none"/>
              </w:rPr>
              <w:t>、环境保护部门联络方法，及时通报事故处理情况，以获得区域性支援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6</w:t>
            </w:r>
          </w:p>
        </w:tc>
        <w:tc>
          <w:tcPr>
            <w:tcW w:w="1543" w:type="dxa"/>
            <w:tcBorders>
              <w:tl2br w:val="nil"/>
              <w:tr2bl w:val="nil"/>
            </w:tcBorders>
            <w:vAlign w:val="center"/>
          </w:tcPr>
          <w:p>
            <w:pPr>
              <w:jc w:val="center"/>
              <w:rPr>
                <w:color w:val="auto"/>
                <w:szCs w:val="21"/>
                <w:highlight w:val="none"/>
              </w:rPr>
            </w:pPr>
            <w:r>
              <w:rPr>
                <w:color w:val="auto"/>
                <w:szCs w:val="21"/>
                <w:highlight w:val="none"/>
              </w:rPr>
              <w:t>应急环境监测、抢险、救援控制措施</w:t>
            </w:r>
          </w:p>
        </w:tc>
        <w:tc>
          <w:tcPr>
            <w:tcW w:w="6309" w:type="dxa"/>
            <w:tcBorders>
              <w:tl2br w:val="nil"/>
              <w:tr2bl w:val="nil"/>
            </w:tcBorders>
            <w:vAlign w:val="center"/>
          </w:tcPr>
          <w:p>
            <w:pPr>
              <w:rPr>
                <w:color w:val="auto"/>
                <w:szCs w:val="21"/>
                <w:highlight w:val="none"/>
              </w:rPr>
            </w:pPr>
            <w:r>
              <w:rPr>
                <w:color w:val="auto"/>
                <w:szCs w:val="21"/>
                <w:highlight w:val="none"/>
              </w:rPr>
              <w:t>组织专业队伍负责对事故现场进行侦察监测，对事故性质、参数与后果进行评估，专为指挥部门提供决策依据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7</w:t>
            </w:r>
          </w:p>
        </w:tc>
        <w:tc>
          <w:tcPr>
            <w:tcW w:w="1543" w:type="dxa"/>
            <w:tcBorders>
              <w:tl2br w:val="nil"/>
              <w:tr2bl w:val="nil"/>
            </w:tcBorders>
            <w:vAlign w:val="center"/>
          </w:tcPr>
          <w:p>
            <w:pPr>
              <w:jc w:val="center"/>
              <w:rPr>
                <w:color w:val="auto"/>
                <w:szCs w:val="21"/>
                <w:highlight w:val="none"/>
              </w:rPr>
            </w:pPr>
            <w:r>
              <w:rPr>
                <w:color w:val="auto"/>
                <w:szCs w:val="21"/>
                <w:highlight w:val="none"/>
              </w:rPr>
              <w:t>应急监测、防护措施和器材</w:t>
            </w:r>
          </w:p>
        </w:tc>
        <w:tc>
          <w:tcPr>
            <w:tcW w:w="6309" w:type="dxa"/>
            <w:tcBorders>
              <w:tl2br w:val="nil"/>
              <w:tr2bl w:val="nil"/>
            </w:tcBorders>
            <w:vAlign w:val="center"/>
          </w:tcPr>
          <w:p>
            <w:pPr>
              <w:rPr>
                <w:color w:val="auto"/>
                <w:szCs w:val="21"/>
                <w:highlight w:val="none"/>
              </w:rPr>
            </w:pPr>
            <w:r>
              <w:rPr>
                <w:color w:val="auto"/>
                <w:szCs w:val="21"/>
                <w:highlight w:val="none"/>
              </w:rPr>
              <w:t>严格规定事故多发区、事故现场、邻近区域、控制防火区域设置控制和清除污染措施及相应设备的数量、使用方法、使用人员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8</w:t>
            </w:r>
          </w:p>
        </w:tc>
        <w:tc>
          <w:tcPr>
            <w:tcW w:w="1543" w:type="dxa"/>
            <w:tcBorders>
              <w:tl2br w:val="nil"/>
              <w:tr2bl w:val="nil"/>
            </w:tcBorders>
            <w:vAlign w:val="center"/>
          </w:tcPr>
          <w:p>
            <w:pPr>
              <w:jc w:val="center"/>
              <w:rPr>
                <w:color w:val="auto"/>
                <w:szCs w:val="21"/>
                <w:highlight w:val="none"/>
              </w:rPr>
            </w:pPr>
            <w:r>
              <w:rPr>
                <w:color w:val="auto"/>
                <w:szCs w:val="21"/>
                <w:highlight w:val="none"/>
              </w:rPr>
              <w:t>人员紧急撤离、疏散计划</w:t>
            </w:r>
          </w:p>
        </w:tc>
        <w:tc>
          <w:tcPr>
            <w:tcW w:w="6309" w:type="dxa"/>
            <w:tcBorders>
              <w:tl2br w:val="nil"/>
              <w:tr2bl w:val="nil"/>
            </w:tcBorders>
            <w:vAlign w:val="center"/>
          </w:tcPr>
          <w:p>
            <w:pPr>
              <w:autoSpaceDE w:val="0"/>
              <w:autoSpaceDN w:val="0"/>
              <w:jc w:val="left"/>
              <w:rPr>
                <w:color w:val="auto"/>
                <w:szCs w:val="21"/>
                <w:highlight w:val="none"/>
              </w:rPr>
            </w:pPr>
            <w:r>
              <w:rPr>
                <w:color w:val="auto"/>
                <w:szCs w:val="21"/>
                <w:highlight w:val="none"/>
              </w:rPr>
              <w:t>对事故现场、邻近区、受事故影响的区域人员</w:t>
            </w:r>
            <w:r>
              <w:rPr>
                <w:color w:val="auto"/>
                <w:kern w:val="0"/>
                <w:szCs w:val="21"/>
                <w:highlight w:val="none"/>
              </w:rPr>
              <w:t>及公众对有毒有害物质应急剂量控制规定，制定紧急撤离组织计划和救护，制定事故发生时职工撤退应急路线图，医疗救护与公众健康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9</w:t>
            </w:r>
          </w:p>
        </w:tc>
        <w:tc>
          <w:tcPr>
            <w:tcW w:w="1543" w:type="dxa"/>
            <w:tcBorders>
              <w:tl2br w:val="nil"/>
              <w:tr2bl w:val="nil"/>
            </w:tcBorders>
            <w:vAlign w:val="center"/>
          </w:tcPr>
          <w:p>
            <w:pPr>
              <w:jc w:val="center"/>
              <w:rPr>
                <w:color w:val="auto"/>
                <w:szCs w:val="21"/>
                <w:highlight w:val="none"/>
              </w:rPr>
            </w:pPr>
            <w:r>
              <w:rPr>
                <w:color w:val="auto"/>
                <w:szCs w:val="21"/>
                <w:highlight w:val="none"/>
              </w:rPr>
              <w:t>事故应急救援关闭程序</w:t>
            </w:r>
          </w:p>
        </w:tc>
        <w:tc>
          <w:tcPr>
            <w:tcW w:w="6309" w:type="dxa"/>
            <w:tcBorders>
              <w:tl2br w:val="nil"/>
              <w:tr2bl w:val="nil"/>
            </w:tcBorders>
            <w:vAlign w:val="center"/>
          </w:tcPr>
          <w:p>
            <w:pPr>
              <w:rPr>
                <w:color w:val="auto"/>
                <w:szCs w:val="21"/>
                <w:highlight w:val="none"/>
              </w:rPr>
            </w:pPr>
            <w:r>
              <w:rPr>
                <w:color w:val="auto"/>
                <w:szCs w:val="21"/>
                <w:highlight w:val="none"/>
              </w:rPr>
              <w:t>制定相关应急状态终止程序，事故现场、受影响范围内的善后处理、恢复措施，邻近区域解除事故警戒及善后恢复措施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10</w:t>
            </w:r>
          </w:p>
        </w:tc>
        <w:tc>
          <w:tcPr>
            <w:tcW w:w="1543" w:type="dxa"/>
            <w:tcBorders>
              <w:tl2br w:val="nil"/>
              <w:tr2bl w:val="nil"/>
            </w:tcBorders>
            <w:vAlign w:val="center"/>
          </w:tcPr>
          <w:p>
            <w:pPr>
              <w:jc w:val="center"/>
              <w:rPr>
                <w:color w:val="auto"/>
                <w:szCs w:val="21"/>
                <w:highlight w:val="none"/>
              </w:rPr>
            </w:pPr>
            <w:r>
              <w:rPr>
                <w:color w:val="auto"/>
                <w:szCs w:val="21"/>
                <w:highlight w:val="none"/>
              </w:rPr>
              <w:t>事故恢复</w:t>
            </w:r>
          </w:p>
          <w:p>
            <w:pPr>
              <w:jc w:val="center"/>
              <w:rPr>
                <w:color w:val="auto"/>
                <w:szCs w:val="21"/>
                <w:highlight w:val="none"/>
              </w:rPr>
            </w:pPr>
            <w:r>
              <w:rPr>
                <w:color w:val="auto"/>
                <w:szCs w:val="21"/>
                <w:highlight w:val="none"/>
              </w:rPr>
              <w:t>措施</w:t>
            </w:r>
          </w:p>
        </w:tc>
        <w:tc>
          <w:tcPr>
            <w:tcW w:w="6309" w:type="dxa"/>
            <w:tcBorders>
              <w:tl2br w:val="nil"/>
              <w:tr2bl w:val="nil"/>
            </w:tcBorders>
            <w:vAlign w:val="center"/>
          </w:tcPr>
          <w:p>
            <w:pPr>
              <w:rPr>
                <w:color w:val="auto"/>
                <w:szCs w:val="21"/>
                <w:highlight w:val="none"/>
              </w:rPr>
            </w:pPr>
            <w:r>
              <w:rPr>
                <w:color w:val="auto"/>
                <w:szCs w:val="21"/>
                <w:highlight w:val="none"/>
              </w:rPr>
              <w:t>制定有关的环境恢复措施，组织专业人员对事故后的环境变化进行监测，对事故应急措施的环境可行性进行后影响评价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11</w:t>
            </w:r>
          </w:p>
        </w:tc>
        <w:tc>
          <w:tcPr>
            <w:tcW w:w="1543" w:type="dxa"/>
            <w:tcBorders>
              <w:tl2br w:val="nil"/>
              <w:tr2bl w:val="nil"/>
            </w:tcBorders>
            <w:vAlign w:val="center"/>
          </w:tcPr>
          <w:p>
            <w:pPr>
              <w:jc w:val="center"/>
              <w:rPr>
                <w:color w:val="auto"/>
                <w:szCs w:val="21"/>
                <w:highlight w:val="none"/>
              </w:rPr>
            </w:pPr>
            <w:r>
              <w:rPr>
                <w:color w:val="auto"/>
                <w:szCs w:val="21"/>
                <w:highlight w:val="none"/>
              </w:rPr>
              <w:t>应急培训计划</w:t>
            </w:r>
          </w:p>
        </w:tc>
        <w:tc>
          <w:tcPr>
            <w:tcW w:w="6309" w:type="dxa"/>
            <w:tcBorders>
              <w:tl2br w:val="nil"/>
              <w:tr2bl w:val="nil"/>
            </w:tcBorders>
            <w:vAlign w:val="center"/>
          </w:tcPr>
          <w:p>
            <w:pPr>
              <w:rPr>
                <w:color w:val="auto"/>
                <w:szCs w:val="21"/>
                <w:highlight w:val="none"/>
              </w:rPr>
            </w:pPr>
            <w:r>
              <w:rPr>
                <w:color w:val="auto"/>
                <w:szCs w:val="21"/>
                <w:highlight w:val="none"/>
              </w:rPr>
              <w:t>定期安排有关人员进行培训与演练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97" w:type="dxa"/>
            <w:tcBorders>
              <w:tl2br w:val="nil"/>
              <w:tr2bl w:val="nil"/>
            </w:tcBorders>
            <w:vAlign w:val="center"/>
          </w:tcPr>
          <w:p>
            <w:pPr>
              <w:jc w:val="center"/>
              <w:rPr>
                <w:color w:val="auto"/>
                <w:szCs w:val="21"/>
                <w:highlight w:val="none"/>
              </w:rPr>
            </w:pPr>
            <w:r>
              <w:rPr>
                <w:color w:val="auto"/>
                <w:szCs w:val="21"/>
                <w:highlight w:val="none"/>
              </w:rPr>
              <w:t>12</w:t>
            </w:r>
          </w:p>
        </w:tc>
        <w:tc>
          <w:tcPr>
            <w:tcW w:w="1543" w:type="dxa"/>
            <w:tcBorders>
              <w:tl2br w:val="nil"/>
              <w:tr2bl w:val="nil"/>
            </w:tcBorders>
            <w:vAlign w:val="center"/>
          </w:tcPr>
          <w:p>
            <w:pPr>
              <w:jc w:val="center"/>
              <w:rPr>
                <w:color w:val="auto"/>
                <w:szCs w:val="21"/>
                <w:highlight w:val="none"/>
              </w:rPr>
            </w:pPr>
            <w:r>
              <w:rPr>
                <w:color w:val="auto"/>
                <w:szCs w:val="21"/>
                <w:highlight w:val="none"/>
              </w:rPr>
              <w:t>公众教育</w:t>
            </w:r>
          </w:p>
          <w:p>
            <w:pPr>
              <w:jc w:val="center"/>
              <w:rPr>
                <w:color w:val="auto"/>
                <w:szCs w:val="21"/>
                <w:highlight w:val="none"/>
              </w:rPr>
            </w:pPr>
            <w:r>
              <w:rPr>
                <w:color w:val="auto"/>
                <w:szCs w:val="21"/>
                <w:highlight w:val="none"/>
              </w:rPr>
              <w:t>和信息</w:t>
            </w:r>
          </w:p>
        </w:tc>
        <w:tc>
          <w:tcPr>
            <w:tcW w:w="6309" w:type="dxa"/>
            <w:tcBorders>
              <w:tl2br w:val="nil"/>
              <w:tr2bl w:val="nil"/>
            </w:tcBorders>
            <w:vAlign w:val="center"/>
          </w:tcPr>
          <w:p>
            <w:pPr>
              <w:rPr>
                <w:color w:val="auto"/>
                <w:szCs w:val="21"/>
                <w:highlight w:val="none"/>
              </w:rPr>
            </w:pPr>
            <w:r>
              <w:rPr>
                <w:color w:val="auto"/>
                <w:szCs w:val="21"/>
                <w:highlight w:val="none"/>
              </w:rPr>
              <w:t>对工厂邻近地区开展公众教育、培训和发布有关信息</w:t>
            </w:r>
          </w:p>
        </w:tc>
      </w:tr>
      <w:bookmarkEnd w:id="682"/>
      <w:bookmarkEnd w:id="683"/>
      <w:bookmarkEnd w:id="684"/>
      <w:bookmarkEnd w:id="685"/>
      <w:bookmarkEnd w:id="686"/>
      <w:bookmarkEnd w:id="687"/>
    </w:tbl>
    <w:p>
      <w:pPr>
        <w:keepNext/>
        <w:keepLines/>
        <w:spacing w:line="360" w:lineRule="auto"/>
        <w:outlineLvl w:val="1"/>
        <w:rPr>
          <w:b/>
          <w:bCs/>
          <w:color w:val="auto"/>
          <w:sz w:val="28"/>
          <w:szCs w:val="32"/>
          <w:highlight w:val="none"/>
        </w:rPr>
      </w:pPr>
      <w:bookmarkStart w:id="688" w:name="_Toc367281620"/>
      <w:bookmarkStart w:id="689" w:name="_Toc346698526"/>
      <w:bookmarkStart w:id="690" w:name="_Toc367282203"/>
      <w:bookmarkStart w:id="691" w:name="_Toc75908732"/>
      <w:bookmarkStart w:id="692" w:name="_Toc12603"/>
      <w:r>
        <w:rPr>
          <w:b/>
          <w:bCs/>
          <w:color w:val="auto"/>
          <w:sz w:val="28"/>
          <w:szCs w:val="32"/>
          <w:highlight w:val="none"/>
        </w:rPr>
        <w:t>6.6</w:t>
      </w:r>
      <w:bookmarkEnd w:id="688"/>
      <w:bookmarkEnd w:id="689"/>
      <w:bookmarkEnd w:id="690"/>
      <w:r>
        <w:rPr>
          <w:b/>
          <w:bCs/>
          <w:color w:val="auto"/>
          <w:sz w:val="28"/>
          <w:szCs w:val="32"/>
          <w:highlight w:val="none"/>
        </w:rPr>
        <w:t>分析结论</w:t>
      </w:r>
      <w:bookmarkEnd w:id="691"/>
      <w:bookmarkEnd w:id="692"/>
    </w:p>
    <w:p>
      <w:pPr>
        <w:widowControl/>
        <w:spacing w:line="360" w:lineRule="auto"/>
        <w:ind w:firstLine="480" w:firstLineChars="200"/>
        <w:jc w:val="left"/>
        <w:rPr>
          <w:color w:val="auto"/>
          <w:sz w:val="24"/>
          <w:highlight w:val="none"/>
        </w:rPr>
      </w:pPr>
      <w:r>
        <w:rPr>
          <w:rFonts w:hint="eastAsia"/>
          <w:color w:val="auto"/>
          <w:sz w:val="24"/>
          <w:highlight w:val="none"/>
          <w:lang w:val="en-US" w:eastAsia="zh-CN"/>
        </w:rPr>
        <w:t>根据风险识别以及分析评价，确定项目的最大可信事故为：废机油泄漏和火灾事故。项目在建设过程中充分考虑了消防设施，严格按照国际及行业有关标准、规范进行。项目后续将制定完善的安全管理、降低风险的规章制度，在管理、控制及监督、生产和维护方面有成熟的降低事故风险的经验和措施，</w:t>
      </w:r>
      <w:r>
        <w:rPr>
          <w:color w:val="auto"/>
          <w:sz w:val="24"/>
          <w:highlight w:val="none"/>
        </w:rPr>
        <w:t>在加强管理及积极落实有关防范措施后，本项目环境事故发生的可能性很低，风险可以规避。企业须编制突发环境事件应急预案，并报昆明市生态环境局寻甸分局备案。</w:t>
      </w:r>
      <w:r>
        <w:rPr>
          <w:rFonts w:hint="eastAsia"/>
          <w:color w:val="auto"/>
          <w:sz w:val="24"/>
          <w:highlight w:val="none"/>
        </w:rPr>
        <w:t xml:space="preserve"> </w:t>
      </w:r>
    </w:p>
    <w:p>
      <w:pPr>
        <w:spacing w:line="360" w:lineRule="auto"/>
        <w:ind w:firstLine="590" w:firstLineChars="245"/>
        <w:jc w:val="center"/>
        <w:rPr>
          <w:color w:val="auto"/>
          <w:kern w:val="0"/>
          <w:sz w:val="12"/>
          <w:szCs w:val="12"/>
          <w:highlight w:val="none"/>
        </w:rPr>
      </w:pPr>
      <w:r>
        <w:rPr>
          <w:b/>
          <w:bCs/>
          <w:color w:val="auto"/>
          <w:sz w:val="24"/>
          <w:highlight w:val="none"/>
        </w:rPr>
        <w:t>表6.6-1  建设项目环境风险简单分析内容表</w:t>
      </w:r>
    </w:p>
    <w:tbl>
      <w:tblPr>
        <w:tblStyle w:val="55"/>
        <w:tblW w:w="83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7"/>
        <w:gridCol w:w="1236"/>
        <w:gridCol w:w="1644"/>
        <w:gridCol w:w="974"/>
        <w:gridCol w:w="972"/>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2357" w:type="dxa"/>
            <w:tcBorders>
              <w:tl2br w:val="nil"/>
              <w:tr2bl w:val="nil"/>
            </w:tcBorders>
            <w:vAlign w:val="center"/>
          </w:tcPr>
          <w:p>
            <w:pPr>
              <w:jc w:val="center"/>
              <w:rPr>
                <w:color w:val="auto"/>
                <w:szCs w:val="21"/>
                <w:highlight w:val="none"/>
              </w:rPr>
            </w:pPr>
            <w:r>
              <w:rPr>
                <w:color w:val="auto"/>
                <w:szCs w:val="21"/>
                <w:highlight w:val="none"/>
              </w:rPr>
              <w:t>建设项目名称</w:t>
            </w:r>
          </w:p>
        </w:tc>
        <w:tc>
          <w:tcPr>
            <w:tcW w:w="5996" w:type="dxa"/>
            <w:gridSpan w:val="5"/>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寻甸县蜀滇塑料制品经营部蔬菜框生产项目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357" w:type="dxa"/>
            <w:tcBorders>
              <w:tl2br w:val="nil"/>
              <w:tr2bl w:val="nil"/>
            </w:tcBorders>
            <w:vAlign w:val="center"/>
          </w:tcPr>
          <w:p>
            <w:pPr>
              <w:jc w:val="center"/>
              <w:rPr>
                <w:color w:val="auto"/>
                <w:szCs w:val="21"/>
                <w:highlight w:val="none"/>
              </w:rPr>
            </w:pPr>
            <w:r>
              <w:rPr>
                <w:color w:val="auto"/>
                <w:szCs w:val="21"/>
                <w:highlight w:val="none"/>
              </w:rPr>
              <w:t>建设地点</w:t>
            </w:r>
          </w:p>
        </w:tc>
        <w:tc>
          <w:tcPr>
            <w:tcW w:w="1236" w:type="dxa"/>
            <w:tcBorders>
              <w:tl2br w:val="nil"/>
              <w:tr2bl w:val="nil"/>
            </w:tcBorders>
            <w:vAlign w:val="center"/>
          </w:tcPr>
          <w:p>
            <w:pPr>
              <w:jc w:val="center"/>
              <w:rPr>
                <w:color w:val="auto"/>
                <w:szCs w:val="21"/>
                <w:highlight w:val="none"/>
              </w:rPr>
            </w:pPr>
            <w:r>
              <w:rPr>
                <w:color w:val="auto"/>
                <w:szCs w:val="21"/>
                <w:highlight w:val="none"/>
              </w:rPr>
              <w:t>（云南）省</w:t>
            </w:r>
          </w:p>
        </w:tc>
        <w:tc>
          <w:tcPr>
            <w:tcW w:w="1644" w:type="dxa"/>
            <w:tcBorders>
              <w:tl2br w:val="nil"/>
              <w:tr2bl w:val="nil"/>
            </w:tcBorders>
            <w:vAlign w:val="center"/>
          </w:tcPr>
          <w:p>
            <w:pPr>
              <w:jc w:val="center"/>
              <w:rPr>
                <w:color w:val="auto"/>
                <w:szCs w:val="21"/>
                <w:highlight w:val="none"/>
              </w:rPr>
            </w:pPr>
            <w:r>
              <w:rPr>
                <w:color w:val="auto"/>
                <w:szCs w:val="21"/>
                <w:highlight w:val="none"/>
              </w:rPr>
              <w:t>（昆明）市</w:t>
            </w:r>
          </w:p>
        </w:tc>
        <w:tc>
          <w:tcPr>
            <w:tcW w:w="974" w:type="dxa"/>
            <w:tcBorders>
              <w:tl2br w:val="nil"/>
              <w:tr2bl w:val="nil"/>
            </w:tcBorders>
            <w:vAlign w:val="center"/>
          </w:tcPr>
          <w:p>
            <w:pPr>
              <w:jc w:val="center"/>
              <w:rPr>
                <w:color w:val="auto"/>
                <w:szCs w:val="21"/>
                <w:highlight w:val="none"/>
              </w:rPr>
            </w:pPr>
            <w:r>
              <w:rPr>
                <w:color w:val="auto"/>
                <w:szCs w:val="21"/>
                <w:highlight w:val="none"/>
              </w:rPr>
              <w:t>（/）区</w:t>
            </w:r>
          </w:p>
        </w:tc>
        <w:tc>
          <w:tcPr>
            <w:tcW w:w="972" w:type="dxa"/>
            <w:tcBorders>
              <w:tl2br w:val="nil"/>
              <w:tr2bl w:val="nil"/>
            </w:tcBorders>
            <w:vAlign w:val="center"/>
          </w:tcPr>
          <w:p>
            <w:pPr>
              <w:jc w:val="center"/>
              <w:rPr>
                <w:color w:val="auto"/>
                <w:szCs w:val="21"/>
                <w:highlight w:val="none"/>
              </w:rPr>
            </w:pPr>
            <w:r>
              <w:rPr>
                <w:color w:val="auto"/>
                <w:szCs w:val="21"/>
                <w:highlight w:val="none"/>
              </w:rPr>
              <w:t>（寻甸）县</w:t>
            </w:r>
          </w:p>
        </w:tc>
        <w:tc>
          <w:tcPr>
            <w:tcW w:w="117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仁德街道三月三村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357" w:type="dxa"/>
            <w:tcBorders>
              <w:tl2br w:val="nil"/>
              <w:tr2bl w:val="nil"/>
            </w:tcBorders>
            <w:vAlign w:val="center"/>
          </w:tcPr>
          <w:p>
            <w:pPr>
              <w:jc w:val="center"/>
              <w:rPr>
                <w:color w:val="auto"/>
                <w:szCs w:val="21"/>
                <w:highlight w:val="none"/>
              </w:rPr>
            </w:pPr>
            <w:r>
              <w:rPr>
                <w:color w:val="auto"/>
                <w:szCs w:val="21"/>
                <w:highlight w:val="none"/>
              </w:rPr>
              <w:t>地理坐标</w:t>
            </w:r>
          </w:p>
        </w:tc>
        <w:tc>
          <w:tcPr>
            <w:tcW w:w="1236" w:type="dxa"/>
            <w:tcBorders>
              <w:tl2br w:val="nil"/>
              <w:tr2bl w:val="nil"/>
            </w:tcBorders>
            <w:vAlign w:val="center"/>
          </w:tcPr>
          <w:p>
            <w:pPr>
              <w:jc w:val="center"/>
              <w:rPr>
                <w:color w:val="auto"/>
                <w:szCs w:val="21"/>
                <w:highlight w:val="none"/>
              </w:rPr>
            </w:pPr>
            <w:r>
              <w:rPr>
                <w:color w:val="auto"/>
                <w:szCs w:val="21"/>
                <w:highlight w:val="none"/>
              </w:rPr>
              <w:t>经度</w:t>
            </w:r>
          </w:p>
        </w:tc>
        <w:tc>
          <w:tcPr>
            <w:tcW w:w="1644" w:type="dxa"/>
            <w:tcBorders>
              <w:tl2br w:val="nil"/>
              <w:tr2bl w:val="nil"/>
            </w:tcBorders>
            <w:vAlign w:val="center"/>
          </w:tcPr>
          <w:p>
            <w:pPr>
              <w:jc w:val="center"/>
              <w:rPr>
                <w:color w:val="auto"/>
                <w:szCs w:val="21"/>
                <w:highlight w:val="none"/>
              </w:rPr>
            </w:pPr>
            <w:r>
              <w:rPr>
                <w:color w:val="auto"/>
                <w:szCs w:val="21"/>
                <w:highlight w:val="none"/>
                <w:lang w:val="en-US"/>
              </w:rPr>
              <w:t>103°</w:t>
            </w:r>
            <w:r>
              <w:rPr>
                <w:rFonts w:hint="eastAsia"/>
                <w:color w:val="auto"/>
                <w:szCs w:val="21"/>
                <w:highlight w:val="none"/>
                <w:lang w:val="en-US" w:eastAsia="zh-CN"/>
              </w:rPr>
              <w:t>13</w:t>
            </w:r>
            <w:r>
              <w:rPr>
                <w:color w:val="auto"/>
                <w:szCs w:val="21"/>
                <w:highlight w:val="none"/>
                <w:lang w:val="en-US"/>
              </w:rPr>
              <w:t>′</w:t>
            </w:r>
            <w:r>
              <w:rPr>
                <w:rFonts w:hint="eastAsia"/>
                <w:color w:val="auto"/>
                <w:szCs w:val="21"/>
                <w:highlight w:val="none"/>
                <w:lang w:val="en-US" w:eastAsia="zh-CN"/>
              </w:rPr>
              <w:t>46.275</w:t>
            </w:r>
            <w:r>
              <w:rPr>
                <w:color w:val="auto"/>
                <w:szCs w:val="21"/>
                <w:highlight w:val="none"/>
                <w:lang w:val="en-US"/>
              </w:rPr>
              <w:t>″，</w:t>
            </w:r>
          </w:p>
        </w:tc>
        <w:tc>
          <w:tcPr>
            <w:tcW w:w="974" w:type="dxa"/>
            <w:tcBorders>
              <w:tl2br w:val="nil"/>
              <w:tr2bl w:val="nil"/>
            </w:tcBorders>
            <w:vAlign w:val="center"/>
          </w:tcPr>
          <w:p>
            <w:pPr>
              <w:jc w:val="center"/>
              <w:rPr>
                <w:color w:val="auto"/>
                <w:szCs w:val="21"/>
                <w:highlight w:val="none"/>
              </w:rPr>
            </w:pPr>
            <w:r>
              <w:rPr>
                <w:color w:val="auto"/>
                <w:szCs w:val="21"/>
                <w:highlight w:val="none"/>
              </w:rPr>
              <w:t>纬度</w:t>
            </w:r>
          </w:p>
        </w:tc>
        <w:tc>
          <w:tcPr>
            <w:tcW w:w="2142" w:type="dxa"/>
            <w:gridSpan w:val="2"/>
            <w:tcBorders>
              <w:tl2br w:val="nil"/>
              <w:tr2bl w:val="nil"/>
            </w:tcBorders>
            <w:vAlign w:val="center"/>
          </w:tcPr>
          <w:p>
            <w:pPr>
              <w:jc w:val="center"/>
              <w:rPr>
                <w:color w:val="auto"/>
                <w:szCs w:val="21"/>
                <w:highlight w:val="none"/>
              </w:rPr>
            </w:pPr>
            <w:r>
              <w:rPr>
                <w:color w:val="auto"/>
                <w:szCs w:val="21"/>
                <w:highlight w:val="none"/>
                <w:lang w:val="en-US"/>
              </w:rPr>
              <w:t>25°</w:t>
            </w:r>
            <w:r>
              <w:rPr>
                <w:rFonts w:hint="eastAsia"/>
                <w:color w:val="auto"/>
                <w:szCs w:val="21"/>
                <w:highlight w:val="none"/>
                <w:lang w:val="en-US" w:eastAsia="zh-CN"/>
              </w:rPr>
              <w:t>32</w:t>
            </w:r>
            <w:r>
              <w:rPr>
                <w:color w:val="auto"/>
                <w:szCs w:val="21"/>
                <w:highlight w:val="none"/>
                <w:lang w:val="en-US"/>
              </w:rPr>
              <w:t>′</w:t>
            </w:r>
            <w:r>
              <w:rPr>
                <w:rFonts w:hint="eastAsia"/>
                <w:color w:val="auto"/>
                <w:szCs w:val="21"/>
                <w:highlight w:val="none"/>
                <w:lang w:val="en-US" w:eastAsia="zh-CN"/>
              </w:rPr>
              <w:t>39.159</w:t>
            </w:r>
            <w:r>
              <w:rPr>
                <w:color w:val="auto"/>
                <w:szCs w:val="21"/>
                <w:highlight w:val="none"/>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2357" w:type="dxa"/>
            <w:tcBorders>
              <w:tl2br w:val="nil"/>
              <w:tr2bl w:val="nil"/>
            </w:tcBorders>
            <w:vAlign w:val="center"/>
          </w:tcPr>
          <w:p>
            <w:pPr>
              <w:jc w:val="center"/>
              <w:rPr>
                <w:color w:val="auto"/>
                <w:szCs w:val="21"/>
                <w:highlight w:val="none"/>
              </w:rPr>
            </w:pPr>
            <w:r>
              <w:rPr>
                <w:color w:val="auto"/>
                <w:szCs w:val="21"/>
                <w:highlight w:val="none"/>
              </w:rPr>
              <w:t>主要危险物质及分布</w:t>
            </w:r>
          </w:p>
        </w:tc>
        <w:tc>
          <w:tcPr>
            <w:tcW w:w="5996" w:type="dxa"/>
            <w:gridSpan w:val="5"/>
            <w:tcBorders>
              <w:tl2br w:val="nil"/>
              <w:tr2bl w:val="nil"/>
            </w:tcBorders>
            <w:vAlign w:val="center"/>
          </w:tcPr>
          <w:p>
            <w:pPr>
              <w:rPr>
                <w:color w:val="auto"/>
                <w:szCs w:val="21"/>
                <w:highlight w:val="none"/>
              </w:rPr>
            </w:pPr>
            <w:r>
              <w:rPr>
                <w:color w:val="auto"/>
                <w:szCs w:val="21"/>
                <w:highlight w:val="none"/>
              </w:rPr>
              <w:t>主要危险物质：危废暂存间、原料</w:t>
            </w:r>
            <w:r>
              <w:rPr>
                <w:rFonts w:hint="eastAsia"/>
                <w:color w:val="auto"/>
                <w:szCs w:val="21"/>
                <w:highlight w:val="none"/>
                <w:lang w:val="en-US" w:eastAsia="zh-CN"/>
              </w:rPr>
              <w:t>仓库、成品堆存区</w:t>
            </w:r>
            <w:r>
              <w:rPr>
                <w:color w:val="auto"/>
                <w:szCs w:val="21"/>
                <w:highlight w:val="none"/>
              </w:rPr>
              <w:t>、生产车间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357" w:type="dxa"/>
            <w:tcBorders>
              <w:tl2br w:val="nil"/>
              <w:tr2bl w:val="nil"/>
            </w:tcBorders>
            <w:vAlign w:val="center"/>
          </w:tcPr>
          <w:p>
            <w:pPr>
              <w:jc w:val="center"/>
              <w:rPr>
                <w:color w:val="auto"/>
                <w:szCs w:val="21"/>
                <w:highlight w:val="none"/>
              </w:rPr>
            </w:pPr>
            <w:r>
              <w:rPr>
                <w:color w:val="auto"/>
                <w:szCs w:val="21"/>
                <w:highlight w:val="none"/>
              </w:rPr>
              <w:t>环境影响途径及危害后果</w:t>
            </w:r>
          </w:p>
          <w:p>
            <w:pPr>
              <w:jc w:val="center"/>
              <w:rPr>
                <w:color w:val="auto"/>
                <w:szCs w:val="21"/>
                <w:highlight w:val="none"/>
              </w:rPr>
            </w:pPr>
            <w:r>
              <w:rPr>
                <w:color w:val="auto"/>
                <w:szCs w:val="21"/>
                <w:highlight w:val="none"/>
              </w:rPr>
              <w:t>（大气、地表水、地下水等）</w:t>
            </w:r>
          </w:p>
        </w:tc>
        <w:tc>
          <w:tcPr>
            <w:tcW w:w="5996" w:type="dxa"/>
            <w:gridSpan w:val="5"/>
            <w:tcBorders>
              <w:tl2br w:val="nil"/>
              <w:tr2bl w:val="nil"/>
            </w:tcBorders>
            <w:vAlign w:val="center"/>
          </w:tcPr>
          <w:p>
            <w:pPr>
              <w:autoSpaceDE w:val="0"/>
              <w:autoSpaceDN w:val="0"/>
              <w:rPr>
                <w:color w:val="auto"/>
                <w:szCs w:val="21"/>
                <w:highlight w:val="none"/>
              </w:rPr>
            </w:pPr>
            <w:r>
              <w:rPr>
                <w:color w:val="auto"/>
                <w:kern w:val="0"/>
                <w:szCs w:val="21"/>
                <w:highlight w:val="none"/>
              </w:rPr>
              <w:t>危废暂存间（废机油）、原料</w:t>
            </w:r>
            <w:r>
              <w:rPr>
                <w:rFonts w:hint="eastAsia"/>
                <w:color w:val="auto"/>
                <w:kern w:val="0"/>
                <w:szCs w:val="21"/>
                <w:highlight w:val="none"/>
                <w:lang w:val="en-US" w:eastAsia="zh-CN"/>
              </w:rPr>
              <w:t>仓库</w:t>
            </w:r>
            <w:r>
              <w:rPr>
                <w:rFonts w:hint="eastAsia"/>
                <w:color w:val="auto"/>
                <w:kern w:val="0"/>
                <w:szCs w:val="21"/>
                <w:highlight w:val="none"/>
              </w:rPr>
              <w:t>（</w:t>
            </w:r>
            <w:r>
              <w:rPr>
                <w:rFonts w:hint="eastAsia"/>
                <w:color w:val="auto"/>
                <w:kern w:val="0"/>
                <w:szCs w:val="21"/>
                <w:highlight w:val="none"/>
                <w:lang w:val="en-US" w:eastAsia="zh-CN"/>
              </w:rPr>
              <w:t>聚丙烯再生树脂颗粒</w:t>
            </w:r>
            <w:r>
              <w:rPr>
                <w:rFonts w:hint="eastAsia"/>
                <w:color w:val="auto"/>
                <w:kern w:val="0"/>
                <w:szCs w:val="21"/>
                <w:highlight w:val="none"/>
              </w:rPr>
              <w:t>）</w:t>
            </w:r>
            <w:r>
              <w:rPr>
                <w:color w:val="auto"/>
                <w:kern w:val="0"/>
                <w:szCs w:val="21"/>
                <w:highlight w:val="none"/>
              </w:rPr>
              <w:t>、</w:t>
            </w:r>
            <w:r>
              <w:rPr>
                <w:rFonts w:hint="eastAsia"/>
                <w:color w:val="auto"/>
                <w:kern w:val="0"/>
                <w:szCs w:val="21"/>
                <w:highlight w:val="none"/>
                <w:lang w:eastAsia="zh-CN"/>
              </w:rPr>
              <w:t>成品堆存区</w:t>
            </w:r>
            <w:r>
              <w:rPr>
                <w:rFonts w:hint="eastAsia"/>
                <w:color w:val="auto"/>
                <w:kern w:val="0"/>
                <w:szCs w:val="21"/>
                <w:highlight w:val="none"/>
              </w:rPr>
              <w:t>（</w:t>
            </w:r>
            <w:r>
              <w:rPr>
                <w:color w:val="auto"/>
                <w:kern w:val="0"/>
                <w:szCs w:val="21"/>
                <w:highlight w:val="none"/>
              </w:rPr>
              <w:t>塑料</w:t>
            </w:r>
            <w:r>
              <w:rPr>
                <w:rFonts w:hint="eastAsia"/>
                <w:color w:val="auto"/>
                <w:kern w:val="0"/>
                <w:szCs w:val="21"/>
                <w:highlight w:val="none"/>
                <w:lang w:val="en-US" w:eastAsia="zh-CN"/>
              </w:rPr>
              <w:t>框</w:t>
            </w:r>
            <w:r>
              <w:rPr>
                <w:rFonts w:hint="eastAsia"/>
                <w:color w:val="auto"/>
                <w:kern w:val="0"/>
                <w:szCs w:val="21"/>
                <w:highlight w:val="none"/>
              </w:rPr>
              <w:t>）</w:t>
            </w:r>
            <w:r>
              <w:rPr>
                <w:color w:val="auto"/>
                <w:kern w:val="0"/>
                <w:szCs w:val="21"/>
                <w:highlight w:val="none"/>
              </w:rPr>
              <w:t>发生火灾，造成大气环境中烟尘、废气、恶臭等含量剧增，使大气环境受到污染；废机油事故外排后进入土壤、地下水、地表水，使土壤环境、地下水、地表水环境受到污染。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jc w:val="center"/>
        </w:trPr>
        <w:tc>
          <w:tcPr>
            <w:tcW w:w="2357" w:type="dxa"/>
            <w:tcBorders>
              <w:tl2br w:val="nil"/>
              <w:tr2bl w:val="nil"/>
            </w:tcBorders>
            <w:vAlign w:val="center"/>
          </w:tcPr>
          <w:p>
            <w:pPr>
              <w:jc w:val="center"/>
              <w:rPr>
                <w:color w:val="auto"/>
                <w:szCs w:val="21"/>
                <w:highlight w:val="none"/>
              </w:rPr>
            </w:pPr>
            <w:r>
              <w:rPr>
                <w:color w:val="auto"/>
                <w:szCs w:val="21"/>
                <w:highlight w:val="none"/>
              </w:rPr>
              <w:t>风险防范措施要求</w:t>
            </w:r>
          </w:p>
        </w:tc>
        <w:tc>
          <w:tcPr>
            <w:tcW w:w="5996" w:type="dxa"/>
            <w:gridSpan w:val="5"/>
            <w:tcBorders>
              <w:tl2br w:val="nil"/>
              <w:tr2bl w:val="nil"/>
            </w:tcBorders>
            <w:vAlign w:val="center"/>
          </w:tcPr>
          <w:p>
            <w:pPr>
              <w:rPr>
                <w:color w:val="auto"/>
                <w:szCs w:val="21"/>
                <w:highlight w:val="none"/>
              </w:rPr>
            </w:pPr>
            <w:r>
              <w:rPr>
                <w:color w:val="auto"/>
                <w:szCs w:val="21"/>
                <w:highlight w:val="none"/>
              </w:rPr>
              <w:t>1、运输过程的环境风险防范措施</w:t>
            </w:r>
          </w:p>
          <w:p>
            <w:pPr>
              <w:rPr>
                <w:color w:val="auto"/>
                <w:szCs w:val="21"/>
                <w:highlight w:val="none"/>
              </w:rPr>
            </w:pPr>
            <w:r>
              <w:rPr>
                <w:color w:val="auto"/>
                <w:szCs w:val="21"/>
                <w:highlight w:val="none"/>
              </w:rPr>
              <w:t>建设单位加大宣传力度和提出要求，在</w:t>
            </w:r>
            <w:r>
              <w:rPr>
                <w:rFonts w:hint="eastAsia"/>
                <w:color w:val="auto"/>
                <w:szCs w:val="21"/>
                <w:highlight w:val="none"/>
              </w:rPr>
              <w:t>原料</w:t>
            </w:r>
            <w:r>
              <w:rPr>
                <w:color w:val="auto"/>
                <w:szCs w:val="21"/>
                <w:highlight w:val="none"/>
              </w:rPr>
              <w:t>运至项目区过程应包装牢固并压制打捆。在输送环节上尽可能的减少人为的不安全行为，如不遵守交通规则，误操作等。最大程度减少交通</w:t>
            </w:r>
            <w:r>
              <w:rPr>
                <w:rFonts w:hint="eastAsia"/>
                <w:color w:val="auto"/>
                <w:szCs w:val="21"/>
                <w:highlight w:val="none"/>
                <w:lang w:eastAsia="zh-CN"/>
              </w:rPr>
              <w:t>事故</w:t>
            </w:r>
            <w:r>
              <w:rPr>
                <w:color w:val="auto"/>
                <w:szCs w:val="21"/>
                <w:highlight w:val="none"/>
              </w:rPr>
              <w:t>导致</w:t>
            </w:r>
            <w:r>
              <w:rPr>
                <w:rFonts w:hint="eastAsia"/>
                <w:color w:val="auto"/>
                <w:szCs w:val="21"/>
                <w:highlight w:val="none"/>
                <w:lang w:val="en-US" w:eastAsia="zh-CN"/>
              </w:rPr>
              <w:t>聚丙烯再生树脂颗粒</w:t>
            </w:r>
            <w:r>
              <w:rPr>
                <w:color w:val="auto"/>
                <w:szCs w:val="21"/>
                <w:highlight w:val="none"/>
              </w:rPr>
              <w:t>散落或引起火灾的可能，同时输送车辆配有专门的防火设施，以防发生事故时风险的扩大。</w:t>
            </w:r>
          </w:p>
          <w:p>
            <w:pPr>
              <w:rPr>
                <w:color w:val="auto"/>
                <w:szCs w:val="21"/>
                <w:highlight w:val="none"/>
              </w:rPr>
            </w:pPr>
            <w:r>
              <w:rPr>
                <w:color w:val="auto"/>
                <w:szCs w:val="21"/>
                <w:highlight w:val="none"/>
              </w:rPr>
              <w:t>2、储存、使用过程的环境风险防范措施</w:t>
            </w:r>
          </w:p>
          <w:p>
            <w:pPr>
              <w:rPr>
                <w:color w:val="auto"/>
                <w:szCs w:val="21"/>
                <w:highlight w:val="none"/>
              </w:rPr>
            </w:pPr>
            <w:r>
              <w:rPr>
                <w:color w:val="auto"/>
                <w:szCs w:val="21"/>
                <w:highlight w:val="none"/>
              </w:rPr>
              <w:t>（1）原料、产品贮存区设置明确禁止烟火标识；</w:t>
            </w:r>
          </w:p>
          <w:p>
            <w:pPr>
              <w:rPr>
                <w:color w:val="auto"/>
                <w:szCs w:val="21"/>
                <w:highlight w:val="none"/>
              </w:rPr>
            </w:pPr>
            <w:r>
              <w:rPr>
                <w:color w:val="auto"/>
                <w:szCs w:val="21"/>
                <w:highlight w:val="none"/>
              </w:rPr>
              <w:t>（2）严格控制原料、产品在场内的贮存量。</w:t>
            </w:r>
          </w:p>
          <w:p>
            <w:pPr>
              <w:rPr>
                <w:color w:val="auto"/>
                <w:szCs w:val="21"/>
                <w:highlight w:val="none"/>
              </w:rPr>
            </w:pPr>
            <w:r>
              <w:rPr>
                <w:color w:val="auto"/>
                <w:szCs w:val="21"/>
                <w:highlight w:val="none"/>
              </w:rPr>
              <w:t>（3）实行安全检查制度，各类安全设施、消防器材，进行各种日常的、定期的、专业的防火安全检查，并将发现的问题定人、限期落实整改。</w:t>
            </w:r>
          </w:p>
          <w:p>
            <w:pPr>
              <w:rPr>
                <w:color w:val="auto"/>
                <w:szCs w:val="21"/>
                <w:highlight w:val="none"/>
              </w:rPr>
            </w:pPr>
            <w:r>
              <w:rPr>
                <w:color w:val="auto"/>
                <w:szCs w:val="21"/>
                <w:highlight w:val="none"/>
              </w:rPr>
              <w:t>（4）制定各种操作规范，加强监督管理，严格看管检查制度，避免事故的发生。</w:t>
            </w:r>
          </w:p>
          <w:p>
            <w:pPr>
              <w:rPr>
                <w:color w:val="auto"/>
                <w:szCs w:val="21"/>
                <w:highlight w:val="none"/>
              </w:rPr>
            </w:pPr>
            <w:r>
              <w:rPr>
                <w:color w:val="auto"/>
                <w:szCs w:val="21"/>
                <w:highlight w:val="none"/>
              </w:rPr>
              <w:t>（5）制定、落实事故风险应急预案和环境监测计划。</w:t>
            </w:r>
          </w:p>
          <w:p>
            <w:pPr>
              <w:rPr>
                <w:color w:val="auto"/>
                <w:szCs w:val="21"/>
                <w:highlight w:val="none"/>
              </w:rPr>
            </w:pPr>
            <w:r>
              <w:rPr>
                <w:color w:val="auto"/>
                <w:szCs w:val="21"/>
                <w:highlight w:val="none"/>
              </w:rPr>
              <w:t>3、</w:t>
            </w:r>
            <w:r>
              <w:rPr>
                <w:rFonts w:hint="eastAsia"/>
                <w:color w:val="auto"/>
                <w:szCs w:val="21"/>
                <w:highlight w:val="none"/>
                <w:lang w:val="en-US" w:eastAsia="zh-CN"/>
              </w:rPr>
              <w:t>危险废物</w:t>
            </w:r>
            <w:r>
              <w:rPr>
                <w:color w:val="auto"/>
                <w:szCs w:val="21"/>
                <w:highlight w:val="none"/>
              </w:rPr>
              <w:t>防范措施</w:t>
            </w:r>
          </w:p>
          <w:p>
            <w:pPr>
              <w:rPr>
                <w:color w:val="auto"/>
                <w:szCs w:val="21"/>
                <w:highlight w:val="none"/>
              </w:rPr>
            </w:pPr>
            <w:r>
              <w:rPr>
                <w:color w:val="auto"/>
                <w:szCs w:val="21"/>
                <w:highlight w:val="none"/>
              </w:rPr>
              <w:t>（1）</w:t>
            </w:r>
            <w:r>
              <w:rPr>
                <w:rFonts w:hint="eastAsia"/>
                <w:color w:val="auto"/>
                <w:szCs w:val="21"/>
                <w:highlight w:val="none"/>
                <w:lang w:val="en-US" w:eastAsia="zh-CN"/>
              </w:rPr>
              <w:t>危险废物</w:t>
            </w:r>
            <w:r>
              <w:rPr>
                <w:color w:val="auto"/>
                <w:szCs w:val="21"/>
                <w:highlight w:val="none"/>
              </w:rPr>
              <w:t>必须按规定设置警示标志，分类管理，分类存放；配备必要的危险品事故防范和应急技术装备。</w:t>
            </w:r>
          </w:p>
          <w:p>
            <w:pPr>
              <w:rPr>
                <w:color w:val="auto"/>
                <w:szCs w:val="21"/>
                <w:highlight w:val="none"/>
              </w:rPr>
            </w:pPr>
            <w:r>
              <w:rPr>
                <w:color w:val="auto"/>
                <w:szCs w:val="21"/>
                <w:highlight w:val="none"/>
              </w:rPr>
              <w:t>（2）根据消防部门的要求配置泡沫灭火器等消防设施。</w:t>
            </w:r>
          </w:p>
          <w:p>
            <w:pPr>
              <w:rPr>
                <w:color w:val="auto"/>
                <w:szCs w:val="21"/>
                <w:highlight w:val="none"/>
              </w:rPr>
            </w:pPr>
            <w:r>
              <w:rPr>
                <w:color w:val="auto"/>
                <w:szCs w:val="21"/>
                <w:highlight w:val="none"/>
              </w:rPr>
              <w:t>（3）严格按照《建筑设计防火规范》（GB50016-2014）等标准规范进行设计。</w:t>
            </w:r>
          </w:p>
          <w:p>
            <w:pPr>
              <w:rPr>
                <w:color w:val="auto"/>
                <w:szCs w:val="21"/>
                <w:highlight w:val="none"/>
              </w:rPr>
            </w:pPr>
            <w:r>
              <w:rPr>
                <w:color w:val="auto"/>
                <w:szCs w:val="21"/>
                <w:highlight w:val="none"/>
              </w:rPr>
              <w:t>（4）危废暂存间地面在现有的水泥硬化基础上新增2.0mmHDPE膜进行防渗，使其地面达到渗透系数≤1×10</w:t>
            </w:r>
            <w:r>
              <w:rPr>
                <w:color w:val="auto"/>
                <w:szCs w:val="21"/>
                <w:highlight w:val="none"/>
                <w:vertAlign w:val="superscript"/>
              </w:rPr>
              <w:t>-10</w:t>
            </w:r>
            <w:r>
              <w:rPr>
                <w:color w:val="auto"/>
                <w:szCs w:val="21"/>
                <w:highlight w:val="none"/>
              </w:rPr>
              <w:t>cm/s的防渗性能。</w:t>
            </w:r>
          </w:p>
          <w:p>
            <w:pPr>
              <w:rPr>
                <w:color w:val="auto"/>
                <w:szCs w:val="21"/>
                <w:highlight w:val="none"/>
              </w:rPr>
            </w:pPr>
            <w:r>
              <w:rPr>
                <w:color w:val="auto"/>
                <w:szCs w:val="21"/>
                <w:highlight w:val="none"/>
              </w:rPr>
              <w:t>（5）危废暂存间内废机油暂存区域设置</w:t>
            </w:r>
            <w:r>
              <w:rPr>
                <w:rFonts w:hint="eastAsia"/>
                <w:color w:val="auto"/>
                <w:szCs w:val="21"/>
                <w:highlight w:val="none"/>
                <w:lang w:val="en-US" w:eastAsia="zh-CN"/>
              </w:rPr>
              <w:t>不小于废机油储存量容积的铁质托盘，用于收集泄漏后的废机油</w:t>
            </w:r>
            <w:r>
              <w:rPr>
                <w:color w:val="auto"/>
                <w:szCs w:val="21"/>
                <w:highlight w:val="none"/>
              </w:rPr>
              <w:t>。</w:t>
            </w:r>
          </w:p>
          <w:p>
            <w:pPr>
              <w:rPr>
                <w:color w:val="auto"/>
                <w:szCs w:val="21"/>
                <w:highlight w:val="none"/>
              </w:rPr>
            </w:pPr>
            <w:r>
              <w:rPr>
                <w:color w:val="auto"/>
                <w:szCs w:val="21"/>
                <w:highlight w:val="none"/>
              </w:rPr>
              <w:t>（6）盛装废机油容器上必须贴相应的危险废物标志。危险废物贮存设施都必须按环境保护图形《固体废物贮存（处置）场》（GB15562.2-1995）的规定设置警示标志。</w:t>
            </w:r>
          </w:p>
          <w:p>
            <w:pPr>
              <w:rPr>
                <w:color w:val="auto"/>
                <w:szCs w:val="21"/>
                <w:highlight w:val="none"/>
              </w:rPr>
            </w:pPr>
            <w:r>
              <w:rPr>
                <w:color w:val="auto"/>
                <w:szCs w:val="21"/>
                <w:highlight w:val="none"/>
              </w:rPr>
              <w:t>（7）设置危险固废管理台账，</w:t>
            </w:r>
            <w:r>
              <w:rPr>
                <w:rFonts w:hint="eastAsia"/>
                <w:color w:val="auto"/>
                <w:szCs w:val="21"/>
                <w:highlight w:val="none"/>
                <w:lang w:val="en-US" w:eastAsia="zh-CN"/>
              </w:rPr>
              <w:t>办理转移联单。</w:t>
            </w:r>
            <w:r>
              <w:rPr>
                <w:color w:val="auto"/>
                <w:szCs w:val="21"/>
                <w:highlight w:val="none"/>
              </w:rPr>
              <w:t>如实记载</w:t>
            </w:r>
            <w:r>
              <w:rPr>
                <w:rFonts w:hint="eastAsia"/>
                <w:color w:val="auto"/>
                <w:szCs w:val="21"/>
                <w:highlight w:val="none"/>
                <w:lang w:val="en-US" w:eastAsia="zh-CN"/>
              </w:rPr>
              <w:t>危险废物</w:t>
            </w:r>
            <w:r>
              <w:rPr>
                <w:color w:val="auto"/>
                <w:szCs w:val="21"/>
                <w:highlight w:val="none"/>
              </w:rPr>
              <w:t>的来源、数量、特性、包装容器类别、入库日期、存放库位。贮存期间，定期对存储容器进行检查，及时更换破损容器。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8353" w:type="dxa"/>
            <w:gridSpan w:val="6"/>
            <w:tcBorders>
              <w:tl2br w:val="nil"/>
              <w:tr2bl w:val="nil"/>
            </w:tcBorders>
            <w:vAlign w:val="center"/>
          </w:tcPr>
          <w:p>
            <w:pPr>
              <w:rPr>
                <w:color w:val="auto"/>
                <w:szCs w:val="21"/>
                <w:highlight w:val="none"/>
              </w:rPr>
            </w:pPr>
            <w:r>
              <w:rPr>
                <w:color w:val="auto"/>
                <w:szCs w:val="21"/>
                <w:highlight w:val="none"/>
              </w:rPr>
              <w:t>填表说明（列出项目相关信息及评价说明）：</w:t>
            </w:r>
          </w:p>
          <w:p>
            <w:pPr>
              <w:rPr>
                <w:color w:val="auto"/>
                <w:szCs w:val="21"/>
                <w:highlight w:val="none"/>
              </w:rPr>
            </w:pPr>
            <w:r>
              <w:rPr>
                <w:color w:val="auto"/>
                <w:szCs w:val="21"/>
                <w:highlight w:val="none"/>
              </w:rPr>
              <w:t>项目风险潜势初判：Ⅰ；</w:t>
            </w:r>
          </w:p>
          <w:p>
            <w:pPr>
              <w:rPr>
                <w:color w:val="auto"/>
                <w:szCs w:val="21"/>
                <w:highlight w:val="none"/>
              </w:rPr>
            </w:pPr>
            <w:r>
              <w:rPr>
                <w:color w:val="auto"/>
                <w:szCs w:val="21"/>
                <w:highlight w:val="none"/>
              </w:rPr>
              <w:t>评价等级：简单分析；</w:t>
            </w:r>
          </w:p>
          <w:p>
            <w:pPr>
              <w:rPr>
                <w:color w:val="auto"/>
                <w:szCs w:val="21"/>
                <w:highlight w:val="none"/>
              </w:rPr>
            </w:pPr>
            <w:r>
              <w:rPr>
                <w:color w:val="auto"/>
                <w:szCs w:val="21"/>
                <w:highlight w:val="none"/>
              </w:rPr>
              <w:t>风险评价结论：其风险在可接受范围内。</w:t>
            </w:r>
          </w:p>
        </w:tc>
      </w:tr>
    </w:tbl>
    <w:p>
      <w:pPr>
        <w:spacing w:line="360" w:lineRule="auto"/>
        <w:rPr>
          <w:color w:val="auto"/>
          <w:sz w:val="32"/>
          <w:highlight w:val="none"/>
        </w:rPr>
      </w:pPr>
    </w:p>
    <w:p>
      <w:pPr>
        <w:pStyle w:val="21"/>
        <w:spacing w:after="0" w:line="360" w:lineRule="auto"/>
        <w:rPr>
          <w:color w:val="auto"/>
          <w:sz w:val="32"/>
          <w:highlight w:val="none"/>
        </w:rPr>
      </w:pPr>
    </w:p>
    <w:p>
      <w:pPr>
        <w:pStyle w:val="22"/>
        <w:spacing w:before="0" w:after="0" w:line="360" w:lineRule="auto"/>
        <w:ind w:left="0" w:right="0"/>
        <w:rPr>
          <w:color w:val="auto"/>
          <w:highlight w:val="none"/>
        </w:rPr>
      </w:pPr>
    </w:p>
    <w:p>
      <w:pPr>
        <w:spacing w:line="360" w:lineRule="auto"/>
        <w:ind w:firstLine="480" w:firstLineChars="200"/>
        <w:rPr>
          <w:color w:val="auto"/>
          <w:sz w:val="24"/>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pStyle w:val="2"/>
        <w:tabs>
          <w:tab w:val="left" w:pos="4140"/>
        </w:tabs>
        <w:spacing w:before="0" w:after="0" w:line="360" w:lineRule="auto"/>
        <w:rPr>
          <w:color w:val="auto"/>
          <w:sz w:val="32"/>
          <w:highlight w:val="none"/>
        </w:rPr>
      </w:pPr>
      <w:bookmarkStart w:id="693" w:name="_Toc10782"/>
      <w:r>
        <w:rPr>
          <w:color w:val="auto"/>
          <w:highlight w:val="none"/>
        </w:rPr>
        <w:fldChar w:fldCharType="begin"/>
      </w:r>
      <w:r>
        <w:rPr>
          <w:color w:val="auto"/>
          <w:highlight w:val="none"/>
        </w:rPr>
        <w:instrText xml:space="preserve"> HYPERLINK "file:///H:\\2015环评报告\\2015-01平利县龙洞湾重晶石矿\\环评正文\\l" </w:instrText>
      </w:r>
      <w:r>
        <w:rPr>
          <w:color w:val="auto"/>
          <w:highlight w:val="none"/>
        </w:rPr>
        <w:fldChar w:fldCharType="separate"/>
      </w:r>
      <w:bookmarkStart w:id="694" w:name="_Toc367282206"/>
      <w:bookmarkStart w:id="695" w:name="_Toc367281623"/>
      <w:bookmarkStart w:id="696" w:name="_Toc341369583"/>
      <w:bookmarkStart w:id="697" w:name="_Toc75908733"/>
      <w:r>
        <w:rPr>
          <w:color w:val="auto"/>
          <w:sz w:val="32"/>
          <w:highlight w:val="none"/>
        </w:rPr>
        <w:t>7、环境保护措施及其可行性</w:t>
      </w:r>
      <w:bookmarkEnd w:id="694"/>
      <w:bookmarkEnd w:id="695"/>
      <w:bookmarkEnd w:id="696"/>
      <w:r>
        <w:rPr>
          <w:color w:val="auto"/>
          <w:sz w:val="32"/>
          <w:highlight w:val="none"/>
        </w:rPr>
        <w:t>论证</w:t>
      </w:r>
      <w:bookmarkEnd w:id="697"/>
      <w:r>
        <w:rPr>
          <w:color w:val="auto"/>
          <w:sz w:val="32"/>
          <w:highlight w:val="none"/>
        </w:rPr>
        <w:fldChar w:fldCharType="end"/>
      </w:r>
      <w:bookmarkEnd w:id="693"/>
    </w:p>
    <w:p>
      <w:pPr>
        <w:pStyle w:val="3"/>
        <w:spacing w:before="0" w:after="0" w:line="360" w:lineRule="auto"/>
        <w:ind w:left="0"/>
        <w:rPr>
          <w:rFonts w:ascii="Times New Roman" w:hAnsi="Times New Roman" w:eastAsia="宋体"/>
          <w:bCs w:val="0"/>
          <w:color w:val="auto"/>
          <w:sz w:val="28"/>
          <w:szCs w:val="28"/>
          <w:highlight w:val="none"/>
        </w:rPr>
      </w:pPr>
      <w:bookmarkStart w:id="698" w:name="_Toc512245047"/>
      <w:bookmarkStart w:id="699" w:name="_Toc17940"/>
      <w:bookmarkStart w:id="700" w:name="_Toc7292"/>
      <w:r>
        <w:rPr>
          <w:rFonts w:ascii="Times New Roman" w:hAnsi="Times New Roman" w:eastAsia="宋体"/>
          <w:bCs w:val="0"/>
          <w:color w:val="auto"/>
          <w:sz w:val="28"/>
          <w:szCs w:val="28"/>
          <w:highlight w:val="none"/>
        </w:rPr>
        <w:t>7.1施工期污染防治措施</w:t>
      </w:r>
      <w:bookmarkEnd w:id="698"/>
      <w:r>
        <w:rPr>
          <w:rFonts w:ascii="Times New Roman" w:hAnsi="Times New Roman" w:eastAsia="宋体"/>
          <w:bCs w:val="0"/>
          <w:color w:val="auto"/>
          <w:sz w:val="28"/>
          <w:szCs w:val="28"/>
          <w:highlight w:val="none"/>
        </w:rPr>
        <w:t>及可行性分析</w:t>
      </w:r>
      <w:bookmarkEnd w:id="699"/>
      <w:bookmarkEnd w:id="700"/>
    </w:p>
    <w:p>
      <w:pPr>
        <w:pStyle w:val="5"/>
        <w:spacing w:before="0" w:after="0" w:line="360" w:lineRule="auto"/>
        <w:rPr>
          <w:color w:val="auto"/>
          <w:sz w:val="24"/>
          <w:szCs w:val="24"/>
          <w:highlight w:val="none"/>
        </w:rPr>
      </w:pPr>
      <w:bookmarkStart w:id="701" w:name="_Toc3395"/>
      <w:bookmarkStart w:id="702" w:name="_Toc2386"/>
      <w:r>
        <w:rPr>
          <w:color w:val="auto"/>
          <w:sz w:val="24"/>
          <w:szCs w:val="24"/>
          <w:highlight w:val="none"/>
        </w:rPr>
        <w:t>7.1.1施工期大气污染防治措施及可行性分析</w:t>
      </w:r>
      <w:bookmarkEnd w:id="701"/>
      <w:bookmarkEnd w:id="702"/>
    </w:p>
    <w:p>
      <w:pPr>
        <w:spacing w:line="360" w:lineRule="auto"/>
        <w:ind w:firstLine="482" w:firstLineChars="200"/>
        <w:textAlignment w:val="baseline"/>
        <w:rPr>
          <w:b/>
          <w:bCs/>
          <w:color w:val="auto"/>
          <w:sz w:val="24"/>
          <w:highlight w:val="none"/>
        </w:rPr>
      </w:pPr>
      <w:r>
        <w:rPr>
          <w:b/>
          <w:bCs/>
          <w:color w:val="auto"/>
          <w:sz w:val="24"/>
          <w:highlight w:val="none"/>
        </w:rPr>
        <w:t>1、防治措施</w:t>
      </w:r>
    </w:p>
    <w:p>
      <w:pPr>
        <w:spacing w:line="360" w:lineRule="auto"/>
        <w:ind w:firstLine="480" w:firstLineChars="200"/>
        <w:textAlignment w:val="baseline"/>
        <w:rPr>
          <w:color w:val="auto"/>
          <w:sz w:val="24"/>
          <w:highlight w:val="none"/>
          <w:lang w:val="zh-CN"/>
        </w:rPr>
      </w:pPr>
      <w:r>
        <w:rPr>
          <w:color w:val="auto"/>
          <w:sz w:val="24"/>
          <w:highlight w:val="none"/>
          <w:lang w:val="zh-CN"/>
        </w:rPr>
        <w:t>为防止项目施工期大气环境污染，施工单位应采取如下防治措施：</w:t>
      </w:r>
    </w:p>
    <w:p>
      <w:pPr>
        <w:spacing w:line="360" w:lineRule="auto"/>
        <w:ind w:firstLine="480" w:firstLineChars="200"/>
        <w:textAlignment w:val="baseline"/>
        <w:rPr>
          <w:color w:val="auto"/>
          <w:sz w:val="24"/>
          <w:highlight w:val="none"/>
          <w:lang w:val="zh-CN"/>
        </w:rPr>
      </w:pPr>
      <w:r>
        <w:rPr>
          <w:rFonts w:hint="eastAsia"/>
          <w:color w:val="auto"/>
          <w:sz w:val="24"/>
          <w:highlight w:val="none"/>
        </w:rPr>
        <w:t>①本项目在已建成的厂房内进行装修</w:t>
      </w:r>
      <w:r>
        <w:rPr>
          <w:rFonts w:hint="eastAsia"/>
          <w:color w:val="auto"/>
          <w:sz w:val="24"/>
          <w:highlight w:val="none"/>
          <w:lang w:val="en-US" w:eastAsia="zh-CN"/>
        </w:rPr>
        <w:t>隔断</w:t>
      </w:r>
      <w:r>
        <w:rPr>
          <w:rFonts w:hint="eastAsia"/>
          <w:color w:val="auto"/>
          <w:sz w:val="24"/>
          <w:highlight w:val="none"/>
        </w:rPr>
        <w:t>和安装设备，且厂房外</w:t>
      </w:r>
      <w:r>
        <w:rPr>
          <w:rFonts w:hint="eastAsia"/>
          <w:color w:val="auto"/>
          <w:sz w:val="24"/>
          <w:highlight w:val="none"/>
          <w:lang w:val="en-US" w:eastAsia="zh-CN"/>
        </w:rPr>
        <w:t>已建有围墙遮挡</w:t>
      </w:r>
      <w:r>
        <w:rPr>
          <w:rFonts w:hint="eastAsia"/>
          <w:color w:val="auto"/>
          <w:sz w:val="24"/>
          <w:highlight w:val="none"/>
        </w:rPr>
        <w:t>，项目在施工过程中</w:t>
      </w:r>
      <w:r>
        <w:rPr>
          <w:color w:val="auto"/>
          <w:sz w:val="24"/>
          <w:highlight w:val="none"/>
        </w:rPr>
        <w:t>采取洒水抑尘措施后，对周围居民影响较小。</w:t>
      </w:r>
    </w:p>
    <w:p>
      <w:pPr>
        <w:spacing w:line="360" w:lineRule="auto"/>
        <w:ind w:firstLine="480" w:firstLineChars="200"/>
        <w:textAlignment w:val="baseline"/>
        <w:rPr>
          <w:color w:val="auto"/>
          <w:sz w:val="24"/>
          <w:highlight w:val="none"/>
        </w:rPr>
      </w:pPr>
      <w:r>
        <w:rPr>
          <w:color w:val="auto"/>
          <w:sz w:val="24"/>
          <w:highlight w:val="none"/>
        </w:rPr>
        <w:t>②</w:t>
      </w:r>
      <w:r>
        <w:rPr>
          <w:rFonts w:hint="eastAsia"/>
          <w:color w:val="auto"/>
          <w:sz w:val="24"/>
          <w:szCs w:val="21"/>
          <w:highlight w:val="none"/>
          <w:lang w:val="en-US" w:eastAsia="zh-CN"/>
        </w:rPr>
        <w:t>对于场地内易起尘的物料要进行覆盖，严禁露天堆放，最大限度地减少施工扬尘对环境的影响。如遇4级以上（含4级）风力时，施工单位必须停止土方施工，并做好覆盖工作</w:t>
      </w:r>
      <w:r>
        <w:rPr>
          <w:color w:val="auto"/>
          <w:sz w:val="24"/>
          <w:szCs w:val="21"/>
          <w:highlight w:val="none"/>
        </w:rPr>
        <w:t>；</w:t>
      </w:r>
    </w:p>
    <w:p>
      <w:pPr>
        <w:spacing w:line="360" w:lineRule="auto"/>
        <w:ind w:firstLine="480" w:firstLineChars="200"/>
        <w:textAlignment w:val="baseline"/>
        <w:rPr>
          <w:color w:val="auto"/>
          <w:sz w:val="24"/>
          <w:highlight w:val="none"/>
          <w:lang w:val="zh-CN"/>
        </w:rPr>
      </w:pPr>
      <w:r>
        <w:rPr>
          <w:rFonts w:hint="eastAsia"/>
          <w:color w:val="auto"/>
          <w:sz w:val="24"/>
          <w:highlight w:val="none"/>
        </w:rPr>
        <w:t>③</w:t>
      </w:r>
      <w:r>
        <w:rPr>
          <w:color w:val="auto"/>
          <w:sz w:val="24"/>
          <w:highlight w:val="none"/>
          <w:lang w:val="zh-CN"/>
        </w:rPr>
        <w:t>施工机械的选型上考虑相应的环保型产品，主要使用轻质柴油或电作为能源，不得使用劣质燃料；同时加强管理，禁止超载，不得使用劣质燃料等措施。</w:t>
      </w:r>
    </w:p>
    <w:p>
      <w:pPr>
        <w:spacing w:line="360" w:lineRule="auto"/>
        <w:ind w:firstLine="480" w:firstLineChars="200"/>
        <w:textAlignment w:val="baseline"/>
        <w:rPr>
          <w:color w:val="auto"/>
          <w:sz w:val="24"/>
          <w:highlight w:val="none"/>
          <w:lang w:val="zh-CN"/>
        </w:rPr>
      </w:pPr>
      <w:r>
        <w:rPr>
          <w:rFonts w:hint="eastAsia"/>
          <w:color w:val="auto"/>
          <w:sz w:val="24"/>
          <w:highlight w:val="none"/>
        </w:rPr>
        <w:t>④</w:t>
      </w:r>
      <w:r>
        <w:rPr>
          <w:color w:val="auto"/>
          <w:sz w:val="24"/>
          <w:highlight w:val="none"/>
        </w:rPr>
        <w:t>装修过程</w:t>
      </w:r>
      <w:r>
        <w:rPr>
          <w:color w:val="auto"/>
          <w:sz w:val="24"/>
          <w:highlight w:val="none"/>
          <w:lang w:val="zh-CN"/>
        </w:rPr>
        <w:t>采用健康环保的建筑材料，可有效降低有机废气的影响。</w:t>
      </w:r>
      <w:r>
        <w:rPr>
          <w:color w:val="auto"/>
          <w:sz w:val="24"/>
          <w:highlight w:val="none"/>
        </w:rPr>
        <w:t>同时，</w:t>
      </w:r>
      <w:r>
        <w:rPr>
          <w:color w:val="auto"/>
          <w:sz w:val="24"/>
          <w:highlight w:val="none"/>
          <w:lang w:val="zh-CN"/>
        </w:rPr>
        <w:t>施工人员可佩戴防护口罩等，加强通风，减小有毒有害气体对人身的危害。</w:t>
      </w:r>
    </w:p>
    <w:p>
      <w:pPr>
        <w:spacing w:line="360" w:lineRule="auto"/>
        <w:ind w:firstLine="482" w:firstLineChars="200"/>
        <w:textAlignment w:val="baseline"/>
        <w:rPr>
          <w:b/>
          <w:bCs/>
          <w:color w:val="auto"/>
          <w:sz w:val="24"/>
          <w:highlight w:val="none"/>
        </w:rPr>
      </w:pPr>
      <w:r>
        <w:rPr>
          <w:b/>
          <w:bCs/>
          <w:color w:val="auto"/>
          <w:sz w:val="24"/>
          <w:highlight w:val="none"/>
        </w:rPr>
        <w:t>2、可行性论证</w:t>
      </w:r>
    </w:p>
    <w:p>
      <w:pPr>
        <w:spacing w:line="360" w:lineRule="auto"/>
        <w:ind w:firstLine="480" w:firstLineChars="200"/>
        <w:textAlignment w:val="baseline"/>
        <w:rPr>
          <w:color w:val="auto"/>
          <w:sz w:val="24"/>
          <w:highlight w:val="none"/>
        </w:rPr>
      </w:pPr>
      <w:r>
        <w:rPr>
          <w:color w:val="auto"/>
          <w:sz w:val="24"/>
          <w:highlight w:val="none"/>
        </w:rPr>
        <w:t>项目施工期采取密闭运输、粉状建筑材料遮盖等措施可在源头上降低扬尘产生量；施工场地洒水降尘可在扬尘扩散过程中起到降尘作用，有效抑制扬尘影响范围。在严格落实上述施工期大气污染防治措施后，可降低扬尘产生量，缩短扬尘影响范围，从而降低施工期扬尘对周围大气环境保护目标的影响，达到可接受的程度范围。</w:t>
      </w:r>
    </w:p>
    <w:p>
      <w:pPr>
        <w:pStyle w:val="9"/>
        <w:spacing w:line="360" w:lineRule="auto"/>
        <w:ind w:firstLine="480"/>
        <w:rPr>
          <w:color w:val="auto"/>
          <w:sz w:val="24"/>
          <w:highlight w:val="none"/>
        </w:rPr>
      </w:pPr>
      <w:r>
        <w:rPr>
          <w:color w:val="auto"/>
          <w:sz w:val="24"/>
          <w:highlight w:val="none"/>
        </w:rPr>
        <w:t>上述措施为日常施工中常用降尘措施，在实际施工过程中具有可操作性，既减少工程投资，又起到保护周边环境的作用。</w:t>
      </w:r>
    </w:p>
    <w:p>
      <w:pPr>
        <w:pStyle w:val="5"/>
        <w:spacing w:before="0" w:after="0" w:line="360" w:lineRule="auto"/>
        <w:rPr>
          <w:color w:val="auto"/>
          <w:highlight w:val="none"/>
        </w:rPr>
      </w:pPr>
      <w:bookmarkStart w:id="703" w:name="_Toc6573"/>
      <w:bookmarkStart w:id="704" w:name="_Toc23677"/>
      <w:r>
        <w:rPr>
          <w:color w:val="auto"/>
          <w:highlight w:val="none"/>
        </w:rPr>
        <w:t>7.1.2施工期水污染防治措施</w:t>
      </w:r>
      <w:bookmarkEnd w:id="703"/>
      <w:bookmarkEnd w:id="704"/>
    </w:p>
    <w:p>
      <w:pPr>
        <w:pStyle w:val="537"/>
        <w:ind w:firstLine="482"/>
        <w:rPr>
          <w:rFonts w:cs="Times New Roman"/>
          <w:b/>
          <w:bCs/>
          <w:color w:val="auto"/>
          <w:highlight w:val="none"/>
        </w:rPr>
      </w:pPr>
      <w:r>
        <w:rPr>
          <w:rFonts w:cs="Times New Roman"/>
          <w:b/>
          <w:bCs/>
          <w:color w:val="auto"/>
          <w:highlight w:val="none"/>
        </w:rPr>
        <w:t>1、防治措施</w:t>
      </w:r>
    </w:p>
    <w:p>
      <w:pPr>
        <w:pStyle w:val="537"/>
        <w:rPr>
          <w:rFonts w:hint="eastAsia" w:cs="Times New Roman"/>
          <w:color w:val="auto"/>
          <w:szCs w:val="24"/>
          <w:highlight w:val="none"/>
          <w:lang w:val="en-US" w:eastAsia="zh-CN"/>
        </w:rPr>
      </w:pPr>
      <w:r>
        <w:rPr>
          <w:rFonts w:cs="Times New Roman"/>
          <w:color w:val="auto"/>
          <w:szCs w:val="24"/>
          <w:highlight w:val="none"/>
        </w:rPr>
        <w:t>①</w:t>
      </w:r>
      <w:r>
        <w:rPr>
          <w:rFonts w:cs="Times New Roman"/>
          <w:color w:val="auto"/>
          <w:szCs w:val="24"/>
          <w:highlight w:val="none"/>
          <w:lang w:val="zh-CN"/>
        </w:rPr>
        <w:t>施工人员不在厂区食宿，</w:t>
      </w:r>
      <w:r>
        <w:rPr>
          <w:rFonts w:hint="eastAsia" w:cs="Times New Roman"/>
          <w:color w:val="auto"/>
          <w:szCs w:val="24"/>
          <w:highlight w:val="none"/>
          <w:lang w:val="en-US" w:eastAsia="zh-CN"/>
        </w:rPr>
        <w:t>施工人员产生的少量生活污水依托项目区内已建化粪池处理。</w:t>
      </w:r>
    </w:p>
    <w:p>
      <w:pPr>
        <w:pStyle w:val="537"/>
        <w:rPr>
          <w:rFonts w:cs="Times New Roman"/>
          <w:color w:val="auto"/>
          <w:szCs w:val="24"/>
          <w:highlight w:val="none"/>
        </w:rPr>
      </w:pPr>
      <w:r>
        <w:rPr>
          <w:rFonts w:cs="Times New Roman"/>
          <w:color w:val="auto"/>
          <w:szCs w:val="24"/>
          <w:highlight w:val="none"/>
        </w:rPr>
        <w:t>②</w:t>
      </w:r>
      <w:r>
        <w:rPr>
          <w:rFonts w:cs="Times New Roman"/>
          <w:color w:val="auto"/>
          <w:szCs w:val="24"/>
          <w:highlight w:val="none"/>
          <w:lang w:val="zh-CN"/>
        </w:rPr>
        <w:t>施工期设备安装及调试过程中产生的少量清洗废水、建筑施工废水</w:t>
      </w:r>
      <w:r>
        <w:rPr>
          <w:rFonts w:cs="Times New Roman"/>
          <w:color w:val="auto"/>
          <w:highlight w:val="none"/>
        </w:rPr>
        <w:t>经1个容积约为</w:t>
      </w:r>
      <w:r>
        <w:rPr>
          <w:rFonts w:hint="eastAsia" w:cs="Times New Roman"/>
          <w:color w:val="auto"/>
          <w:highlight w:val="none"/>
        </w:rPr>
        <w:t>0</w:t>
      </w:r>
      <w:r>
        <w:rPr>
          <w:rFonts w:cs="Times New Roman"/>
          <w:color w:val="auto"/>
          <w:highlight w:val="none"/>
        </w:rPr>
        <w:t>.5m</w:t>
      </w:r>
      <w:r>
        <w:rPr>
          <w:rFonts w:cs="Times New Roman"/>
          <w:color w:val="auto"/>
          <w:highlight w:val="none"/>
          <w:vertAlign w:val="superscript"/>
        </w:rPr>
        <w:t>3</w:t>
      </w:r>
      <w:r>
        <w:rPr>
          <w:rFonts w:cs="Times New Roman"/>
          <w:color w:val="auto"/>
          <w:highlight w:val="none"/>
        </w:rPr>
        <w:t>的临时沉淀池收集沉淀处理后回用于洒水降尘</w:t>
      </w:r>
      <w:r>
        <w:rPr>
          <w:rFonts w:cs="Times New Roman"/>
          <w:color w:val="auto"/>
          <w:szCs w:val="24"/>
          <w:highlight w:val="none"/>
          <w:lang w:val="zh-CN"/>
        </w:rPr>
        <w:t>，不外排。</w:t>
      </w:r>
    </w:p>
    <w:p>
      <w:pPr>
        <w:pStyle w:val="537"/>
        <w:ind w:firstLine="482"/>
        <w:rPr>
          <w:rFonts w:cs="Times New Roman"/>
          <w:b/>
          <w:bCs/>
          <w:color w:val="auto"/>
          <w:highlight w:val="none"/>
        </w:rPr>
      </w:pPr>
      <w:r>
        <w:rPr>
          <w:rFonts w:cs="Times New Roman"/>
          <w:b/>
          <w:bCs/>
          <w:color w:val="auto"/>
          <w:highlight w:val="none"/>
        </w:rPr>
        <w:t>2、可行性论证</w:t>
      </w:r>
    </w:p>
    <w:p>
      <w:pPr>
        <w:pStyle w:val="537"/>
        <w:rPr>
          <w:rFonts w:cs="Times New Roman"/>
          <w:color w:val="auto"/>
          <w:highlight w:val="none"/>
        </w:rPr>
      </w:pPr>
      <w:r>
        <w:rPr>
          <w:rFonts w:cs="Times New Roman"/>
          <w:color w:val="auto"/>
          <w:szCs w:val="24"/>
          <w:highlight w:val="none"/>
        </w:rPr>
        <w:t>施工废水中主要污染物为SS，</w:t>
      </w:r>
      <w:r>
        <w:rPr>
          <w:rFonts w:cs="Times New Roman"/>
          <w:color w:val="auto"/>
          <w:szCs w:val="24"/>
          <w:highlight w:val="none"/>
          <w:lang w:val="zh-CN"/>
        </w:rPr>
        <w:t>通过上述措施，可有效去除</w:t>
      </w:r>
      <w:r>
        <w:rPr>
          <w:rFonts w:cs="Times New Roman"/>
          <w:color w:val="auto"/>
          <w:szCs w:val="24"/>
          <w:highlight w:val="none"/>
        </w:rPr>
        <w:t>废水中</w:t>
      </w:r>
      <w:r>
        <w:rPr>
          <w:rFonts w:cs="Times New Roman"/>
          <w:color w:val="auto"/>
          <w:szCs w:val="24"/>
          <w:highlight w:val="none"/>
          <w:lang w:val="zh-CN"/>
        </w:rPr>
        <w:t>的悬浮物。</w:t>
      </w:r>
      <w:r>
        <w:rPr>
          <w:rFonts w:cs="Times New Roman"/>
          <w:color w:val="auto"/>
          <w:szCs w:val="24"/>
          <w:highlight w:val="none"/>
        </w:rPr>
        <w:t>同时，</w:t>
      </w:r>
      <w:r>
        <w:rPr>
          <w:rFonts w:cs="Times New Roman"/>
          <w:color w:val="auto"/>
          <w:szCs w:val="24"/>
          <w:highlight w:val="none"/>
          <w:lang w:val="zh-CN"/>
        </w:rPr>
        <w:t>上述措施均为施工中常用的污水收集处置措施，在实际施工过程中具有可操</w:t>
      </w:r>
      <w:r>
        <w:rPr>
          <w:rFonts w:cs="Times New Roman"/>
          <w:color w:val="auto"/>
          <w:highlight w:val="none"/>
        </w:rPr>
        <w:t>作性，不仅减小废水对周边地表水体水环境的影响，而且废水实现合理利用，既减少工程投资，又起到保护周边环境的作用。因此，经济可行。</w:t>
      </w:r>
    </w:p>
    <w:p>
      <w:pPr>
        <w:pStyle w:val="5"/>
        <w:spacing w:before="0" w:after="0" w:line="360" w:lineRule="auto"/>
        <w:rPr>
          <w:color w:val="auto"/>
          <w:highlight w:val="none"/>
        </w:rPr>
      </w:pPr>
      <w:bookmarkStart w:id="705" w:name="_Toc29947"/>
      <w:bookmarkStart w:id="706" w:name="_Toc10539"/>
      <w:r>
        <w:rPr>
          <w:color w:val="auto"/>
          <w:highlight w:val="none"/>
        </w:rPr>
        <w:t>7.1.3施工期噪声防治措施</w:t>
      </w:r>
      <w:bookmarkEnd w:id="705"/>
      <w:bookmarkEnd w:id="706"/>
    </w:p>
    <w:p>
      <w:pPr>
        <w:pStyle w:val="9"/>
        <w:spacing w:line="360" w:lineRule="auto"/>
        <w:ind w:firstLine="482"/>
        <w:rPr>
          <w:b/>
          <w:bCs/>
          <w:color w:val="auto"/>
          <w:sz w:val="24"/>
          <w:highlight w:val="none"/>
        </w:rPr>
      </w:pPr>
      <w:r>
        <w:rPr>
          <w:b/>
          <w:bCs/>
          <w:color w:val="auto"/>
          <w:sz w:val="24"/>
          <w:highlight w:val="none"/>
        </w:rPr>
        <w:t>1、防治措施</w:t>
      </w:r>
    </w:p>
    <w:p>
      <w:pPr>
        <w:pStyle w:val="9"/>
        <w:spacing w:line="360" w:lineRule="auto"/>
        <w:ind w:firstLine="480"/>
        <w:rPr>
          <w:color w:val="auto"/>
          <w:sz w:val="24"/>
          <w:highlight w:val="none"/>
        </w:rPr>
      </w:pPr>
      <w:r>
        <w:rPr>
          <w:color w:val="auto"/>
          <w:sz w:val="24"/>
          <w:highlight w:val="none"/>
        </w:rPr>
        <w:t>①</w:t>
      </w:r>
      <w:r>
        <w:rPr>
          <w:color w:val="auto"/>
          <w:sz w:val="24"/>
          <w:highlight w:val="none"/>
          <w:lang w:val="zh-CN"/>
        </w:rPr>
        <w:t>加强施工管理，合理安排作业时间，严格按照施工噪声管理的有关规定，避免夜间进行施工；</w:t>
      </w:r>
    </w:p>
    <w:p>
      <w:pPr>
        <w:pStyle w:val="9"/>
        <w:spacing w:line="360" w:lineRule="auto"/>
        <w:ind w:firstLine="480"/>
        <w:rPr>
          <w:color w:val="auto"/>
          <w:sz w:val="24"/>
          <w:highlight w:val="none"/>
        </w:rPr>
      </w:pPr>
      <w:r>
        <w:rPr>
          <w:color w:val="auto"/>
          <w:sz w:val="24"/>
          <w:highlight w:val="none"/>
        </w:rPr>
        <w:t>②车辆出入现场时应低速、禁鸣；</w:t>
      </w:r>
    </w:p>
    <w:p>
      <w:pPr>
        <w:pStyle w:val="9"/>
        <w:spacing w:line="360" w:lineRule="auto"/>
        <w:ind w:firstLine="480"/>
        <w:rPr>
          <w:color w:val="auto"/>
          <w:sz w:val="24"/>
          <w:highlight w:val="none"/>
        </w:rPr>
      </w:pPr>
      <w:r>
        <w:rPr>
          <w:color w:val="auto"/>
          <w:sz w:val="24"/>
          <w:highlight w:val="none"/>
        </w:rPr>
        <w:t>③加强检查、维护和保养机械设备，紧固各部件，减少运行震动噪声；</w:t>
      </w:r>
    </w:p>
    <w:p>
      <w:pPr>
        <w:pStyle w:val="9"/>
        <w:spacing w:line="360" w:lineRule="auto"/>
        <w:ind w:firstLine="480"/>
        <w:rPr>
          <w:color w:val="auto"/>
          <w:sz w:val="24"/>
          <w:highlight w:val="none"/>
        </w:rPr>
      </w:pPr>
      <w:r>
        <w:rPr>
          <w:color w:val="auto"/>
          <w:sz w:val="24"/>
          <w:highlight w:val="none"/>
        </w:rPr>
        <w:t>④选用低噪声的施工机械及施工工艺，从根本上降低源强；</w:t>
      </w:r>
    </w:p>
    <w:p>
      <w:pPr>
        <w:pStyle w:val="9"/>
        <w:spacing w:line="360" w:lineRule="auto"/>
        <w:ind w:firstLine="480"/>
        <w:rPr>
          <w:color w:val="auto"/>
          <w:sz w:val="24"/>
          <w:highlight w:val="none"/>
        </w:rPr>
      </w:pPr>
      <w:r>
        <w:rPr>
          <w:color w:val="auto"/>
          <w:sz w:val="24"/>
          <w:highlight w:val="none"/>
        </w:rPr>
        <w:t>⑤高噪声设备不集中布置，并严禁同时运行。</w:t>
      </w:r>
    </w:p>
    <w:p>
      <w:pPr>
        <w:pStyle w:val="9"/>
        <w:spacing w:line="360" w:lineRule="auto"/>
        <w:ind w:firstLine="482"/>
        <w:rPr>
          <w:b/>
          <w:bCs/>
          <w:color w:val="auto"/>
          <w:sz w:val="24"/>
          <w:highlight w:val="none"/>
        </w:rPr>
      </w:pPr>
      <w:r>
        <w:rPr>
          <w:b/>
          <w:bCs/>
          <w:color w:val="auto"/>
          <w:sz w:val="24"/>
          <w:highlight w:val="none"/>
        </w:rPr>
        <w:t>2、可行性论证</w:t>
      </w:r>
    </w:p>
    <w:p>
      <w:pPr>
        <w:pStyle w:val="9"/>
        <w:spacing w:line="360" w:lineRule="auto"/>
        <w:ind w:firstLine="480"/>
        <w:rPr>
          <w:color w:val="auto"/>
          <w:sz w:val="24"/>
          <w:highlight w:val="none"/>
        </w:rPr>
      </w:pPr>
      <w:r>
        <w:rPr>
          <w:color w:val="auto"/>
          <w:sz w:val="24"/>
          <w:highlight w:val="none"/>
        </w:rPr>
        <w:t>合理安排施工时间、禁鸣、设备选型及加强保养等措施可从源头控制噪声。</w:t>
      </w:r>
    </w:p>
    <w:p>
      <w:pPr>
        <w:pStyle w:val="9"/>
        <w:spacing w:line="360" w:lineRule="auto"/>
        <w:ind w:firstLine="480"/>
        <w:rPr>
          <w:color w:val="auto"/>
          <w:sz w:val="24"/>
          <w:highlight w:val="none"/>
        </w:rPr>
      </w:pPr>
      <w:r>
        <w:rPr>
          <w:color w:val="auto"/>
          <w:sz w:val="24"/>
          <w:highlight w:val="none"/>
        </w:rPr>
        <w:t>项目采取的上述降噪措施在实际施工过程中可操作性强，既不影响施工，又能保证周边敏感点声环境质量少受项目施工影响，同时需要的资金投入较少。</w:t>
      </w:r>
    </w:p>
    <w:p>
      <w:pPr>
        <w:pStyle w:val="5"/>
        <w:spacing w:before="0" w:after="0" w:line="360" w:lineRule="auto"/>
        <w:rPr>
          <w:color w:val="auto"/>
          <w:highlight w:val="none"/>
        </w:rPr>
      </w:pPr>
      <w:bookmarkStart w:id="707" w:name="_Toc11808"/>
      <w:bookmarkStart w:id="708" w:name="_Toc30466"/>
      <w:r>
        <w:rPr>
          <w:color w:val="auto"/>
          <w:highlight w:val="none"/>
        </w:rPr>
        <w:t>7.1.4施工期固体废物污染防治措施</w:t>
      </w:r>
      <w:bookmarkEnd w:id="707"/>
      <w:bookmarkEnd w:id="708"/>
    </w:p>
    <w:p>
      <w:pPr>
        <w:pStyle w:val="537"/>
        <w:ind w:firstLine="482"/>
        <w:rPr>
          <w:rFonts w:cs="Times New Roman"/>
          <w:b/>
          <w:bCs/>
          <w:color w:val="auto"/>
          <w:highlight w:val="none"/>
        </w:rPr>
      </w:pPr>
      <w:r>
        <w:rPr>
          <w:rFonts w:cs="Times New Roman"/>
          <w:b/>
          <w:bCs/>
          <w:color w:val="auto"/>
          <w:highlight w:val="none"/>
        </w:rPr>
        <w:t>1、防治措施</w:t>
      </w:r>
    </w:p>
    <w:p>
      <w:pPr>
        <w:pStyle w:val="537"/>
        <w:rPr>
          <w:rFonts w:cs="Times New Roman"/>
          <w:color w:val="auto"/>
          <w:highlight w:val="none"/>
        </w:rPr>
      </w:pPr>
      <w:r>
        <w:rPr>
          <w:rFonts w:cs="Times New Roman"/>
          <w:color w:val="auto"/>
          <w:highlight w:val="none"/>
        </w:rPr>
        <w:t>①施工过程建筑垃圾中可回收利用部分收集后外售，不可利用部分严格按照《昆明市人民政府办公厅关于转发&lt;昆明市城市建筑垃圾管理实施办法实施细则&gt;的通知》（昆政办〔2011〕88号）要求委托有资质的建筑垃圾承运企业运输至建筑垃圾消纳处置场，禁止随意处置和堆放。</w:t>
      </w:r>
    </w:p>
    <w:p>
      <w:pPr>
        <w:spacing w:line="360" w:lineRule="auto"/>
        <w:ind w:firstLine="480"/>
        <w:rPr>
          <w:rFonts w:hint="default" w:eastAsia="宋体"/>
          <w:color w:val="auto"/>
          <w:sz w:val="24"/>
          <w:szCs w:val="20"/>
          <w:highlight w:val="none"/>
          <w:lang w:val="en-US" w:eastAsia="zh-CN"/>
        </w:rPr>
      </w:pPr>
      <w:r>
        <w:rPr>
          <w:color w:val="auto"/>
          <w:sz w:val="24"/>
          <w:szCs w:val="20"/>
          <w:highlight w:val="none"/>
        </w:rPr>
        <w:t>②</w:t>
      </w:r>
      <w:r>
        <w:rPr>
          <w:rFonts w:hint="eastAsia"/>
          <w:color w:val="auto"/>
          <w:sz w:val="24"/>
          <w:szCs w:val="20"/>
          <w:highlight w:val="none"/>
          <w:lang w:val="en-US" w:eastAsia="zh-CN"/>
        </w:rPr>
        <w:t>施工期建筑垃圾与生活垃圾应分类堆放、分别处置，禁止乱堆乱倒。施工人员每天产生的生活垃圾统一收集至垃圾桶后，运至指定地点由当地环卫部门清运处置。</w:t>
      </w:r>
    </w:p>
    <w:p>
      <w:pPr>
        <w:spacing w:line="360" w:lineRule="auto"/>
        <w:ind w:firstLine="480"/>
        <w:rPr>
          <w:color w:val="auto"/>
          <w:sz w:val="24"/>
          <w:szCs w:val="20"/>
          <w:highlight w:val="none"/>
          <w:lang w:val="zh-CN"/>
        </w:rPr>
      </w:pPr>
      <w:r>
        <w:rPr>
          <w:color w:val="auto"/>
          <w:sz w:val="24"/>
          <w:szCs w:val="20"/>
          <w:highlight w:val="none"/>
        </w:rPr>
        <w:t>③</w:t>
      </w:r>
      <w:r>
        <w:rPr>
          <w:color w:val="auto"/>
          <w:sz w:val="24"/>
          <w:szCs w:val="20"/>
          <w:highlight w:val="none"/>
          <w:lang w:val="zh-CN"/>
        </w:rPr>
        <w:t>对于废油漆、涂料等有害废物，应当单独收集，按照危险废物处置的有关规定进行处置。</w:t>
      </w:r>
    </w:p>
    <w:p>
      <w:pPr>
        <w:pStyle w:val="537"/>
        <w:rPr>
          <w:rFonts w:cs="Times New Roman"/>
          <w:color w:val="auto"/>
          <w:highlight w:val="none"/>
        </w:rPr>
      </w:pPr>
      <w:r>
        <w:rPr>
          <w:rFonts w:cs="Times New Roman"/>
          <w:color w:val="auto"/>
          <w:highlight w:val="none"/>
        </w:rPr>
        <w:t>④</w:t>
      </w:r>
      <w:r>
        <w:rPr>
          <w:rFonts w:hint="eastAsia" w:cs="Times New Roman"/>
          <w:color w:val="auto"/>
          <w:highlight w:val="none"/>
          <w:lang w:val="en-US" w:eastAsia="zh-CN"/>
        </w:rPr>
        <w:t>车辆运输散体物料和废弃物时，必须密闭、包扎、覆盖，不得沿途漏撒</w:t>
      </w:r>
      <w:r>
        <w:rPr>
          <w:rFonts w:cs="Times New Roman"/>
          <w:color w:val="auto"/>
          <w:highlight w:val="none"/>
        </w:rPr>
        <w:t>。</w:t>
      </w:r>
    </w:p>
    <w:p>
      <w:pPr>
        <w:pStyle w:val="537"/>
        <w:ind w:firstLine="482"/>
        <w:rPr>
          <w:rFonts w:cs="Times New Roman"/>
          <w:b/>
          <w:bCs/>
          <w:color w:val="auto"/>
          <w:highlight w:val="none"/>
        </w:rPr>
      </w:pPr>
      <w:r>
        <w:rPr>
          <w:rFonts w:cs="Times New Roman"/>
          <w:b/>
          <w:bCs/>
          <w:color w:val="auto"/>
          <w:highlight w:val="none"/>
        </w:rPr>
        <w:t>2、可行性论证</w:t>
      </w:r>
    </w:p>
    <w:p>
      <w:pPr>
        <w:pStyle w:val="537"/>
        <w:rPr>
          <w:rFonts w:cs="Times New Roman"/>
          <w:color w:val="auto"/>
          <w:highlight w:val="none"/>
        </w:rPr>
      </w:pPr>
      <w:r>
        <w:rPr>
          <w:rFonts w:cs="Times New Roman"/>
          <w:color w:val="auto"/>
          <w:highlight w:val="none"/>
        </w:rPr>
        <w:t>项目</w:t>
      </w:r>
      <w:r>
        <w:rPr>
          <w:rFonts w:hint="eastAsia" w:cs="Times New Roman"/>
          <w:color w:val="auto"/>
          <w:highlight w:val="none"/>
          <w:lang w:eastAsia="zh-CN"/>
        </w:rPr>
        <w:t>建筑垃圾中的</w:t>
      </w:r>
      <w:r>
        <w:rPr>
          <w:rFonts w:cs="Times New Roman"/>
          <w:color w:val="auto"/>
          <w:highlight w:val="none"/>
        </w:rPr>
        <w:t>废木料、塑料及金属可外售相应单位回收利用，实现固废资源化。</w:t>
      </w:r>
    </w:p>
    <w:p>
      <w:pPr>
        <w:pStyle w:val="3"/>
        <w:spacing w:before="0" w:after="0" w:line="360" w:lineRule="auto"/>
        <w:ind w:left="0"/>
        <w:rPr>
          <w:rFonts w:ascii="Times New Roman" w:hAnsi="Times New Roman" w:eastAsia="宋体"/>
          <w:bCs w:val="0"/>
          <w:color w:val="auto"/>
          <w:highlight w:val="none"/>
        </w:rPr>
      </w:pPr>
      <w:bookmarkStart w:id="709" w:name="_Toc31607"/>
      <w:bookmarkStart w:id="710" w:name="_Toc7812"/>
      <w:r>
        <w:rPr>
          <w:rFonts w:ascii="Times New Roman" w:hAnsi="Times New Roman" w:eastAsia="宋体"/>
          <w:bCs w:val="0"/>
          <w:color w:val="auto"/>
          <w:highlight w:val="none"/>
        </w:rPr>
        <w:t>7.2运营期污染防治措施及可行性分析</w:t>
      </w:r>
      <w:bookmarkEnd w:id="709"/>
      <w:bookmarkEnd w:id="710"/>
    </w:p>
    <w:p>
      <w:pPr>
        <w:keepNext/>
        <w:keepLines/>
        <w:spacing w:line="360" w:lineRule="auto"/>
        <w:outlineLvl w:val="2"/>
        <w:rPr>
          <w:b/>
          <w:bCs/>
          <w:color w:val="auto"/>
          <w:sz w:val="24"/>
          <w:highlight w:val="none"/>
        </w:rPr>
      </w:pPr>
      <w:bookmarkStart w:id="711" w:name="_Toc23372"/>
      <w:r>
        <w:rPr>
          <w:color w:val="auto"/>
          <w:highlight w:val="none"/>
        </w:rPr>
        <w:fldChar w:fldCharType="begin"/>
      </w:r>
      <w:r>
        <w:rPr>
          <w:color w:val="auto"/>
          <w:highlight w:val="none"/>
        </w:rPr>
        <w:instrText xml:space="preserve"> HYPERLINK "file:///H:\\2015环评报告\\2015-01平利县龙洞湾重晶石矿\\环评正文\\l" </w:instrText>
      </w:r>
      <w:r>
        <w:rPr>
          <w:color w:val="auto"/>
          <w:highlight w:val="none"/>
        </w:rPr>
        <w:fldChar w:fldCharType="separate"/>
      </w:r>
      <w:bookmarkStart w:id="712" w:name="_Toc75908741"/>
      <w:r>
        <w:rPr>
          <w:b/>
          <w:bCs/>
          <w:color w:val="auto"/>
          <w:sz w:val="24"/>
          <w:highlight w:val="none"/>
        </w:rPr>
        <w:t>7.2.1 大气污染防治措施</w:t>
      </w:r>
      <w:bookmarkEnd w:id="712"/>
      <w:r>
        <w:rPr>
          <w:b/>
          <w:bCs/>
          <w:color w:val="auto"/>
          <w:sz w:val="24"/>
          <w:highlight w:val="none"/>
        </w:rPr>
        <w:fldChar w:fldCharType="end"/>
      </w:r>
      <w:bookmarkEnd w:id="711"/>
    </w:p>
    <w:p>
      <w:pPr>
        <w:pStyle w:val="470"/>
        <w:spacing w:beforeLines="0" w:afterLines="0"/>
        <w:ind w:left="0" w:leftChars="0" w:firstLine="0" w:firstLineChars="0"/>
        <w:outlineLvl w:val="3"/>
        <w:rPr>
          <w:rFonts w:ascii="Times New Roman" w:hAnsi="Times New Roman"/>
          <w:color w:val="auto"/>
          <w:sz w:val="24"/>
          <w:highlight w:val="none"/>
        </w:rPr>
      </w:pPr>
      <w:r>
        <w:rPr>
          <w:rFonts w:ascii="Times New Roman" w:hAnsi="Times New Roman"/>
          <w:color w:val="auto"/>
          <w:sz w:val="24"/>
          <w:highlight w:val="none"/>
        </w:rPr>
        <w:t>7.2.1.1 废气</w:t>
      </w:r>
      <w:r>
        <w:rPr>
          <w:rFonts w:hint="eastAsia" w:ascii="Times New Roman" w:hAnsi="Times New Roman"/>
          <w:color w:val="auto"/>
          <w:sz w:val="24"/>
          <w:highlight w:val="none"/>
        </w:rPr>
        <w:t>防治措施</w:t>
      </w:r>
    </w:p>
    <w:p>
      <w:pPr>
        <w:spacing w:line="360" w:lineRule="auto"/>
        <w:ind w:firstLine="480" w:firstLineChars="200"/>
        <w:rPr>
          <w:color w:val="auto"/>
          <w:sz w:val="24"/>
          <w:highlight w:val="none"/>
        </w:rPr>
      </w:pPr>
      <w:r>
        <w:rPr>
          <w:rFonts w:hint="eastAsia"/>
          <w:color w:val="auto"/>
          <w:sz w:val="24"/>
          <w:highlight w:val="none"/>
        </w:rPr>
        <w:t>（1）</w:t>
      </w:r>
      <w:r>
        <w:rPr>
          <w:rFonts w:hint="eastAsia"/>
          <w:color w:val="auto"/>
          <w:sz w:val="24"/>
          <w:highlight w:val="none"/>
          <w:lang w:val="en-US" w:eastAsia="zh-CN"/>
        </w:rPr>
        <w:t>项目拌料过程在封闭装置内进行，</w:t>
      </w:r>
      <w:r>
        <w:rPr>
          <w:rFonts w:hint="eastAsia"/>
          <w:color w:val="auto"/>
          <w:sz w:val="24"/>
          <w:highlight w:val="none"/>
        </w:rPr>
        <w:t>项目</w:t>
      </w:r>
      <w:r>
        <w:rPr>
          <w:rFonts w:hint="eastAsia"/>
          <w:color w:val="auto"/>
          <w:sz w:val="24"/>
          <w:highlight w:val="none"/>
          <w:lang w:val="en-US" w:eastAsia="zh-CN"/>
        </w:rPr>
        <w:t>破碎机仅预留投料口，其余封闭建设，在破碎时，将投料口关闭，破碎过程全密闭，</w:t>
      </w:r>
      <w:r>
        <w:rPr>
          <w:rFonts w:hint="eastAsia"/>
          <w:color w:val="auto"/>
          <w:sz w:val="24"/>
          <w:highlight w:val="none"/>
        </w:rPr>
        <w:t>通过规范生产操作，控制无组织粉尘的排放。</w:t>
      </w:r>
    </w:p>
    <w:p>
      <w:pPr>
        <w:spacing w:line="360" w:lineRule="auto"/>
        <w:ind w:firstLine="480"/>
        <w:rPr>
          <w:rFonts w:hint="default"/>
          <w:color w:val="auto"/>
          <w:sz w:val="24"/>
          <w:highlight w:val="none"/>
          <w:lang w:val="en-US" w:eastAsia="zh-CN"/>
        </w:rPr>
      </w:pPr>
      <w:r>
        <w:rPr>
          <w:rFonts w:hint="eastAsia"/>
          <w:color w:val="auto"/>
          <w:sz w:val="24"/>
          <w:highlight w:val="none"/>
        </w:rPr>
        <w:t>（2）项目</w:t>
      </w:r>
      <w:r>
        <w:rPr>
          <w:rFonts w:hint="eastAsia"/>
          <w:color w:val="auto"/>
          <w:sz w:val="24"/>
          <w:highlight w:val="none"/>
          <w:lang w:val="en-US" w:eastAsia="zh-CN"/>
        </w:rPr>
        <w:t>6台注塑机上方均安装集气罩+集气管道对非甲烷总烃进行收集（收集效率90%），负压收集废气引至1套处理效率约为80%的三级活性炭吸附装置处理后，统一由1根15m高排气筒排放。</w:t>
      </w:r>
    </w:p>
    <w:p>
      <w:pPr>
        <w:spacing w:line="360" w:lineRule="auto"/>
        <w:ind w:firstLine="480"/>
        <w:rPr>
          <w:color w:val="auto"/>
          <w:sz w:val="24"/>
          <w:highlight w:val="none"/>
        </w:rPr>
      </w:pPr>
      <w:r>
        <w:rPr>
          <w:rFonts w:hint="eastAsia"/>
          <w:color w:val="auto"/>
          <w:sz w:val="24"/>
          <w:highlight w:val="none"/>
        </w:rPr>
        <w:t>（</w:t>
      </w:r>
      <w:r>
        <w:rPr>
          <w:rFonts w:hint="eastAsia"/>
          <w:color w:val="auto"/>
          <w:sz w:val="24"/>
          <w:highlight w:val="none"/>
          <w:lang w:val="en-US" w:eastAsia="zh-CN"/>
        </w:rPr>
        <w:t>3</w:t>
      </w:r>
      <w:r>
        <w:rPr>
          <w:rFonts w:hint="eastAsia"/>
          <w:color w:val="auto"/>
          <w:sz w:val="24"/>
          <w:highlight w:val="none"/>
        </w:rPr>
        <w:t>）本项目废气处理设施与生产设备同步运行，废气处理设施故障时及时关停生产设备。此外废气输送管道密闭设置且废气处理设施在负压状态下运行。</w:t>
      </w:r>
    </w:p>
    <w:p>
      <w:pPr>
        <w:pStyle w:val="470"/>
        <w:spacing w:beforeLines="0" w:afterLines="0"/>
        <w:ind w:left="0" w:leftChars="0" w:firstLine="0" w:firstLineChars="0"/>
        <w:outlineLvl w:val="3"/>
        <w:rPr>
          <w:rFonts w:ascii="Times New Roman" w:hAnsi="Times New Roman"/>
          <w:color w:val="auto"/>
          <w:sz w:val="24"/>
          <w:highlight w:val="none"/>
        </w:rPr>
      </w:pPr>
      <w:r>
        <w:rPr>
          <w:rFonts w:ascii="Times New Roman" w:hAnsi="Times New Roman"/>
          <w:color w:val="auto"/>
          <w:sz w:val="24"/>
          <w:highlight w:val="none"/>
        </w:rPr>
        <w:t xml:space="preserve">7.2.1.2 </w:t>
      </w:r>
      <w:r>
        <w:rPr>
          <w:rFonts w:hint="eastAsia" w:ascii="Times New Roman" w:hAnsi="Times New Roman"/>
          <w:color w:val="auto"/>
          <w:sz w:val="24"/>
          <w:highlight w:val="none"/>
        </w:rPr>
        <w:t>措施可行性分析</w:t>
      </w:r>
    </w:p>
    <w:p>
      <w:pPr>
        <w:spacing w:line="360" w:lineRule="auto"/>
        <w:ind w:firstLine="480"/>
        <w:rPr>
          <w:color w:val="auto"/>
          <w:sz w:val="24"/>
          <w:highlight w:val="none"/>
        </w:rPr>
      </w:pPr>
      <w:r>
        <w:rPr>
          <w:rFonts w:hint="eastAsia"/>
          <w:color w:val="auto"/>
          <w:sz w:val="24"/>
          <w:highlight w:val="none"/>
        </w:rPr>
        <w:t>（1）有组织措施可行性分析</w:t>
      </w:r>
    </w:p>
    <w:p>
      <w:pPr>
        <w:spacing w:line="360" w:lineRule="auto"/>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根据《排污许可申请与核发技术规范  橡胶和塑料制品工业》（HJ1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22-2020）中塑料包装箱及容器制造，非甲烷总烃、臭气浓度可采用喷淋、吸附、热力燃烧、催化燃烧、低温等离子体</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生物法、以上组合技术。本项目非甲烷总烃、臭气浓度采用</w:t>
      </w:r>
      <w:r>
        <w:rPr>
          <w:rFonts w:hint="eastAsia" w:cs="Times New Roman"/>
          <w:color w:val="auto"/>
          <w:sz w:val="24"/>
          <w:highlight w:val="none"/>
          <w:lang w:val="en-US" w:eastAsia="zh-CN"/>
        </w:rPr>
        <w:t>三级</w:t>
      </w:r>
      <w:r>
        <w:rPr>
          <w:rFonts w:hint="default" w:ascii="Times New Roman" w:hAnsi="Times New Roman" w:eastAsia="宋体" w:cs="Times New Roman"/>
          <w:color w:val="auto"/>
          <w:sz w:val="24"/>
          <w:highlight w:val="none"/>
          <w:lang w:val="en-US" w:eastAsia="zh-CN"/>
        </w:rPr>
        <w:t>活性炭吸附的技术，符合《排污许可申请与核发技术规范  橡胶和塑料制品工业》（HJ</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122-2020）中的要求。</w:t>
      </w:r>
    </w:p>
    <w:p>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生产过程中控制温度远小于塑料分解温度，产生的废气主要为挥发性有机物(VOCs），其成分以碳氢化合物为主，浓度、温度均不高，项目生产过程使用聚丙烯再生树脂颗粒为原料，因此有挥发性有机物和异味产生，为确保废气净化效率，本项目考虑采用组合工艺，废气经集气罩收集后进行光催化氧化后，再进入</w:t>
      </w:r>
      <w:r>
        <w:rPr>
          <w:rFonts w:hint="eastAsia" w:cs="Times New Roman"/>
          <w:color w:val="auto"/>
          <w:sz w:val="24"/>
          <w:highlight w:val="none"/>
          <w:lang w:val="en-US" w:eastAsia="zh-CN"/>
        </w:rPr>
        <w:t>三级</w:t>
      </w:r>
      <w:r>
        <w:rPr>
          <w:rFonts w:hint="eastAsia" w:ascii="Times New Roman" w:hAnsi="Times New Roman" w:eastAsia="宋体" w:cs="Times New Roman"/>
          <w:color w:val="auto"/>
          <w:sz w:val="24"/>
          <w:highlight w:val="none"/>
          <w:lang w:val="en-US" w:eastAsia="zh-CN"/>
        </w:rPr>
        <w:t>活性炭装置吸附净化。</w:t>
      </w:r>
    </w:p>
    <w:p>
      <w:pPr>
        <w:spacing w:line="360" w:lineRule="auto"/>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此外，经工程分析，项目注塑工序产生的非甲烷总烃有组织排放能达到《合成树脂工业污染物排放标准》（GB31572-2015）中表4规定的排放限值；项目废气经过治理后可达标排放，</w:t>
      </w:r>
      <w:r>
        <w:rPr>
          <w:rFonts w:hint="eastAsia" w:ascii="Times New Roman" w:hAnsi="Times New Roman" w:eastAsia="宋体" w:cs="Times New Roman"/>
          <w:color w:val="auto"/>
          <w:sz w:val="24"/>
          <w:highlight w:val="none"/>
          <w:lang w:val="en-US" w:eastAsia="zh-CN"/>
        </w:rPr>
        <w:t>对</w:t>
      </w:r>
      <w:r>
        <w:rPr>
          <w:rFonts w:hint="default" w:ascii="Times New Roman" w:hAnsi="Times New Roman" w:eastAsia="宋体" w:cs="Times New Roman"/>
          <w:color w:val="auto"/>
          <w:sz w:val="24"/>
          <w:highlight w:val="none"/>
          <w:lang w:val="en-US" w:eastAsia="zh-CN"/>
        </w:rPr>
        <w:t>周围环境影响不大。</w:t>
      </w:r>
    </w:p>
    <w:p>
      <w:pPr>
        <w:pStyle w:val="21"/>
        <w:numPr>
          <w:ilvl w:val="0"/>
          <w:numId w:val="6"/>
        </w:numPr>
        <w:spacing w:after="0" w:line="360" w:lineRule="auto"/>
        <w:ind w:firstLine="480" w:firstLineChars="200"/>
        <w:rPr>
          <w:color w:val="auto"/>
          <w:kern w:val="2"/>
          <w:sz w:val="24"/>
          <w:highlight w:val="none"/>
        </w:rPr>
      </w:pPr>
      <w:r>
        <w:rPr>
          <w:rFonts w:hint="eastAsia"/>
          <w:color w:val="auto"/>
          <w:kern w:val="2"/>
          <w:sz w:val="24"/>
          <w:highlight w:val="none"/>
        </w:rPr>
        <w:t>无组织措施可行性分析</w:t>
      </w:r>
    </w:p>
    <w:p>
      <w:pPr>
        <w:pStyle w:val="22"/>
        <w:spacing w:before="0" w:after="0" w:line="360" w:lineRule="auto"/>
        <w:ind w:left="0" w:right="0" w:firstLine="480" w:firstLineChars="200"/>
        <w:jc w:val="both"/>
        <w:rPr>
          <w:i w:val="0"/>
          <w:color w:val="auto"/>
          <w:kern w:val="2"/>
          <w:sz w:val="24"/>
          <w:szCs w:val="24"/>
          <w:highlight w:val="none"/>
        </w:rPr>
      </w:pPr>
      <w:r>
        <w:rPr>
          <w:rFonts w:hint="eastAsia"/>
          <w:i w:val="0"/>
          <w:color w:val="auto"/>
          <w:kern w:val="2"/>
          <w:sz w:val="24"/>
          <w:szCs w:val="24"/>
          <w:highlight w:val="none"/>
        </w:rPr>
        <w:t>本项目无组织废气主要为无组织颗粒物及</w:t>
      </w:r>
      <w:r>
        <w:rPr>
          <w:rFonts w:hint="eastAsia"/>
          <w:i w:val="0"/>
          <w:color w:val="auto"/>
          <w:kern w:val="2"/>
          <w:sz w:val="24"/>
          <w:szCs w:val="24"/>
          <w:highlight w:val="none"/>
          <w:lang w:eastAsia="zh-CN"/>
        </w:rPr>
        <w:t>非甲烷总烃</w:t>
      </w:r>
      <w:r>
        <w:rPr>
          <w:rFonts w:hint="eastAsia"/>
          <w:i w:val="0"/>
          <w:color w:val="auto"/>
          <w:kern w:val="2"/>
          <w:sz w:val="24"/>
          <w:szCs w:val="24"/>
          <w:highlight w:val="none"/>
        </w:rPr>
        <w:t>。</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无组织颗粒物主要产生于</w:t>
      </w:r>
      <w:r>
        <w:rPr>
          <w:rFonts w:hint="eastAsia"/>
          <w:color w:val="auto"/>
          <w:sz w:val="24"/>
          <w:highlight w:val="none"/>
          <w:lang w:val="en-US" w:eastAsia="zh-CN"/>
        </w:rPr>
        <w:t>破碎投料开盖</w:t>
      </w:r>
      <w:r>
        <w:rPr>
          <w:rFonts w:hint="eastAsia"/>
          <w:color w:val="auto"/>
          <w:sz w:val="24"/>
          <w:highlight w:val="none"/>
        </w:rPr>
        <w:t>过程</w:t>
      </w:r>
      <w:r>
        <w:rPr>
          <w:rFonts w:hint="eastAsia"/>
          <w:color w:val="auto"/>
          <w:sz w:val="24"/>
          <w:highlight w:val="none"/>
          <w:lang w:val="en-US" w:eastAsia="zh-CN"/>
        </w:rPr>
        <w:t>及拌料进料与出料过程</w:t>
      </w:r>
      <w:r>
        <w:rPr>
          <w:rFonts w:hint="eastAsia"/>
          <w:color w:val="auto"/>
          <w:sz w:val="24"/>
          <w:highlight w:val="none"/>
        </w:rPr>
        <w:t>，</w:t>
      </w:r>
      <w:r>
        <w:rPr>
          <w:rFonts w:hint="eastAsia"/>
          <w:color w:val="auto"/>
          <w:sz w:val="24"/>
          <w:highlight w:val="none"/>
          <w:lang w:val="en-US" w:eastAsia="zh-CN"/>
        </w:rPr>
        <w:t>拌料过程全程在封闭装置内进行，仅在进料和出料过程中有少量颗粒物产生；破碎机预留投料口，其余封闭建设，在破碎时，将投料口加盖关闭，使破碎过程全密闭，</w:t>
      </w:r>
      <w:r>
        <w:rPr>
          <w:color w:val="auto"/>
          <w:sz w:val="24"/>
          <w:szCs w:val="20"/>
          <w:highlight w:val="none"/>
        </w:rPr>
        <w:t>通过规范生产操作，</w:t>
      </w:r>
      <w:r>
        <w:rPr>
          <w:rFonts w:hint="eastAsia"/>
          <w:color w:val="auto"/>
          <w:sz w:val="24"/>
          <w:szCs w:val="20"/>
          <w:highlight w:val="none"/>
          <w:lang w:val="en-US" w:eastAsia="zh-CN"/>
        </w:rPr>
        <w:t>控制无组织粉尘的排放</w:t>
      </w:r>
      <w:r>
        <w:rPr>
          <w:color w:val="auto"/>
          <w:sz w:val="24"/>
          <w:highlight w:val="none"/>
        </w:rPr>
        <w:t>。</w:t>
      </w:r>
      <w:r>
        <w:rPr>
          <w:rFonts w:hint="eastAsia"/>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《排污许可申请与核发技术规范  橡胶和塑料制品工业》（HJ1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22-2020）</w:t>
      </w:r>
      <w:r>
        <w:rPr>
          <w:rFonts w:hint="eastAsia" w:ascii="Times New Roman" w:hAnsi="Times New Roman" w:eastAsia="宋体" w:cs="Times New Roman"/>
          <w:color w:val="auto"/>
          <w:sz w:val="24"/>
          <w:highlight w:val="none"/>
          <w:lang w:val="en-US" w:eastAsia="zh-CN"/>
        </w:rPr>
        <w:t>附表A.2中塑料包装箱及容器制造，颗粒物采取“密闭过程、密闭场所”属于过程控制技术。</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rPr>
        <w:t>根据《挥发性有机物无组织排放控制标准》（GB37882-2019)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本项目废气处理设施与生产设备同步运行，废气处理设施故障时可及时关停生产设备。此外废气输送管道密闭设置且废气处理设施在负压状态下运行，可有效控制无组织</w:t>
      </w:r>
      <w:r>
        <w:rPr>
          <w:rFonts w:hint="eastAsia"/>
          <w:color w:val="auto"/>
          <w:sz w:val="24"/>
          <w:highlight w:val="none"/>
          <w:lang w:eastAsia="zh-CN"/>
        </w:rPr>
        <w:t>非甲烷总烃</w:t>
      </w:r>
      <w:r>
        <w:rPr>
          <w:rFonts w:hint="eastAsia"/>
          <w:color w:val="auto"/>
          <w:sz w:val="24"/>
          <w:highlight w:val="none"/>
        </w:rPr>
        <w:t>的产生。</w:t>
      </w:r>
      <w:r>
        <w:rPr>
          <w:rFonts w:hint="eastAsia"/>
          <w:color w:val="auto"/>
          <w:sz w:val="24"/>
          <w:highlight w:val="none"/>
          <w:lang w:val="en-US" w:eastAsia="zh-CN"/>
        </w:rPr>
        <w:t>经工程</w:t>
      </w:r>
      <w:r>
        <w:rPr>
          <w:rFonts w:hint="eastAsia" w:ascii="Times New Roman" w:hAnsi="Times New Roman" w:eastAsia="宋体" w:cs="Times New Roman"/>
          <w:color w:val="auto"/>
          <w:sz w:val="24"/>
          <w:highlight w:val="none"/>
          <w:lang w:val="en-US" w:eastAsia="zh-CN"/>
        </w:rPr>
        <w:t>预测分析，</w:t>
      </w:r>
      <w:r>
        <w:rPr>
          <w:rFonts w:hint="default" w:ascii="Times New Roman" w:hAnsi="Times New Roman" w:eastAsia="宋体" w:cs="Times New Roman"/>
          <w:color w:val="auto"/>
          <w:sz w:val="24"/>
          <w:highlight w:val="none"/>
          <w:lang w:val="en-US" w:eastAsia="zh-CN"/>
        </w:rPr>
        <w:t>颗粒物的无组织排放和非甲烷总烃无组织排放可达到《合成树脂工业污染物排放标准》（GB31572-2015）中表9规定的排放限值，</w:t>
      </w:r>
      <w:r>
        <w:rPr>
          <w:rFonts w:hint="eastAsia"/>
          <w:color w:val="auto"/>
          <w:sz w:val="24"/>
          <w:highlight w:val="none"/>
        </w:rPr>
        <w:t>项目厂界无组织颗粒物</w:t>
      </w:r>
      <w:r>
        <w:rPr>
          <w:rFonts w:hint="eastAsia"/>
          <w:color w:val="auto"/>
          <w:sz w:val="24"/>
          <w:highlight w:val="none"/>
          <w:lang w:val="en-US" w:eastAsia="zh-CN"/>
        </w:rPr>
        <w:t>和非甲烷总烃</w:t>
      </w:r>
      <w:r>
        <w:rPr>
          <w:rFonts w:hint="eastAsia"/>
          <w:color w:val="auto"/>
          <w:sz w:val="24"/>
          <w:highlight w:val="none"/>
        </w:rPr>
        <w:t>可实现达标排放，故采取的无组织废气治理设施有效可行。</w:t>
      </w:r>
    </w:p>
    <w:p>
      <w:pPr>
        <w:pStyle w:val="470"/>
        <w:spacing w:beforeLines="0" w:afterLines="0"/>
        <w:ind w:left="0" w:leftChars="0" w:firstLine="0" w:firstLineChars="0"/>
        <w:outlineLvl w:val="3"/>
        <w:rPr>
          <w:rFonts w:ascii="Times New Roman" w:hAnsi="Times New Roman"/>
          <w:color w:val="auto"/>
          <w:sz w:val="24"/>
          <w:highlight w:val="none"/>
        </w:rPr>
      </w:pPr>
      <w:r>
        <w:rPr>
          <w:rFonts w:ascii="Times New Roman" w:hAnsi="Times New Roman"/>
          <w:color w:val="auto"/>
          <w:sz w:val="24"/>
          <w:highlight w:val="none"/>
        </w:rPr>
        <w:t xml:space="preserve">7.2.1.3 </w:t>
      </w:r>
      <w:r>
        <w:rPr>
          <w:rFonts w:hint="eastAsia" w:ascii="Times New Roman" w:hAnsi="Times New Roman"/>
          <w:color w:val="auto"/>
          <w:sz w:val="24"/>
          <w:highlight w:val="none"/>
        </w:rPr>
        <w:t>工艺可行性论证</w:t>
      </w:r>
    </w:p>
    <w:p>
      <w:pPr>
        <w:spacing w:line="360" w:lineRule="auto"/>
        <w:ind w:firstLine="480"/>
        <w:rPr>
          <w:color w:val="auto"/>
          <w:sz w:val="24"/>
          <w:highlight w:val="none"/>
        </w:rPr>
      </w:pPr>
      <w:r>
        <w:rPr>
          <w:rFonts w:hint="eastAsia"/>
          <w:color w:val="auto"/>
          <w:sz w:val="24"/>
          <w:highlight w:val="none"/>
        </w:rPr>
        <w:t>本次环评重点分析有机废气处理工艺可行性</w:t>
      </w:r>
    </w:p>
    <w:p>
      <w:pPr>
        <w:spacing w:line="360" w:lineRule="auto"/>
        <w:ind w:firstLine="480"/>
        <w:rPr>
          <w:color w:val="auto"/>
          <w:sz w:val="24"/>
          <w:highlight w:val="none"/>
        </w:rPr>
      </w:pPr>
      <w:r>
        <w:rPr>
          <w:color w:val="auto"/>
          <w:sz w:val="24"/>
          <w:highlight w:val="none"/>
        </w:rPr>
        <w:t>（</w:t>
      </w:r>
      <w:r>
        <w:rPr>
          <w:rFonts w:hint="eastAsia"/>
          <w:color w:val="auto"/>
          <w:sz w:val="24"/>
          <w:highlight w:val="none"/>
        </w:rPr>
        <w:t>1</w:t>
      </w:r>
      <w:r>
        <w:rPr>
          <w:color w:val="auto"/>
          <w:sz w:val="24"/>
          <w:highlight w:val="none"/>
        </w:rPr>
        <w:t>）</w:t>
      </w:r>
      <w:r>
        <w:rPr>
          <w:rFonts w:hint="eastAsia"/>
          <w:color w:val="auto"/>
          <w:sz w:val="24"/>
          <w:highlight w:val="none"/>
          <w:lang w:val="en-US" w:eastAsia="zh-CN"/>
        </w:rPr>
        <w:t>三级</w:t>
      </w:r>
      <w:r>
        <w:rPr>
          <w:rFonts w:hint="eastAsia"/>
          <w:color w:val="auto"/>
          <w:sz w:val="24"/>
          <w:highlight w:val="none"/>
        </w:rPr>
        <w:t>活性炭吸附装置</w:t>
      </w:r>
    </w:p>
    <w:p>
      <w:pPr>
        <w:spacing w:line="360" w:lineRule="auto"/>
        <w:ind w:firstLine="480" w:firstLineChars="200"/>
        <w:rPr>
          <w:color w:val="auto"/>
          <w:sz w:val="24"/>
          <w:szCs w:val="20"/>
          <w:highlight w:val="none"/>
        </w:rPr>
      </w:pPr>
      <w:r>
        <w:rPr>
          <w:color w:val="auto"/>
          <w:sz w:val="24"/>
          <w:szCs w:val="20"/>
          <w:highlight w:val="none"/>
        </w:rPr>
        <w:t>本项目拟在</w:t>
      </w:r>
      <w:r>
        <w:rPr>
          <w:rFonts w:hint="eastAsia"/>
          <w:color w:val="auto"/>
          <w:sz w:val="24"/>
          <w:szCs w:val="20"/>
          <w:highlight w:val="none"/>
          <w:lang w:val="en-US" w:eastAsia="zh-CN"/>
        </w:rPr>
        <w:t>各注塑机</w:t>
      </w:r>
      <w:r>
        <w:rPr>
          <w:color w:val="auto"/>
          <w:sz w:val="24"/>
          <w:szCs w:val="20"/>
          <w:highlight w:val="none"/>
        </w:rPr>
        <w:t>上方安装集气罩</w:t>
      </w:r>
      <w:r>
        <w:rPr>
          <w:color w:val="auto"/>
          <w:sz w:val="24"/>
          <w:highlight w:val="none"/>
        </w:rPr>
        <w:t>，废气经收集、汇聚后进入</w:t>
      </w:r>
      <w:r>
        <w:rPr>
          <w:rFonts w:hint="eastAsia"/>
          <w:color w:val="auto"/>
          <w:sz w:val="24"/>
          <w:highlight w:val="none"/>
          <w:lang w:val="en-US" w:eastAsia="zh-CN"/>
        </w:rPr>
        <w:t>三级活性炭吸附装置进一步净化有机废气，</w:t>
      </w:r>
      <w:r>
        <w:rPr>
          <w:color w:val="auto"/>
          <w:kern w:val="0"/>
          <w:sz w:val="24"/>
          <w:highlight w:val="none"/>
        </w:rPr>
        <w:t>最后废气经管道通过</w:t>
      </w:r>
      <w:r>
        <w:rPr>
          <w:rFonts w:hint="eastAsia"/>
          <w:color w:val="auto"/>
          <w:kern w:val="0"/>
          <w:sz w:val="24"/>
          <w:highlight w:val="none"/>
          <w:lang w:val="en-US" w:eastAsia="zh-CN"/>
        </w:rPr>
        <w:t>15</w:t>
      </w:r>
      <w:r>
        <w:rPr>
          <w:color w:val="auto"/>
          <w:kern w:val="0"/>
          <w:sz w:val="24"/>
          <w:highlight w:val="none"/>
        </w:rPr>
        <w:t>m高的排气筒排放。</w:t>
      </w:r>
    </w:p>
    <w:p>
      <w:pPr>
        <w:spacing w:line="360" w:lineRule="auto"/>
        <w:ind w:firstLine="480"/>
        <w:rPr>
          <w:color w:val="auto"/>
          <w:sz w:val="24"/>
          <w:highlight w:val="none"/>
        </w:rPr>
      </w:pPr>
      <w:r>
        <w:rPr>
          <w:color w:val="auto"/>
          <w:sz w:val="24"/>
          <w:highlight w:val="none"/>
        </w:rPr>
        <w:t>在集气阶段未被收集的有机废气经加强车间机械通风换气以无组织的形式逸散出车间外。具体工艺路线见图7.2-1。</w:t>
      </w:r>
    </w:p>
    <w:p>
      <w:pPr>
        <w:spacing w:line="360" w:lineRule="auto"/>
        <w:jc w:val="center"/>
        <w:rPr>
          <w:color w:val="auto"/>
          <w:highlight w:val="none"/>
        </w:rPr>
      </w:pPr>
      <w:r>
        <w:rPr>
          <w:color w:val="auto"/>
          <w:highlight w:val="none"/>
        </w:rPr>
        <w:object>
          <v:shape id="_x0000_i1034" o:spt="75" type="#_x0000_t75" style="height:91.5pt;width:307.7pt;" o:ole="t" filled="f" o:preferrelative="t" stroked="f" coordsize="21600,21600">
            <v:path/>
            <v:fill on="f" focussize="0,0"/>
            <v:stroke on="f"/>
            <v:imagedata r:id="rId38" o:title=""/>
            <o:lock v:ext="edit" aspectratio="t"/>
            <w10:wrap type="none"/>
            <w10:anchorlock/>
          </v:shape>
          <o:OLEObject Type="Embed" ProgID="Visio.Drawing.11" ShapeID="_x0000_i1034" DrawAspect="Content" ObjectID="_1468075734" r:id="rId37">
            <o:LockedField>false</o:LockedField>
          </o:OLEObject>
        </w:object>
      </w:r>
    </w:p>
    <w:p>
      <w:pPr>
        <w:spacing w:line="360" w:lineRule="auto"/>
        <w:jc w:val="center"/>
        <w:rPr>
          <w:b/>
          <w:color w:val="auto"/>
          <w:sz w:val="24"/>
          <w:highlight w:val="none"/>
        </w:rPr>
      </w:pPr>
      <w:r>
        <w:rPr>
          <w:b/>
          <w:color w:val="auto"/>
          <w:sz w:val="24"/>
          <w:highlight w:val="none"/>
        </w:rPr>
        <w:t>图7.2-1  项目废气处理工艺示意图</w:t>
      </w:r>
    </w:p>
    <w:p>
      <w:pPr>
        <w:spacing w:line="360" w:lineRule="auto"/>
        <w:ind w:firstLine="480"/>
        <w:rPr>
          <w:color w:val="auto"/>
          <w:sz w:val="24"/>
          <w:highlight w:val="none"/>
        </w:rPr>
      </w:pPr>
      <w:r>
        <w:rPr>
          <w:color w:val="auto"/>
          <w:sz w:val="24"/>
          <w:highlight w:val="none"/>
        </w:rPr>
        <w:t>①收集装置</w:t>
      </w:r>
    </w:p>
    <w:p>
      <w:pPr>
        <w:spacing w:line="360" w:lineRule="auto"/>
        <w:ind w:firstLine="480"/>
        <w:rPr>
          <w:color w:val="auto"/>
          <w:sz w:val="24"/>
          <w:highlight w:val="none"/>
        </w:rPr>
      </w:pPr>
      <w:r>
        <w:rPr>
          <w:color w:val="auto"/>
          <w:sz w:val="24"/>
          <w:highlight w:val="none"/>
        </w:rPr>
        <w:t>对任何一个高效的废气控制和处理系统而言，废气收集都是一个极为重要的关键。根据生产工艺中有机废气排放点确定集气装置的位置和数量，</w:t>
      </w:r>
      <w:r>
        <w:rPr>
          <w:rFonts w:hint="eastAsia"/>
          <w:color w:val="auto"/>
          <w:sz w:val="24"/>
          <w:highlight w:val="none"/>
          <w:lang w:val="en-US" w:eastAsia="zh-CN"/>
        </w:rPr>
        <w:t>项目在6台注塑机上方分别安装1个集气罩，</w:t>
      </w:r>
      <w:r>
        <w:rPr>
          <w:color w:val="auto"/>
          <w:sz w:val="24"/>
          <w:highlight w:val="none"/>
        </w:rPr>
        <w:t>其中集气罩面积是产气点面积4-6倍，且集气罩最低处距离产气点的距离为10cm，</w:t>
      </w:r>
      <w:r>
        <w:rPr>
          <w:rFonts w:hint="eastAsia"/>
          <w:color w:val="auto"/>
          <w:sz w:val="24"/>
          <w:highlight w:val="none"/>
          <w:lang w:val="en-US" w:eastAsia="zh-CN"/>
        </w:rPr>
        <w:t>负压收集</w:t>
      </w:r>
      <w:r>
        <w:rPr>
          <w:color w:val="auto"/>
          <w:sz w:val="24"/>
          <w:highlight w:val="none"/>
        </w:rPr>
        <w:t>效率不低于</w:t>
      </w:r>
      <w:r>
        <w:rPr>
          <w:rFonts w:hint="eastAsia"/>
          <w:color w:val="auto"/>
          <w:sz w:val="24"/>
          <w:highlight w:val="none"/>
          <w:lang w:val="en-US" w:eastAsia="zh-CN"/>
        </w:rPr>
        <w:t>90</w:t>
      </w:r>
      <w:r>
        <w:rPr>
          <w:color w:val="auto"/>
          <w:sz w:val="24"/>
          <w:highlight w:val="none"/>
        </w:rPr>
        <w:t>%。</w:t>
      </w:r>
    </w:p>
    <w:p>
      <w:pPr>
        <w:spacing w:line="360" w:lineRule="auto"/>
        <w:ind w:firstLine="482"/>
        <w:rPr>
          <w:color w:val="auto"/>
          <w:sz w:val="24"/>
          <w:highlight w:val="none"/>
        </w:rPr>
      </w:pPr>
      <w:r>
        <w:rPr>
          <w:color w:val="auto"/>
          <w:sz w:val="24"/>
          <w:highlight w:val="none"/>
        </w:rPr>
        <w:t>②活性炭吸附装置</w:t>
      </w:r>
    </w:p>
    <w:p>
      <w:pPr>
        <w:spacing w:line="360" w:lineRule="auto"/>
        <w:ind w:firstLine="482"/>
        <w:rPr>
          <w:color w:val="auto"/>
          <w:sz w:val="24"/>
          <w:highlight w:val="none"/>
        </w:rPr>
      </w:pPr>
      <w:r>
        <w:rPr>
          <w:color w:val="auto"/>
          <w:sz w:val="24"/>
          <w:highlight w:val="none"/>
        </w:rPr>
        <w:t>活性炭是一种很细小的炭粒有很大的表面积，而且炭粒中还有更细小的孔——毛细管。这种毛细管具有很强的吸附能力，由于炭粒的表面积很大，所以能与气体（杂质）充分接触。当这些气体（杂质）碰到毛细管被吸附，起净化作用。</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活性炭</w:t>
      </w:r>
      <w:r>
        <w:rPr>
          <w:color w:val="auto"/>
          <w:sz w:val="24"/>
          <w:highlight w:val="none"/>
        </w:rPr>
        <w:t>比表面积一般在700~1500m</w:t>
      </w:r>
      <w:r>
        <w:rPr>
          <w:color w:val="auto"/>
          <w:sz w:val="24"/>
          <w:highlight w:val="none"/>
          <w:vertAlign w:val="superscript"/>
        </w:rPr>
        <w:t>2</w:t>
      </w:r>
      <w:r>
        <w:rPr>
          <w:color w:val="auto"/>
          <w:sz w:val="24"/>
          <w:highlight w:val="none"/>
        </w:rPr>
        <w:t>/g，故</w:t>
      </w:r>
      <w:r>
        <w:rPr>
          <w:rFonts w:hint="eastAsia"/>
          <w:color w:val="auto"/>
          <w:sz w:val="24"/>
          <w:highlight w:val="none"/>
          <w:lang w:eastAsia="zh-CN"/>
        </w:rPr>
        <w:t>活性炭常</w:t>
      </w:r>
      <w:r>
        <w:rPr>
          <w:color w:val="auto"/>
          <w:sz w:val="24"/>
          <w:highlight w:val="none"/>
        </w:rPr>
        <w:t>被用来吸附回收空气中的有机溶剂。</w:t>
      </w:r>
      <w:r>
        <w:rPr>
          <w:rFonts w:hint="eastAsia"/>
          <w:color w:val="auto"/>
          <w:sz w:val="24"/>
          <w:highlight w:val="none"/>
          <w:lang w:eastAsia="zh-CN"/>
        </w:rPr>
        <w:t>活性炭</w:t>
      </w:r>
      <w:r>
        <w:rPr>
          <w:color w:val="auto"/>
          <w:sz w:val="24"/>
          <w:highlight w:val="none"/>
        </w:rPr>
        <w:t>吸附的实质是利用</w:t>
      </w:r>
      <w:r>
        <w:rPr>
          <w:rFonts w:hint="eastAsia"/>
          <w:color w:val="auto"/>
          <w:sz w:val="24"/>
          <w:highlight w:val="none"/>
          <w:lang w:eastAsia="zh-CN"/>
        </w:rPr>
        <w:t>活性炭</w:t>
      </w:r>
      <w:r>
        <w:rPr>
          <w:color w:val="auto"/>
          <w:sz w:val="24"/>
          <w:highlight w:val="none"/>
        </w:rPr>
        <w:t>吸附的特性把低浓度大风量废气中的有机溶剂吸附到</w:t>
      </w:r>
      <w:r>
        <w:rPr>
          <w:rFonts w:hint="eastAsia"/>
          <w:color w:val="auto"/>
          <w:sz w:val="24"/>
          <w:highlight w:val="none"/>
          <w:lang w:eastAsia="zh-CN"/>
        </w:rPr>
        <w:t>活性炭</w:t>
      </w:r>
      <w:r>
        <w:rPr>
          <w:color w:val="auto"/>
          <w:sz w:val="24"/>
          <w:highlight w:val="none"/>
        </w:rPr>
        <w:t>中并浓缩，经</w:t>
      </w:r>
      <w:r>
        <w:rPr>
          <w:rFonts w:hint="eastAsia"/>
          <w:color w:val="auto"/>
          <w:sz w:val="24"/>
          <w:highlight w:val="none"/>
          <w:lang w:eastAsia="zh-CN"/>
        </w:rPr>
        <w:t>活性炭</w:t>
      </w:r>
      <w:r>
        <w:rPr>
          <w:color w:val="auto"/>
          <w:sz w:val="24"/>
          <w:highlight w:val="none"/>
        </w:rPr>
        <w:t>吸附净化后的气体直接排空，其实质是一个吸附浓缩的过程，并没有把有机溶剂处理掉，是一个物理过程。</w:t>
      </w:r>
      <w:r>
        <w:rPr>
          <w:rFonts w:hint="eastAsia"/>
          <w:color w:val="auto"/>
          <w:sz w:val="24"/>
          <w:highlight w:val="none"/>
          <w:lang w:val="en-US" w:eastAsia="zh-CN"/>
        </w:rPr>
        <w:t>项目采用多级活性炭吸附装置（由1层吸附处理提高到3层吸附处理），通过增加有机废气的停留时间，能有效提高处置效率。</w:t>
      </w:r>
    </w:p>
    <w:p>
      <w:pPr>
        <w:spacing w:line="360" w:lineRule="auto"/>
        <w:ind w:firstLine="480"/>
        <w:rPr>
          <w:rFonts w:hint="eastAsia"/>
          <w:color w:val="auto"/>
          <w:sz w:val="24"/>
          <w:highlight w:val="none"/>
          <w:lang w:val="en-US" w:eastAsia="zh-CN"/>
        </w:rPr>
      </w:pPr>
      <w:r>
        <w:rPr>
          <w:rFonts w:hint="eastAsia"/>
          <w:color w:val="auto"/>
          <w:sz w:val="24"/>
          <w:highlight w:val="none"/>
        </w:rPr>
        <w:t>根据《排污许可证申请与核发技术规范</w:t>
      </w:r>
      <w:r>
        <w:rPr>
          <w:rFonts w:hint="eastAsia"/>
          <w:color w:val="auto"/>
          <w:sz w:val="24"/>
          <w:highlight w:val="none"/>
          <w:lang w:val="en-US" w:eastAsia="zh-CN"/>
        </w:rPr>
        <w:t xml:space="preserve"> 橡胶和塑料制品工业</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HJ1122-2020</w:t>
      </w:r>
      <w:r>
        <w:rPr>
          <w:rFonts w:hint="eastAsia"/>
          <w:color w:val="auto"/>
          <w:sz w:val="24"/>
          <w:highlight w:val="none"/>
          <w:lang w:eastAsia="zh-CN"/>
        </w:rPr>
        <w:t>）</w:t>
      </w:r>
      <w:r>
        <w:rPr>
          <w:rFonts w:hint="eastAsia"/>
          <w:color w:val="auto"/>
          <w:sz w:val="24"/>
          <w:highlight w:val="none"/>
        </w:rPr>
        <w:t>表A.1</w:t>
      </w:r>
      <w:r>
        <w:rPr>
          <w:rFonts w:hint="eastAsia"/>
          <w:color w:val="auto"/>
          <w:sz w:val="24"/>
          <w:highlight w:val="none"/>
          <w:lang w:val="en-US" w:eastAsia="zh-CN"/>
        </w:rPr>
        <w:t>塑料制品</w:t>
      </w:r>
      <w:r>
        <w:rPr>
          <w:rFonts w:hint="eastAsia"/>
          <w:color w:val="auto"/>
          <w:sz w:val="24"/>
          <w:highlight w:val="none"/>
        </w:rPr>
        <w:t>工业排污单位废气污染防治可行技术参考表，</w:t>
      </w:r>
      <w:r>
        <w:rPr>
          <w:rFonts w:hint="eastAsia"/>
          <w:color w:val="auto"/>
          <w:sz w:val="24"/>
          <w:highlight w:val="none"/>
          <w:lang w:val="en-US" w:eastAsia="zh-CN"/>
        </w:rPr>
        <w:t>塑料包装箱及容器制造产生的非甲烷总烃采用吸附处理为可行技术。</w:t>
      </w:r>
    </w:p>
    <w:p>
      <w:pPr>
        <w:spacing w:line="360" w:lineRule="auto"/>
        <w:ind w:firstLine="480"/>
        <w:rPr>
          <w:color w:val="auto"/>
          <w:sz w:val="24"/>
          <w:highlight w:val="none"/>
        </w:rPr>
      </w:pPr>
      <w:r>
        <w:rPr>
          <w:color w:val="auto"/>
          <w:sz w:val="24"/>
          <w:highlight w:val="none"/>
        </w:rPr>
        <w:t>活性炭吸附工作原理图如图7.2-</w:t>
      </w:r>
      <w:r>
        <w:rPr>
          <w:rFonts w:hint="eastAsia"/>
          <w:color w:val="auto"/>
          <w:sz w:val="24"/>
          <w:highlight w:val="none"/>
          <w:lang w:val="en-US" w:eastAsia="zh-CN"/>
        </w:rPr>
        <w:t>2</w:t>
      </w:r>
      <w:r>
        <w:rPr>
          <w:color w:val="auto"/>
          <w:sz w:val="24"/>
          <w:highlight w:val="none"/>
        </w:rPr>
        <w:t>。</w:t>
      </w:r>
    </w:p>
    <w:p>
      <w:pPr>
        <w:spacing w:line="360" w:lineRule="auto"/>
        <w:jc w:val="center"/>
        <w:rPr>
          <w:color w:val="auto"/>
          <w:sz w:val="24"/>
          <w:highlight w:val="none"/>
        </w:rPr>
      </w:pPr>
      <w:r>
        <w:rPr>
          <w:color w:val="auto"/>
          <w:sz w:val="24"/>
          <w:highlight w:val="none"/>
        </w:rPr>
        <w:drawing>
          <wp:inline distT="0" distB="0" distL="0" distR="0">
            <wp:extent cx="3540760" cy="1979930"/>
            <wp:effectExtent l="12700" t="12700" r="27940" b="266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39"/>
                    <a:srcRect/>
                    <a:stretch>
                      <a:fillRect/>
                    </a:stretch>
                  </pic:blipFill>
                  <pic:spPr>
                    <a:xfrm>
                      <a:off x="0" y="0"/>
                      <a:ext cx="3541290" cy="1980000"/>
                    </a:xfrm>
                    <a:prstGeom prst="rect">
                      <a:avLst/>
                    </a:prstGeom>
                    <a:noFill/>
                    <a:ln w="12700">
                      <a:solidFill>
                        <a:schemeClr val="tx1"/>
                      </a:solidFill>
                      <a:miter lim="800000"/>
                      <a:headEnd/>
                      <a:tailEnd/>
                    </a:ln>
                  </pic:spPr>
                </pic:pic>
              </a:graphicData>
            </a:graphic>
          </wp:inline>
        </w:drawing>
      </w:r>
    </w:p>
    <w:p>
      <w:pPr>
        <w:spacing w:line="360" w:lineRule="auto"/>
        <w:ind w:firstLine="480"/>
        <w:jc w:val="center"/>
        <w:rPr>
          <w:color w:val="auto"/>
          <w:sz w:val="24"/>
          <w:highlight w:val="none"/>
        </w:rPr>
      </w:pPr>
      <w:r>
        <w:rPr>
          <w:b/>
          <w:color w:val="auto"/>
          <w:sz w:val="24"/>
          <w:highlight w:val="none"/>
        </w:rPr>
        <w:t>图7.2-</w:t>
      </w:r>
      <w:r>
        <w:rPr>
          <w:rFonts w:hint="eastAsia"/>
          <w:b/>
          <w:color w:val="auto"/>
          <w:sz w:val="24"/>
          <w:highlight w:val="none"/>
          <w:lang w:val="en-US" w:eastAsia="zh-CN"/>
        </w:rPr>
        <w:t>2</w:t>
      </w:r>
      <w:r>
        <w:rPr>
          <w:b/>
          <w:color w:val="auto"/>
          <w:sz w:val="24"/>
          <w:highlight w:val="none"/>
        </w:rPr>
        <w:t xml:space="preserve">  活性炭吸附工作原理图</w:t>
      </w:r>
    </w:p>
    <w:p>
      <w:pPr>
        <w:spacing w:line="360" w:lineRule="auto"/>
        <w:ind w:firstLine="480"/>
        <w:rPr>
          <w:rFonts w:hint="default" w:eastAsia="宋体"/>
          <w:color w:val="auto"/>
          <w:sz w:val="24"/>
          <w:highlight w:val="none"/>
          <w:lang w:val="en-US" w:eastAsia="zh-CN"/>
        </w:rPr>
      </w:pPr>
      <w:r>
        <w:rPr>
          <w:color w:val="auto"/>
          <w:sz w:val="24"/>
          <w:highlight w:val="none"/>
        </w:rPr>
        <w:t>④</w:t>
      </w:r>
      <w:r>
        <w:rPr>
          <w:rFonts w:hint="eastAsia"/>
          <w:color w:val="auto"/>
          <w:sz w:val="24"/>
          <w:highlight w:val="none"/>
          <w:lang w:val="en-US" w:eastAsia="zh-CN"/>
        </w:rPr>
        <w:t>排气装置</w:t>
      </w:r>
    </w:p>
    <w:p>
      <w:pPr>
        <w:spacing w:line="360" w:lineRule="auto"/>
        <w:ind w:firstLine="480"/>
        <w:rPr>
          <w:color w:val="auto"/>
          <w:sz w:val="24"/>
          <w:highlight w:val="none"/>
        </w:rPr>
      </w:pPr>
      <w:r>
        <w:rPr>
          <w:color w:val="auto"/>
          <w:sz w:val="24"/>
          <w:highlight w:val="none"/>
        </w:rPr>
        <w:t>经</w:t>
      </w:r>
      <w:r>
        <w:rPr>
          <w:rFonts w:hint="eastAsia"/>
          <w:color w:val="auto"/>
          <w:sz w:val="24"/>
          <w:highlight w:val="none"/>
          <w:lang w:val="en-US" w:eastAsia="zh-CN"/>
        </w:rPr>
        <w:tab/>
      </w:r>
      <w:r>
        <w:rPr>
          <w:rFonts w:hint="eastAsia"/>
          <w:color w:val="auto"/>
          <w:sz w:val="24"/>
          <w:highlight w:val="none"/>
          <w:lang w:val="en-US" w:eastAsia="zh-CN"/>
        </w:rPr>
        <w:t>三级活性炭吸附装置</w:t>
      </w:r>
      <w:r>
        <w:rPr>
          <w:color w:val="auto"/>
          <w:sz w:val="24"/>
          <w:highlight w:val="none"/>
        </w:rPr>
        <w:t>处理后的废气经管道由</w:t>
      </w:r>
      <w:r>
        <w:rPr>
          <w:rFonts w:hint="eastAsia"/>
          <w:color w:val="auto"/>
          <w:sz w:val="24"/>
          <w:highlight w:val="none"/>
          <w:lang w:val="en-US" w:eastAsia="zh-CN"/>
        </w:rPr>
        <w:t>15</w:t>
      </w:r>
      <w:r>
        <w:rPr>
          <w:color w:val="auto"/>
          <w:sz w:val="24"/>
          <w:highlight w:val="none"/>
        </w:rPr>
        <w:t>m高排气筒排放，排气筒内</w:t>
      </w:r>
      <w:r>
        <w:rPr>
          <w:rFonts w:hint="eastAsia"/>
          <w:color w:val="auto"/>
          <w:sz w:val="24"/>
          <w:highlight w:val="none"/>
          <w:lang w:eastAsia="zh-CN"/>
        </w:rPr>
        <w:t>径</w:t>
      </w:r>
      <w:r>
        <w:rPr>
          <w:color w:val="auto"/>
          <w:sz w:val="24"/>
          <w:highlight w:val="none"/>
        </w:rPr>
        <w:t>为</w:t>
      </w:r>
      <w:r>
        <w:rPr>
          <w:rFonts w:hint="eastAsia"/>
          <w:color w:val="auto"/>
          <w:sz w:val="24"/>
          <w:highlight w:val="none"/>
          <w:lang w:val="en-US" w:eastAsia="zh-CN"/>
        </w:rPr>
        <w:t>0.4</w:t>
      </w:r>
      <w:r>
        <w:rPr>
          <w:color w:val="auto"/>
          <w:sz w:val="24"/>
          <w:highlight w:val="none"/>
        </w:rPr>
        <w:t>m，废气排放温度约为2</w:t>
      </w:r>
      <w:r>
        <w:rPr>
          <w:rFonts w:hint="eastAsia"/>
          <w:color w:val="auto"/>
          <w:sz w:val="24"/>
          <w:highlight w:val="none"/>
        </w:rPr>
        <w:t>5</w:t>
      </w:r>
      <w:r>
        <w:rPr>
          <w:color w:val="auto"/>
          <w:sz w:val="24"/>
          <w:highlight w:val="none"/>
        </w:rPr>
        <w:t>℃。</w:t>
      </w:r>
    </w:p>
    <w:p>
      <w:pPr>
        <w:spacing w:line="360" w:lineRule="auto"/>
        <w:ind w:firstLine="480"/>
        <w:rPr>
          <w:rFonts w:hint="default" w:eastAsia="宋体"/>
          <w:color w:val="auto"/>
          <w:sz w:val="24"/>
          <w:highlight w:val="none"/>
          <w:lang w:val="en-US" w:eastAsia="zh-CN"/>
        </w:rPr>
      </w:pPr>
      <w:r>
        <w:rPr>
          <w:rFonts w:hint="eastAsia"/>
          <w:color w:val="auto"/>
          <w:sz w:val="24"/>
          <w:highlight w:val="none"/>
        </w:rPr>
        <w:t>本项目废气采用“集气罩</w:t>
      </w:r>
      <w:r>
        <w:rPr>
          <w:rFonts w:hint="eastAsia"/>
          <w:color w:val="auto"/>
          <w:sz w:val="24"/>
          <w:highlight w:val="none"/>
          <w:lang w:val="en-US" w:eastAsia="zh-CN"/>
        </w:rPr>
        <w:t>+三级活性炭吸附</w:t>
      </w:r>
      <w:r>
        <w:rPr>
          <w:rFonts w:hint="eastAsia"/>
          <w:color w:val="auto"/>
          <w:sz w:val="24"/>
          <w:highlight w:val="none"/>
        </w:rPr>
        <w:t>”工艺，</w:t>
      </w:r>
      <w:r>
        <w:rPr>
          <w:rFonts w:hint="eastAsia"/>
          <w:color w:val="auto"/>
          <w:sz w:val="24"/>
          <w:szCs w:val="20"/>
          <w:highlight w:val="none"/>
          <w:lang w:val="en-US" w:eastAsia="zh-CN"/>
        </w:rPr>
        <w:t>根据</w:t>
      </w:r>
      <w:r>
        <w:rPr>
          <w:rFonts w:hint="default" w:ascii="Times New Roman" w:hAnsi="Times New Roman" w:cs="Times New Roman"/>
          <w:color w:val="auto"/>
          <w:sz w:val="24"/>
          <w:highlight w:val="none"/>
        </w:rPr>
        <w:t xml:space="preserve">《排放源统计调查产排污核算方法和系数手册》“292 塑料制品业系数手册” 中的“2926 </w:t>
      </w:r>
      <w:r>
        <w:rPr>
          <w:rFonts w:hint="eastAsia" w:cs="Times New Roman"/>
          <w:color w:val="auto"/>
          <w:sz w:val="24"/>
          <w:highlight w:val="none"/>
          <w:lang w:val="en-US" w:eastAsia="zh-CN"/>
        </w:rPr>
        <w:t>塑料包装箱及容器制造行业</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系数表，塑料包装箱及容器在配料-混合-挤出/注（吹）塑过程中，</w:t>
      </w:r>
      <w:r>
        <w:rPr>
          <w:color w:val="auto"/>
          <w:kern w:val="0"/>
          <w:sz w:val="24"/>
          <w:highlight w:val="none"/>
        </w:rPr>
        <w:t>活性炭吸附装置对有机废气去除率按</w:t>
      </w:r>
      <w:r>
        <w:rPr>
          <w:rFonts w:hint="eastAsia"/>
          <w:color w:val="auto"/>
          <w:kern w:val="0"/>
          <w:sz w:val="24"/>
          <w:highlight w:val="none"/>
          <w:lang w:val="en-US" w:eastAsia="zh-CN"/>
        </w:rPr>
        <w:t>21</w:t>
      </w:r>
      <w:r>
        <w:rPr>
          <w:color w:val="auto"/>
          <w:kern w:val="0"/>
          <w:sz w:val="24"/>
          <w:highlight w:val="none"/>
        </w:rPr>
        <w:t>%计</w:t>
      </w:r>
      <w:r>
        <w:rPr>
          <w:rFonts w:hint="eastAsia"/>
          <w:color w:val="auto"/>
          <w:kern w:val="0"/>
          <w:sz w:val="24"/>
          <w:highlight w:val="none"/>
        </w:rPr>
        <w:t>，</w:t>
      </w:r>
      <w:r>
        <w:rPr>
          <w:rFonts w:hint="eastAsia"/>
          <w:color w:val="auto"/>
          <w:kern w:val="0"/>
          <w:sz w:val="24"/>
          <w:highlight w:val="none"/>
          <w:lang w:val="en-US" w:eastAsia="zh-CN"/>
        </w:rPr>
        <w:t>本项目三级活性炭吸附装置对有机废气去除率按65%计，并及时更换活性炭，保证活性炭使用时不饱和失效，</w:t>
      </w:r>
      <w:r>
        <w:rPr>
          <w:rFonts w:hint="eastAsia"/>
          <w:color w:val="auto"/>
          <w:sz w:val="24"/>
          <w:highlight w:val="none"/>
        </w:rPr>
        <w:t>综合净化效率</w:t>
      </w:r>
      <w:r>
        <w:rPr>
          <w:rFonts w:hint="eastAsia"/>
          <w:color w:val="auto"/>
          <w:sz w:val="24"/>
          <w:highlight w:val="none"/>
          <w:lang w:val="en-US" w:eastAsia="zh-CN"/>
        </w:rPr>
        <w:t>约</w:t>
      </w:r>
      <w:r>
        <w:rPr>
          <w:rFonts w:hint="eastAsia"/>
          <w:color w:val="auto"/>
          <w:sz w:val="24"/>
          <w:highlight w:val="none"/>
        </w:rPr>
        <w:t>为80%。根据《排污许可证申请与核发技术规范</w:t>
      </w:r>
      <w:r>
        <w:rPr>
          <w:rFonts w:hint="eastAsia"/>
          <w:color w:val="auto"/>
          <w:sz w:val="24"/>
          <w:highlight w:val="none"/>
          <w:lang w:val="en-US" w:eastAsia="zh-CN"/>
        </w:rPr>
        <w:t xml:space="preserve"> 橡胶和塑料制品工业</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HJ1122-2020</w:t>
      </w:r>
      <w:r>
        <w:rPr>
          <w:rFonts w:hint="eastAsia"/>
          <w:color w:val="auto"/>
          <w:sz w:val="24"/>
          <w:highlight w:val="none"/>
          <w:lang w:eastAsia="zh-CN"/>
        </w:rPr>
        <w:t>）</w:t>
      </w:r>
      <w:r>
        <w:rPr>
          <w:rFonts w:hint="eastAsia"/>
          <w:color w:val="auto"/>
          <w:sz w:val="24"/>
          <w:highlight w:val="none"/>
        </w:rPr>
        <w:t>表A.1</w:t>
      </w:r>
      <w:r>
        <w:rPr>
          <w:rFonts w:hint="eastAsia"/>
          <w:color w:val="auto"/>
          <w:sz w:val="24"/>
          <w:highlight w:val="none"/>
          <w:lang w:val="en-US" w:eastAsia="zh-CN"/>
        </w:rPr>
        <w:t>塑料制品</w:t>
      </w:r>
      <w:r>
        <w:rPr>
          <w:rFonts w:hint="eastAsia"/>
          <w:color w:val="auto"/>
          <w:sz w:val="24"/>
          <w:highlight w:val="none"/>
        </w:rPr>
        <w:t>工业排污单位废气污染防治可行技术参考表</w:t>
      </w:r>
      <w:r>
        <w:rPr>
          <w:rFonts w:hint="eastAsia"/>
          <w:color w:val="auto"/>
          <w:sz w:val="24"/>
          <w:highlight w:val="none"/>
          <w:lang w:eastAsia="zh-CN"/>
        </w:rPr>
        <w:t>，</w:t>
      </w:r>
      <w:r>
        <w:rPr>
          <w:rFonts w:hint="eastAsia"/>
          <w:color w:val="auto"/>
          <w:sz w:val="24"/>
          <w:highlight w:val="none"/>
          <w:lang w:val="en-US" w:eastAsia="zh-CN"/>
        </w:rPr>
        <w:t>塑料包装及容器制造产生的非甲烷总烃采用活性炭吸附处理为可行技术。</w:t>
      </w:r>
    </w:p>
    <w:p>
      <w:pPr>
        <w:spacing w:line="360" w:lineRule="auto"/>
        <w:ind w:firstLine="480"/>
        <w:rPr>
          <w:color w:val="auto"/>
          <w:highlight w:val="none"/>
        </w:rPr>
      </w:pPr>
      <w:r>
        <w:rPr>
          <w:rFonts w:hint="eastAsia"/>
          <w:color w:val="auto"/>
          <w:sz w:val="24"/>
          <w:highlight w:val="none"/>
        </w:rPr>
        <w:t>根据预测分析，采取措施后，</w:t>
      </w:r>
      <w:r>
        <w:rPr>
          <w:rFonts w:hint="eastAsia"/>
          <w:color w:val="auto"/>
          <w:sz w:val="24"/>
          <w:highlight w:val="none"/>
          <w:lang w:val="en-US" w:eastAsia="zh-CN"/>
        </w:rPr>
        <w:t>塑料框</w:t>
      </w:r>
      <w:r>
        <w:rPr>
          <w:rFonts w:hint="eastAsia"/>
          <w:color w:val="auto"/>
          <w:sz w:val="24"/>
          <w:highlight w:val="none"/>
        </w:rPr>
        <w:t>生产线</w:t>
      </w:r>
      <w:r>
        <w:rPr>
          <w:rFonts w:hint="eastAsia"/>
          <w:color w:val="auto"/>
          <w:sz w:val="24"/>
          <w:highlight w:val="none"/>
          <w:lang w:val="en-US" w:eastAsia="zh-CN"/>
        </w:rPr>
        <w:t>热熔注塑</w:t>
      </w:r>
      <w:r>
        <w:rPr>
          <w:rFonts w:hint="eastAsia"/>
          <w:color w:val="auto"/>
          <w:sz w:val="24"/>
          <w:highlight w:val="none"/>
        </w:rPr>
        <w:t>废气有组织、无组织颗粒物、非甲烷总烃排放浓度均符合</w:t>
      </w:r>
      <w:r>
        <w:rPr>
          <w:color w:val="auto"/>
          <w:sz w:val="24"/>
          <w:highlight w:val="none"/>
        </w:rPr>
        <w:t>《合成树脂工业污染物排放标准》（GB31572-2015）表4规定的大气污染物排放限值和表9规定的企业边界大气污染物浓度限值</w:t>
      </w:r>
      <w:r>
        <w:rPr>
          <w:rFonts w:hint="eastAsia"/>
          <w:color w:val="auto"/>
          <w:sz w:val="24"/>
          <w:highlight w:val="none"/>
        </w:rPr>
        <w:t>要求，故项目采取的废气控制方案及处理工艺可行、可靠。</w:t>
      </w:r>
    </w:p>
    <w:p>
      <w:pPr>
        <w:pStyle w:val="470"/>
        <w:spacing w:beforeLines="0" w:afterLines="0"/>
        <w:ind w:left="0" w:leftChars="0" w:firstLine="0" w:firstLineChars="0"/>
        <w:outlineLvl w:val="3"/>
        <w:rPr>
          <w:rFonts w:ascii="Times New Roman" w:hAnsi="Times New Roman"/>
          <w:color w:val="auto"/>
          <w:sz w:val="24"/>
          <w:highlight w:val="none"/>
        </w:rPr>
      </w:pPr>
      <w:r>
        <w:rPr>
          <w:rFonts w:ascii="Times New Roman" w:hAnsi="Times New Roman"/>
          <w:color w:val="auto"/>
          <w:sz w:val="24"/>
          <w:highlight w:val="none"/>
        </w:rPr>
        <w:t xml:space="preserve">7.2.1.4 </w:t>
      </w:r>
      <w:r>
        <w:rPr>
          <w:rFonts w:hint="eastAsia" w:ascii="Times New Roman" w:hAnsi="Times New Roman"/>
          <w:color w:val="auto"/>
          <w:sz w:val="24"/>
          <w:highlight w:val="none"/>
        </w:rPr>
        <w:t>废气处理经济</w:t>
      </w:r>
      <w:r>
        <w:rPr>
          <w:rFonts w:ascii="Times New Roman" w:hAnsi="Times New Roman"/>
          <w:color w:val="auto"/>
          <w:sz w:val="24"/>
          <w:highlight w:val="none"/>
        </w:rPr>
        <w:t>可行性分析</w:t>
      </w:r>
    </w:p>
    <w:p>
      <w:pPr>
        <w:spacing w:line="360" w:lineRule="auto"/>
        <w:ind w:firstLine="482"/>
        <w:rPr>
          <w:color w:val="auto"/>
          <w:sz w:val="24"/>
          <w:highlight w:val="none"/>
        </w:rPr>
      </w:pPr>
      <w:r>
        <w:rPr>
          <w:rFonts w:hint="eastAsia"/>
          <w:color w:val="auto"/>
          <w:sz w:val="24"/>
          <w:highlight w:val="none"/>
        </w:rPr>
        <w:t>本项目废气处理设施</w:t>
      </w:r>
      <w:r>
        <w:rPr>
          <w:rFonts w:hint="eastAsia"/>
          <w:color w:val="auto"/>
          <w:sz w:val="24"/>
          <w:highlight w:val="none"/>
          <w:lang w:val="en-US" w:eastAsia="zh-CN"/>
        </w:rPr>
        <w:t>有三级活性炭吸附</w:t>
      </w:r>
      <w:r>
        <w:rPr>
          <w:rFonts w:hint="eastAsia"/>
          <w:color w:val="auto"/>
          <w:sz w:val="24"/>
          <w:highlight w:val="none"/>
        </w:rPr>
        <w:t>装置。</w:t>
      </w:r>
      <w:r>
        <w:rPr>
          <w:color w:val="auto"/>
          <w:sz w:val="24"/>
          <w:highlight w:val="none"/>
        </w:rPr>
        <w:t>根据建设单位提供资料，本项目有机废气处理装置的安装费用约为</w:t>
      </w:r>
      <w:r>
        <w:rPr>
          <w:rFonts w:hint="eastAsia"/>
          <w:color w:val="auto"/>
          <w:sz w:val="24"/>
          <w:highlight w:val="none"/>
          <w:lang w:val="en-US" w:eastAsia="zh-CN"/>
        </w:rPr>
        <w:t>10</w:t>
      </w:r>
      <w:r>
        <w:rPr>
          <w:color w:val="auto"/>
          <w:sz w:val="24"/>
          <w:highlight w:val="none"/>
        </w:rPr>
        <w:t>万元/套，</w:t>
      </w:r>
      <w:r>
        <w:rPr>
          <w:rFonts w:hint="eastAsia"/>
          <w:color w:val="auto"/>
          <w:sz w:val="24"/>
          <w:highlight w:val="none"/>
        </w:rPr>
        <w:t>设施</w:t>
      </w:r>
      <w:r>
        <w:rPr>
          <w:rFonts w:hint="eastAsia"/>
          <w:color w:val="auto"/>
          <w:sz w:val="24"/>
          <w:highlight w:val="none"/>
          <w:lang w:val="en-US" w:eastAsia="zh-CN"/>
        </w:rPr>
        <w:t>后期</w:t>
      </w:r>
      <w:r>
        <w:rPr>
          <w:rFonts w:hint="eastAsia"/>
          <w:color w:val="auto"/>
          <w:sz w:val="24"/>
          <w:highlight w:val="none"/>
        </w:rPr>
        <w:t>的运营费用</w:t>
      </w:r>
      <w:r>
        <w:rPr>
          <w:rFonts w:hint="eastAsia"/>
          <w:color w:val="auto"/>
          <w:sz w:val="24"/>
          <w:highlight w:val="none"/>
          <w:lang w:val="en-US" w:eastAsia="zh-CN"/>
        </w:rPr>
        <w:t>约</w:t>
      </w:r>
      <w:r>
        <w:rPr>
          <w:rFonts w:hint="eastAsia"/>
          <w:color w:val="auto"/>
          <w:sz w:val="24"/>
          <w:highlight w:val="none"/>
        </w:rPr>
        <w:t>为</w:t>
      </w:r>
      <w:r>
        <w:rPr>
          <w:rFonts w:hint="eastAsia"/>
          <w:color w:val="auto"/>
          <w:sz w:val="24"/>
          <w:highlight w:val="none"/>
          <w:lang w:val="en-US" w:eastAsia="zh-CN"/>
        </w:rPr>
        <w:t>3</w:t>
      </w:r>
      <w:r>
        <w:rPr>
          <w:rFonts w:hint="eastAsia"/>
          <w:color w:val="auto"/>
          <w:sz w:val="24"/>
          <w:highlight w:val="none"/>
        </w:rPr>
        <w:t>万元/年。项目废气处理总投资为</w:t>
      </w:r>
      <w:r>
        <w:rPr>
          <w:rFonts w:hint="eastAsia"/>
          <w:color w:val="auto"/>
          <w:sz w:val="24"/>
          <w:highlight w:val="none"/>
          <w:lang w:val="en-US" w:eastAsia="zh-CN"/>
        </w:rPr>
        <w:t>13</w:t>
      </w:r>
      <w:r>
        <w:rPr>
          <w:rFonts w:hint="eastAsia"/>
          <w:color w:val="auto"/>
          <w:sz w:val="24"/>
          <w:highlight w:val="none"/>
        </w:rPr>
        <w:t>万元，占项目总投资</w:t>
      </w:r>
      <w:r>
        <w:rPr>
          <w:rFonts w:hint="eastAsia"/>
          <w:color w:val="auto"/>
          <w:sz w:val="24"/>
          <w:highlight w:val="none"/>
          <w:lang w:val="en-US" w:eastAsia="zh-CN"/>
        </w:rPr>
        <w:t>500</w:t>
      </w:r>
      <w:r>
        <w:rPr>
          <w:rFonts w:hint="eastAsia"/>
          <w:color w:val="auto"/>
          <w:sz w:val="24"/>
          <w:highlight w:val="none"/>
        </w:rPr>
        <w:t>万元的</w:t>
      </w:r>
      <w:r>
        <w:rPr>
          <w:rFonts w:hint="eastAsia"/>
          <w:color w:val="auto"/>
          <w:sz w:val="24"/>
          <w:highlight w:val="none"/>
          <w:lang w:val="en-US" w:eastAsia="zh-CN"/>
        </w:rPr>
        <w:t>2.6</w:t>
      </w:r>
      <w:r>
        <w:rPr>
          <w:rFonts w:hint="eastAsia"/>
          <w:color w:val="auto"/>
          <w:sz w:val="24"/>
          <w:highlight w:val="none"/>
        </w:rPr>
        <w:t>%。</w:t>
      </w:r>
      <w:r>
        <w:rPr>
          <w:color w:val="auto"/>
          <w:sz w:val="24"/>
          <w:highlight w:val="none"/>
        </w:rPr>
        <w:t>另外，项目废气处理系统的安装可进一步减缓有机废气的排放总量，减缓对大气环境的影响，同时减少有机废气排污费。</w:t>
      </w:r>
      <w:r>
        <w:rPr>
          <w:rFonts w:hint="eastAsia"/>
          <w:color w:val="auto"/>
          <w:sz w:val="24"/>
          <w:highlight w:val="none"/>
        </w:rPr>
        <w:t>因此，从经济上分析，本项目的废气处理措施是可行的。</w:t>
      </w:r>
    </w:p>
    <w:p>
      <w:pPr>
        <w:keepNext/>
        <w:keepLines/>
        <w:spacing w:line="360" w:lineRule="auto"/>
        <w:outlineLvl w:val="2"/>
        <w:rPr>
          <w:b/>
          <w:bCs/>
          <w:color w:val="auto"/>
          <w:sz w:val="24"/>
          <w:highlight w:val="none"/>
        </w:rPr>
      </w:pPr>
      <w:bookmarkStart w:id="713" w:name="_Toc3499"/>
      <w:r>
        <w:rPr>
          <w:color w:val="auto"/>
          <w:highlight w:val="none"/>
        </w:rPr>
        <w:fldChar w:fldCharType="begin"/>
      </w:r>
      <w:r>
        <w:rPr>
          <w:color w:val="auto"/>
          <w:highlight w:val="none"/>
        </w:rPr>
        <w:instrText xml:space="preserve"> HYPERLINK "file:///H:\\2015环评报告\\2015-01平利县龙洞湾重晶石矿\\环评正文\\l" </w:instrText>
      </w:r>
      <w:r>
        <w:rPr>
          <w:color w:val="auto"/>
          <w:highlight w:val="none"/>
        </w:rPr>
        <w:fldChar w:fldCharType="separate"/>
      </w:r>
      <w:bookmarkStart w:id="714" w:name="_Toc75908742"/>
      <w:r>
        <w:rPr>
          <w:b/>
          <w:bCs/>
          <w:color w:val="auto"/>
          <w:sz w:val="24"/>
          <w:highlight w:val="none"/>
        </w:rPr>
        <w:t>7.2.2 水污染防治措施</w:t>
      </w:r>
      <w:bookmarkEnd w:id="714"/>
      <w:r>
        <w:rPr>
          <w:b/>
          <w:bCs/>
          <w:color w:val="auto"/>
          <w:sz w:val="24"/>
          <w:highlight w:val="none"/>
        </w:rPr>
        <w:fldChar w:fldCharType="end"/>
      </w:r>
      <w:bookmarkEnd w:id="713"/>
    </w:p>
    <w:p>
      <w:pPr>
        <w:pStyle w:val="470"/>
        <w:spacing w:beforeLines="0" w:afterLines="0"/>
        <w:ind w:left="0" w:leftChars="0" w:firstLine="0" w:firstLineChars="0"/>
        <w:outlineLvl w:val="3"/>
        <w:rPr>
          <w:rFonts w:ascii="Times New Roman" w:hAnsi="Times New Roman"/>
          <w:color w:val="auto"/>
          <w:sz w:val="24"/>
          <w:highlight w:val="none"/>
        </w:rPr>
      </w:pPr>
      <w:bookmarkStart w:id="715" w:name="_Toc367282209"/>
      <w:bookmarkStart w:id="716" w:name="_Toc367281626"/>
      <w:bookmarkStart w:id="717" w:name="_Toc259130611"/>
      <w:bookmarkStart w:id="718" w:name="_Toc259105016"/>
      <w:bookmarkStart w:id="719" w:name="_Toc341369586"/>
      <w:bookmarkStart w:id="720" w:name="_Toc259129244"/>
      <w:bookmarkStart w:id="721" w:name="_Toc275730568"/>
      <w:bookmarkStart w:id="722" w:name="_Toc259104336"/>
      <w:bookmarkStart w:id="723" w:name="_Toc275002206"/>
      <w:r>
        <w:rPr>
          <w:rFonts w:ascii="Times New Roman" w:hAnsi="Times New Roman"/>
          <w:color w:val="auto"/>
          <w:sz w:val="24"/>
          <w:highlight w:val="none"/>
        </w:rPr>
        <w:t>7.2.2.1 废水治理对象</w:t>
      </w:r>
    </w:p>
    <w:p>
      <w:pPr>
        <w:spacing w:line="360" w:lineRule="auto"/>
        <w:ind w:firstLine="480" w:firstLineChars="200"/>
        <w:rPr>
          <w:color w:val="auto"/>
          <w:sz w:val="24"/>
          <w:highlight w:val="none"/>
        </w:rPr>
      </w:pPr>
      <w:r>
        <w:rPr>
          <w:color w:val="auto"/>
          <w:sz w:val="24"/>
          <w:highlight w:val="none"/>
        </w:rPr>
        <w:t>治理对象为全厂运营期废水：生产废水和生活污水。生产废水主要包括冷却水、车间地面清洗废水，污染物主要为悬浮物和COD；冷却循环排水水质较简单。生活污水主要为员工生活污水。</w:t>
      </w:r>
    </w:p>
    <w:p>
      <w:pPr>
        <w:spacing w:line="360" w:lineRule="auto"/>
        <w:ind w:firstLine="480" w:firstLineChars="200"/>
        <w:rPr>
          <w:color w:val="auto"/>
          <w:sz w:val="24"/>
          <w:highlight w:val="none"/>
        </w:rPr>
      </w:pPr>
      <w:r>
        <w:rPr>
          <w:color w:val="auto"/>
          <w:sz w:val="24"/>
          <w:highlight w:val="none"/>
        </w:rPr>
        <w:t>项目废水产排情况具体见表</w:t>
      </w:r>
      <w:r>
        <w:rPr>
          <w:rFonts w:hint="eastAsia"/>
          <w:color w:val="auto"/>
          <w:sz w:val="24"/>
          <w:highlight w:val="none"/>
          <w:lang w:val="en-US" w:eastAsia="zh-CN"/>
        </w:rPr>
        <w:t>3</w:t>
      </w:r>
      <w:r>
        <w:rPr>
          <w:color w:val="auto"/>
          <w:sz w:val="24"/>
          <w:highlight w:val="none"/>
        </w:rPr>
        <w:t>.3-1。</w:t>
      </w:r>
    </w:p>
    <w:p>
      <w:pPr>
        <w:pStyle w:val="470"/>
        <w:spacing w:beforeLines="0" w:afterLines="0"/>
        <w:ind w:left="0" w:leftChars="0" w:firstLine="0" w:firstLineChars="0"/>
        <w:outlineLvl w:val="3"/>
        <w:rPr>
          <w:rFonts w:ascii="Times New Roman" w:hAnsi="Times New Roman"/>
          <w:color w:val="auto"/>
          <w:sz w:val="24"/>
          <w:highlight w:val="none"/>
        </w:rPr>
      </w:pPr>
      <w:r>
        <w:rPr>
          <w:rFonts w:ascii="Times New Roman" w:hAnsi="Times New Roman"/>
          <w:color w:val="auto"/>
          <w:sz w:val="24"/>
          <w:highlight w:val="none"/>
        </w:rPr>
        <w:t>7.2.2.2 废水</w:t>
      </w:r>
      <w:r>
        <w:rPr>
          <w:rFonts w:hint="eastAsia" w:ascii="Times New Roman" w:hAnsi="Times New Roman"/>
          <w:color w:val="auto"/>
          <w:sz w:val="24"/>
          <w:highlight w:val="none"/>
        </w:rPr>
        <w:t>防治措施</w:t>
      </w:r>
    </w:p>
    <w:p>
      <w:pPr>
        <w:spacing w:line="360" w:lineRule="auto"/>
        <w:ind w:firstLine="480" w:firstLineChars="200"/>
        <w:rPr>
          <w:color w:val="auto"/>
          <w:kern w:val="0"/>
          <w:sz w:val="24"/>
          <w:highlight w:val="none"/>
        </w:rPr>
      </w:pPr>
      <w:r>
        <w:rPr>
          <w:color w:val="auto"/>
          <w:kern w:val="0"/>
          <w:sz w:val="24"/>
          <w:highlight w:val="none"/>
        </w:rPr>
        <w:t>根据现场调查，</w:t>
      </w:r>
      <w:r>
        <w:rPr>
          <w:rFonts w:hint="eastAsia"/>
          <w:color w:val="auto"/>
          <w:kern w:val="0"/>
          <w:sz w:val="24"/>
          <w:highlight w:val="none"/>
          <w:lang w:val="en-US" w:eastAsia="zh-CN"/>
        </w:rPr>
        <w:t>项目区内拟建一座容积为31m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的冷却循环水池，冷却水与塑料框间接接触，其为自来水，基本无污染物，冷却水循环使用不外排，定期补充蒸发损耗；</w:t>
      </w:r>
      <w:r>
        <w:rPr>
          <w:rFonts w:hint="eastAsia"/>
          <w:color w:val="auto"/>
          <w:kern w:val="0"/>
          <w:sz w:val="24"/>
          <w:highlight w:val="none"/>
        </w:rPr>
        <w:t>地面清洁废水</w:t>
      </w:r>
      <w:r>
        <w:rPr>
          <w:rFonts w:hint="eastAsia"/>
          <w:color w:val="auto"/>
          <w:kern w:val="0"/>
          <w:sz w:val="24"/>
          <w:highlight w:val="none"/>
          <w:lang w:val="en-US" w:eastAsia="zh-CN"/>
        </w:rPr>
        <w:t>排入已有化粪池后与生活污水一并处理；</w:t>
      </w:r>
      <w:r>
        <w:rPr>
          <w:color w:val="auto"/>
          <w:sz w:val="24"/>
          <w:highlight w:val="none"/>
        </w:rPr>
        <w:t>生活污水排入</w:t>
      </w:r>
      <w:r>
        <w:rPr>
          <w:rFonts w:hint="eastAsia"/>
          <w:color w:val="auto"/>
          <w:sz w:val="24"/>
          <w:highlight w:val="none"/>
          <w:lang w:val="en-US" w:eastAsia="zh-CN"/>
        </w:rPr>
        <w:t>已有化粪池后定期由建设单位运至寻甸县水质净化厂处理，不外排。</w:t>
      </w:r>
      <w:r>
        <w:rPr>
          <w:color w:val="auto"/>
          <w:kern w:val="0"/>
          <w:sz w:val="24"/>
          <w:highlight w:val="none"/>
        </w:rPr>
        <w:t>项目运营期各类废水均合理利用，无外排废水。</w:t>
      </w:r>
    </w:p>
    <w:p>
      <w:pPr>
        <w:pStyle w:val="470"/>
        <w:spacing w:beforeLines="0" w:afterLines="0"/>
        <w:ind w:left="0" w:leftChars="0" w:firstLine="0" w:firstLineChars="0"/>
        <w:outlineLvl w:val="3"/>
        <w:rPr>
          <w:rFonts w:ascii="Times New Roman" w:hAnsi="Times New Roman"/>
          <w:color w:val="auto"/>
          <w:sz w:val="24"/>
          <w:highlight w:val="none"/>
        </w:rPr>
      </w:pPr>
      <w:r>
        <w:rPr>
          <w:rFonts w:ascii="Times New Roman" w:hAnsi="Times New Roman"/>
          <w:color w:val="auto"/>
          <w:sz w:val="24"/>
          <w:highlight w:val="none"/>
        </w:rPr>
        <w:t>7.2.2.</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废水治理方案可行性分析</w:t>
      </w:r>
    </w:p>
    <w:p>
      <w:pPr>
        <w:spacing w:line="360" w:lineRule="auto"/>
        <w:ind w:firstLine="480" w:firstLineChars="200"/>
        <w:rPr>
          <w:color w:val="auto"/>
          <w:kern w:val="0"/>
          <w:sz w:val="24"/>
          <w:highlight w:val="none"/>
        </w:rPr>
      </w:pPr>
      <w:r>
        <w:rPr>
          <w:color w:val="auto"/>
          <w:kern w:val="0"/>
          <w:sz w:val="24"/>
          <w:highlight w:val="none"/>
        </w:rPr>
        <w:t>（1）地面清洗废水处置可行性分析</w:t>
      </w:r>
    </w:p>
    <w:p>
      <w:pPr>
        <w:spacing w:line="360" w:lineRule="auto"/>
        <w:ind w:firstLine="480" w:firstLineChars="200"/>
        <w:rPr>
          <w:color w:val="auto"/>
          <w:kern w:val="0"/>
          <w:sz w:val="24"/>
          <w:highlight w:val="none"/>
        </w:rPr>
      </w:pPr>
      <w:r>
        <w:rPr>
          <w:rFonts w:hint="default"/>
          <w:color w:val="auto"/>
          <w:kern w:val="0"/>
          <w:sz w:val="24"/>
          <w:highlight w:val="none"/>
          <w:lang w:val="en-US" w:eastAsia="zh-CN"/>
        </w:rPr>
        <w:t>经工程分析车间地面清洗废水产生量为</w:t>
      </w:r>
      <w:r>
        <w:rPr>
          <w:rFonts w:hint="eastAsia"/>
          <w:color w:val="auto"/>
          <w:kern w:val="0"/>
          <w:sz w:val="24"/>
          <w:highlight w:val="none"/>
          <w:lang w:val="en-US" w:eastAsia="zh-CN"/>
        </w:rPr>
        <w:t>0.18</w:t>
      </w:r>
      <w:r>
        <w:rPr>
          <w:rFonts w:hint="default"/>
          <w:color w:val="auto"/>
          <w:kern w:val="0"/>
          <w:sz w:val="24"/>
          <w:highlight w:val="none"/>
          <w:lang w:val="en-US" w:eastAsia="zh-CN"/>
        </w:rPr>
        <w:t>m</w:t>
      </w:r>
      <w:r>
        <w:rPr>
          <w:rFonts w:hint="default"/>
          <w:color w:val="auto"/>
          <w:kern w:val="0"/>
          <w:sz w:val="24"/>
          <w:highlight w:val="none"/>
          <w:vertAlign w:val="superscript"/>
          <w:lang w:val="en-US" w:eastAsia="zh-CN"/>
        </w:rPr>
        <w:t>3</w:t>
      </w:r>
      <w:r>
        <w:rPr>
          <w:rFonts w:hint="default"/>
          <w:color w:val="auto"/>
          <w:kern w:val="0"/>
          <w:sz w:val="24"/>
          <w:highlight w:val="none"/>
          <w:lang w:val="en-US" w:eastAsia="zh-CN"/>
        </w:rPr>
        <w:t>/d，取最大产污系数1.2，则最大排放量为</w:t>
      </w:r>
      <w:r>
        <w:rPr>
          <w:rFonts w:hint="eastAsia"/>
          <w:color w:val="auto"/>
          <w:kern w:val="0"/>
          <w:sz w:val="24"/>
          <w:highlight w:val="none"/>
          <w:lang w:val="en-US" w:eastAsia="zh-CN"/>
        </w:rPr>
        <w:t>0.216</w:t>
      </w:r>
      <w:r>
        <w:rPr>
          <w:rFonts w:hint="default"/>
          <w:color w:val="auto"/>
          <w:kern w:val="0"/>
          <w:sz w:val="24"/>
          <w:highlight w:val="none"/>
          <w:lang w:val="en-US" w:eastAsia="zh-CN"/>
        </w:rPr>
        <w:t>m</w:t>
      </w:r>
      <w:r>
        <w:rPr>
          <w:rFonts w:hint="default"/>
          <w:color w:val="auto"/>
          <w:kern w:val="0"/>
          <w:sz w:val="24"/>
          <w:highlight w:val="none"/>
          <w:vertAlign w:val="superscript"/>
          <w:lang w:val="en-US" w:eastAsia="zh-CN"/>
        </w:rPr>
        <w:t>3</w:t>
      </w:r>
      <w:r>
        <w:rPr>
          <w:rFonts w:hint="default"/>
          <w:color w:val="auto"/>
          <w:kern w:val="0"/>
          <w:sz w:val="24"/>
          <w:highlight w:val="none"/>
          <w:lang w:val="en-US" w:eastAsia="zh-CN"/>
        </w:rPr>
        <w:t>/d，车间地面清洗废水主要污染物为SS，</w:t>
      </w:r>
      <w:r>
        <w:rPr>
          <w:rFonts w:hint="eastAsia"/>
          <w:color w:val="auto"/>
          <w:kern w:val="0"/>
          <w:sz w:val="24"/>
          <w:highlight w:val="none"/>
          <w:lang w:val="en-US" w:eastAsia="zh-CN"/>
        </w:rPr>
        <w:t>废水产生量较少，经过已有化粪池处理后，定期由建设单位运至寻甸县水质净化厂处理。项目地面清洁废水</w:t>
      </w:r>
      <w:r>
        <w:rPr>
          <w:rFonts w:hint="eastAsia"/>
          <w:color w:val="auto"/>
          <w:kern w:val="0"/>
          <w:sz w:val="24"/>
          <w:highlight w:val="none"/>
        </w:rPr>
        <w:t>处理措施可行。</w:t>
      </w:r>
    </w:p>
    <w:p>
      <w:pPr>
        <w:spacing w:line="360" w:lineRule="auto"/>
        <w:ind w:firstLine="480" w:firstLineChars="200"/>
        <w:rPr>
          <w:color w:val="auto"/>
          <w:kern w:val="0"/>
          <w:sz w:val="24"/>
          <w:highlight w:val="none"/>
        </w:rPr>
      </w:pPr>
      <w:r>
        <w:rPr>
          <w:color w:val="auto"/>
          <w:kern w:val="0"/>
          <w:sz w:val="24"/>
          <w:highlight w:val="none"/>
        </w:rPr>
        <w:t>（</w:t>
      </w:r>
      <w:r>
        <w:rPr>
          <w:rFonts w:hint="eastAsia"/>
          <w:color w:val="auto"/>
          <w:kern w:val="0"/>
          <w:sz w:val="24"/>
          <w:highlight w:val="none"/>
        </w:rPr>
        <w:t>2</w:t>
      </w:r>
      <w:r>
        <w:rPr>
          <w:color w:val="auto"/>
          <w:kern w:val="0"/>
          <w:sz w:val="24"/>
          <w:highlight w:val="none"/>
        </w:rPr>
        <w:t>）冷却循环系统排水</w:t>
      </w:r>
    </w:p>
    <w:p>
      <w:pPr>
        <w:spacing w:line="360" w:lineRule="auto"/>
        <w:ind w:firstLine="480" w:firstLineChars="200"/>
        <w:rPr>
          <w:rFonts w:hint="default"/>
          <w:color w:val="auto"/>
          <w:kern w:val="0"/>
          <w:sz w:val="24"/>
          <w:highlight w:val="none"/>
          <w:lang w:val="en-US" w:eastAsia="zh-CN"/>
        </w:rPr>
      </w:pPr>
      <w:r>
        <w:rPr>
          <w:rFonts w:hint="default"/>
          <w:color w:val="auto"/>
          <w:kern w:val="0"/>
          <w:sz w:val="24"/>
          <w:highlight w:val="none"/>
          <w:lang w:val="en-US" w:eastAsia="zh-CN"/>
        </w:rPr>
        <w:t>生产过程中</w:t>
      </w:r>
      <w:r>
        <w:rPr>
          <w:rFonts w:hint="eastAsia"/>
          <w:color w:val="auto"/>
          <w:kern w:val="0"/>
          <w:sz w:val="24"/>
          <w:highlight w:val="none"/>
          <w:lang w:val="en-US" w:eastAsia="zh-CN"/>
        </w:rPr>
        <w:t>热熔注塑出</w:t>
      </w:r>
      <w:r>
        <w:rPr>
          <w:rFonts w:hint="default"/>
          <w:color w:val="auto"/>
          <w:kern w:val="0"/>
          <w:sz w:val="24"/>
          <w:highlight w:val="none"/>
          <w:lang w:val="en-US" w:eastAsia="zh-CN"/>
        </w:rPr>
        <w:t>的塑料温度较高，需冷却定型，冷却过程中会有部分水分蒸发或损耗。经过工程分析，项目冷却水用量为</w:t>
      </w:r>
      <w:r>
        <w:rPr>
          <w:rFonts w:hint="eastAsia"/>
          <w:color w:val="auto"/>
          <w:kern w:val="0"/>
          <w:sz w:val="24"/>
          <w:highlight w:val="none"/>
          <w:lang w:val="en-US" w:eastAsia="zh-CN"/>
        </w:rPr>
        <w:t>33.3</w:t>
      </w:r>
      <w:r>
        <w:rPr>
          <w:rFonts w:hint="default"/>
          <w:color w:val="auto"/>
          <w:kern w:val="0"/>
          <w:sz w:val="24"/>
          <w:highlight w:val="none"/>
          <w:lang w:val="en-US" w:eastAsia="zh-CN"/>
        </w:rPr>
        <w:t>m</w:t>
      </w:r>
      <w:r>
        <w:rPr>
          <w:rFonts w:hint="default"/>
          <w:color w:val="auto"/>
          <w:kern w:val="0"/>
          <w:sz w:val="24"/>
          <w:highlight w:val="none"/>
          <w:vertAlign w:val="superscript"/>
          <w:lang w:val="en-US" w:eastAsia="zh-CN"/>
        </w:rPr>
        <w:t>3</w:t>
      </w:r>
      <w:r>
        <w:rPr>
          <w:rFonts w:hint="eastAsia"/>
          <w:color w:val="auto"/>
          <w:kern w:val="0"/>
          <w:sz w:val="24"/>
          <w:highlight w:val="none"/>
          <w:vertAlign w:val="baseline"/>
          <w:lang w:val="en-US" w:eastAsia="zh-CN"/>
        </w:rPr>
        <w:t>/d</w:t>
      </w:r>
      <w:r>
        <w:rPr>
          <w:rFonts w:hint="default"/>
          <w:color w:val="auto"/>
          <w:kern w:val="0"/>
          <w:sz w:val="24"/>
          <w:highlight w:val="none"/>
          <w:lang w:val="en-US" w:eastAsia="zh-CN"/>
        </w:rPr>
        <w:t>，补充新鲜水量为</w:t>
      </w:r>
      <w:r>
        <w:rPr>
          <w:rFonts w:hint="eastAsia"/>
          <w:color w:val="auto"/>
          <w:kern w:val="0"/>
          <w:sz w:val="24"/>
          <w:highlight w:val="none"/>
          <w:lang w:val="en-US" w:eastAsia="zh-CN"/>
        </w:rPr>
        <w:t>2.5</w:t>
      </w:r>
      <w:r>
        <w:rPr>
          <w:rFonts w:hint="default"/>
          <w:color w:val="auto"/>
          <w:kern w:val="0"/>
          <w:sz w:val="24"/>
          <w:highlight w:val="none"/>
          <w:lang w:val="en-US" w:eastAsia="zh-CN"/>
        </w:rPr>
        <w:t>m</w:t>
      </w:r>
      <w:r>
        <w:rPr>
          <w:rFonts w:hint="default"/>
          <w:color w:val="auto"/>
          <w:kern w:val="0"/>
          <w:sz w:val="24"/>
          <w:highlight w:val="none"/>
          <w:vertAlign w:val="superscript"/>
          <w:lang w:val="en-US" w:eastAsia="zh-CN"/>
        </w:rPr>
        <w:t>3</w:t>
      </w:r>
      <w:r>
        <w:rPr>
          <w:rFonts w:hint="default"/>
          <w:color w:val="auto"/>
          <w:kern w:val="0"/>
          <w:sz w:val="24"/>
          <w:highlight w:val="none"/>
          <w:lang w:val="en-US" w:eastAsia="zh-CN"/>
        </w:rPr>
        <w:t>/d，</w:t>
      </w:r>
      <w:r>
        <w:rPr>
          <w:rFonts w:hint="eastAsia"/>
          <w:color w:val="auto"/>
          <w:kern w:val="0"/>
          <w:sz w:val="24"/>
          <w:highlight w:val="none"/>
          <w:lang w:val="en-US" w:eastAsia="zh-CN"/>
        </w:rPr>
        <w:t>冷却水循环使用量为30.83m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/d，项目设置1个容积为31m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的冷却水池，可收集1天的冷却循环水，能够保证项目区停水事故或炎热天气</w:t>
      </w:r>
      <w:r>
        <w:rPr>
          <w:rFonts w:hint="default"/>
          <w:color w:val="auto"/>
          <w:kern w:val="0"/>
          <w:sz w:val="24"/>
          <w:highlight w:val="none"/>
          <w:lang w:val="en-US" w:eastAsia="zh-CN"/>
        </w:rPr>
        <w:t>下水大量蒸发的综合情况下项目生产过程中冷却水的循环使用。此外，项目循环冷却水消耗量较小，水质简单，用途单一，能够保证循环使用不外排，项目生产废水循环使用是可行的。</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rPr>
        <w:t>3</w:t>
      </w:r>
      <w:r>
        <w:rPr>
          <w:color w:val="auto"/>
          <w:sz w:val="24"/>
          <w:highlight w:val="none"/>
        </w:rPr>
        <w:t>）生活污水</w:t>
      </w:r>
      <w:r>
        <w:rPr>
          <w:rFonts w:hint="eastAsia"/>
          <w:color w:val="auto"/>
          <w:sz w:val="24"/>
          <w:highlight w:val="none"/>
        </w:rPr>
        <w:t>处置可行性分析</w:t>
      </w:r>
    </w:p>
    <w:p>
      <w:pPr>
        <w:spacing w:line="360" w:lineRule="auto"/>
        <w:ind w:firstLine="480" w:firstLineChars="200"/>
        <w:rPr>
          <w:rFonts w:hint="eastAsia"/>
          <w:color w:val="auto"/>
          <w:kern w:val="0"/>
          <w:sz w:val="24"/>
          <w:highlight w:val="none"/>
          <w:lang w:val="en-US" w:eastAsia="zh-CN"/>
        </w:rPr>
      </w:pPr>
      <w:r>
        <w:rPr>
          <w:rFonts w:hint="default"/>
          <w:color w:val="auto"/>
          <w:kern w:val="0"/>
          <w:sz w:val="24"/>
          <w:highlight w:val="none"/>
          <w:lang w:val="en-US" w:eastAsia="zh-CN"/>
        </w:rPr>
        <w:t>本项目不在厂区内设置食堂和住宿，厂内员工的生活污水</w:t>
      </w:r>
      <w:r>
        <w:rPr>
          <w:rFonts w:hint="eastAsia"/>
          <w:color w:val="auto"/>
          <w:kern w:val="0"/>
          <w:sz w:val="24"/>
          <w:highlight w:val="none"/>
          <w:lang w:val="en-US" w:eastAsia="zh-CN"/>
        </w:rPr>
        <w:t>主要为洗手废水，</w:t>
      </w:r>
      <w:r>
        <w:rPr>
          <w:rFonts w:hint="default"/>
          <w:color w:val="auto"/>
          <w:kern w:val="0"/>
          <w:sz w:val="24"/>
          <w:highlight w:val="none"/>
          <w:lang w:val="en-US" w:eastAsia="zh-CN"/>
        </w:rPr>
        <w:t>本项目工作人员产生的废水量为</w:t>
      </w:r>
      <w:r>
        <w:rPr>
          <w:rFonts w:hint="eastAsia"/>
          <w:color w:val="auto"/>
          <w:kern w:val="0"/>
          <w:sz w:val="24"/>
          <w:highlight w:val="none"/>
          <w:lang w:val="en-US" w:eastAsia="zh-CN"/>
        </w:rPr>
        <w:t>0.1992</w:t>
      </w:r>
      <w:r>
        <w:rPr>
          <w:rFonts w:hint="default"/>
          <w:color w:val="auto"/>
          <w:kern w:val="0"/>
          <w:sz w:val="24"/>
          <w:highlight w:val="none"/>
          <w:lang w:val="en-US" w:eastAsia="zh-CN"/>
        </w:rPr>
        <w:t>m</w:t>
      </w:r>
      <w:r>
        <w:rPr>
          <w:rFonts w:hint="default"/>
          <w:color w:val="auto"/>
          <w:kern w:val="0"/>
          <w:sz w:val="24"/>
          <w:highlight w:val="none"/>
          <w:vertAlign w:val="superscript"/>
          <w:lang w:val="en-US" w:eastAsia="zh-CN"/>
        </w:rPr>
        <w:t>3</w:t>
      </w:r>
      <w:r>
        <w:rPr>
          <w:rFonts w:hint="default"/>
          <w:color w:val="auto"/>
          <w:kern w:val="0"/>
          <w:sz w:val="24"/>
          <w:highlight w:val="none"/>
          <w:lang w:val="en-US" w:eastAsia="zh-CN"/>
        </w:rPr>
        <w:t>/d，取最大产污系数1.2，则最大排放量为</w:t>
      </w:r>
      <w:r>
        <w:rPr>
          <w:rFonts w:hint="eastAsia"/>
          <w:color w:val="auto"/>
          <w:kern w:val="0"/>
          <w:sz w:val="24"/>
          <w:highlight w:val="none"/>
          <w:lang w:val="en-US" w:eastAsia="zh-CN"/>
        </w:rPr>
        <w:t>0.239</w:t>
      </w:r>
      <w:r>
        <w:rPr>
          <w:rFonts w:hint="default"/>
          <w:color w:val="auto"/>
          <w:kern w:val="0"/>
          <w:sz w:val="24"/>
          <w:highlight w:val="none"/>
          <w:lang w:val="en-US" w:eastAsia="zh-CN"/>
        </w:rPr>
        <w:t>m</w:t>
      </w:r>
      <w:r>
        <w:rPr>
          <w:rFonts w:hint="default"/>
          <w:color w:val="auto"/>
          <w:kern w:val="0"/>
          <w:sz w:val="24"/>
          <w:highlight w:val="none"/>
          <w:vertAlign w:val="superscript"/>
          <w:lang w:val="en-US" w:eastAsia="zh-CN"/>
        </w:rPr>
        <w:t>3</w:t>
      </w:r>
      <w:r>
        <w:rPr>
          <w:rFonts w:hint="default"/>
          <w:color w:val="auto"/>
          <w:kern w:val="0"/>
          <w:sz w:val="24"/>
          <w:highlight w:val="none"/>
          <w:lang w:val="en-US" w:eastAsia="zh-CN"/>
        </w:rPr>
        <w:t>/d，</w:t>
      </w:r>
      <w:r>
        <w:rPr>
          <w:rFonts w:hint="eastAsia"/>
          <w:color w:val="auto"/>
          <w:kern w:val="0"/>
          <w:sz w:val="24"/>
          <w:highlight w:val="none"/>
          <w:lang w:val="en-US" w:eastAsia="zh-CN"/>
        </w:rPr>
        <w:t>根据建设单位提供的资料，项目区已设置1个容积为27m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的化粪池，化粪池的容积可保障生活污水在化粪池内停留时间不小于24h，可满足停留要求，此外，由于化粪池容积较大，可收集约59天的生活污水及地面清洗废水，能够保证在连续降雨期间生活污水不外溢，此外，建设单位配置一辆生活污水专用清运罐车，确保定期将化粪池内污水清运至寻甸县水质净化厂处理，并在污水量较大时，增加清运频次，确保化粪池内污水不外溢。</w:t>
      </w:r>
    </w:p>
    <w:p>
      <w:pPr>
        <w:spacing w:line="360" w:lineRule="auto"/>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故项目生活污水经化粪池收集处理后委托第三期清运单位定期清运至寻甸县水质净化厂处理是可行的。</w:t>
      </w:r>
    </w:p>
    <w:p>
      <w:pPr>
        <w:pStyle w:val="438"/>
        <w:spacing w:line="360" w:lineRule="auto"/>
        <w:ind w:firstLine="0" w:firstLineChars="0"/>
        <w:rPr>
          <w:rFonts w:ascii="Times New Roman" w:hAnsi="Times New Roman"/>
          <w:b/>
          <w:bCs/>
          <w:color w:val="auto"/>
          <w:highlight w:val="none"/>
          <w:lang w:eastAsia="zh-CN"/>
        </w:rPr>
      </w:pPr>
      <w:r>
        <w:rPr>
          <w:rFonts w:ascii="Times New Roman" w:hAnsi="Times New Roman"/>
          <w:b/>
          <w:bCs/>
          <w:color w:val="auto"/>
          <w:highlight w:val="none"/>
          <w:lang w:eastAsia="zh-CN"/>
        </w:rPr>
        <w:t>7.2.2.5处理规模可靠性分析</w:t>
      </w:r>
    </w:p>
    <w:p>
      <w:pPr>
        <w:pStyle w:val="438"/>
        <w:spacing w:line="360" w:lineRule="auto"/>
        <w:jc w:val="both"/>
        <w:rPr>
          <w:rFonts w:ascii="Times New Roman" w:hAnsi="Times New Roman"/>
          <w:color w:val="auto"/>
          <w:highlight w:val="none"/>
          <w:lang w:eastAsia="zh-CN"/>
        </w:rPr>
      </w:pPr>
      <w:r>
        <w:rPr>
          <w:rFonts w:hint="eastAsia" w:ascii="Times New Roman" w:hAnsi="Times New Roman"/>
          <w:color w:val="auto"/>
          <w:highlight w:val="none"/>
          <w:lang w:val="en-US" w:eastAsia="zh-CN"/>
        </w:rPr>
        <w:t>化粪池容积为27m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，项目地面清洗废水及生活污水产生量为0.3792m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/d，</w:t>
      </w:r>
      <w:r>
        <w:rPr>
          <w:rFonts w:ascii="Times New Roman" w:hAnsi="Times New Roman"/>
          <w:color w:val="auto"/>
          <w:highlight w:val="none"/>
          <w:lang w:eastAsia="zh-CN"/>
        </w:rPr>
        <w:t>考虑处理事故存水，</w:t>
      </w:r>
      <w:r>
        <w:rPr>
          <w:rFonts w:hint="eastAsia" w:ascii="Times New Roman" w:hAnsi="Times New Roman"/>
          <w:color w:val="auto"/>
          <w:highlight w:val="none"/>
          <w:lang w:val="en-US" w:eastAsia="zh-CN"/>
        </w:rPr>
        <w:t>已建化粪池容积能够满足暂存废水量的1.2倍要求，化粪池</w:t>
      </w:r>
      <w:r>
        <w:rPr>
          <w:rFonts w:ascii="Times New Roman" w:hAnsi="Times New Roman"/>
          <w:color w:val="auto"/>
          <w:highlight w:val="none"/>
          <w:lang w:eastAsia="zh-CN"/>
        </w:rPr>
        <w:t>规模可行。</w:t>
      </w:r>
    </w:p>
    <w:p>
      <w:pPr>
        <w:pStyle w:val="470"/>
        <w:spacing w:beforeLines="0" w:afterLines="0"/>
        <w:ind w:left="0" w:leftChars="0" w:firstLine="0" w:firstLineChars="0"/>
        <w:outlineLvl w:val="3"/>
        <w:rPr>
          <w:rFonts w:ascii="Times New Roman" w:hAnsi="Times New Roman"/>
          <w:color w:val="auto"/>
          <w:sz w:val="24"/>
          <w:highlight w:val="none"/>
        </w:rPr>
      </w:pPr>
      <w:r>
        <w:rPr>
          <w:rFonts w:ascii="Times New Roman" w:hAnsi="Times New Roman"/>
          <w:color w:val="auto"/>
          <w:sz w:val="24"/>
          <w:highlight w:val="none"/>
        </w:rPr>
        <w:t>7.2.2.</w:t>
      </w:r>
      <w:r>
        <w:rPr>
          <w:rFonts w:hint="eastAsia" w:ascii="Times New Roman" w:hAnsi="Times New Roman"/>
          <w:color w:val="auto"/>
          <w:sz w:val="24"/>
          <w:highlight w:val="none"/>
        </w:rPr>
        <w:t>5</w:t>
      </w:r>
      <w:r>
        <w:rPr>
          <w:rFonts w:ascii="Times New Roman" w:hAnsi="Times New Roman"/>
          <w:color w:val="auto"/>
          <w:sz w:val="24"/>
          <w:highlight w:val="none"/>
        </w:rPr>
        <w:t xml:space="preserve"> 废水不外排可行性分析</w:t>
      </w:r>
    </w:p>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lang w:val="en-US" w:eastAsia="zh-CN"/>
        </w:rPr>
        <w:t>项目</w:t>
      </w:r>
      <w:r>
        <w:rPr>
          <w:color w:val="auto"/>
          <w:sz w:val="24"/>
          <w:highlight w:val="none"/>
        </w:rPr>
        <w:t>员工为附近村民，不在厂区内</w:t>
      </w:r>
      <w:r>
        <w:rPr>
          <w:color w:val="auto"/>
          <w:kern w:val="0"/>
          <w:sz w:val="24"/>
          <w:highlight w:val="none"/>
        </w:rPr>
        <w:t>食宿，</w:t>
      </w:r>
      <w:r>
        <w:rPr>
          <w:rFonts w:hint="eastAsia"/>
          <w:color w:val="auto"/>
          <w:kern w:val="0"/>
          <w:sz w:val="24"/>
          <w:highlight w:val="none"/>
          <w:lang w:val="en-US" w:eastAsia="zh-CN"/>
        </w:rPr>
        <w:t>生活污水主要为洗手废水，废水量为0.1992</w:t>
      </w:r>
      <w:r>
        <w:rPr>
          <w:color w:val="auto"/>
          <w:sz w:val="24"/>
          <w:highlight w:val="none"/>
        </w:rPr>
        <w:t>m</w:t>
      </w:r>
      <w:r>
        <w:rPr>
          <w:color w:val="auto"/>
          <w:sz w:val="24"/>
          <w:highlight w:val="none"/>
          <w:vertAlign w:val="superscript"/>
        </w:rPr>
        <w:t>3</w:t>
      </w:r>
      <w:r>
        <w:rPr>
          <w:color w:val="auto"/>
          <w:sz w:val="24"/>
          <w:highlight w:val="none"/>
        </w:rPr>
        <w:t>/d</w:t>
      </w:r>
      <w:r>
        <w:rPr>
          <w:color w:val="auto"/>
          <w:kern w:val="0"/>
          <w:sz w:val="24"/>
          <w:highlight w:val="none"/>
        </w:rPr>
        <w:t>，</w:t>
      </w:r>
      <w:r>
        <w:rPr>
          <w:rFonts w:hint="eastAsia"/>
          <w:color w:val="auto"/>
          <w:kern w:val="0"/>
          <w:sz w:val="24"/>
          <w:highlight w:val="none"/>
          <w:lang w:val="en-US" w:eastAsia="zh-CN"/>
        </w:rPr>
        <w:t>地面清洗废水量为0.18m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/d；项目污水量较小，项目生活污水和地面清洁废水产生量为0.3792m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/d，113.76m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/a，项目生活废水和地面清洁废水经化粪池收集后，由建设单位清运至寻甸县水质净化厂，项目化粪池容积约27m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能够收集59天的生活污水及地面清洁废水，且建设单位在污水量较大时，增加清运的频次，确保废水不外排；项目生活污水和地面清洁废水占寻甸县水质净化厂总设计处理水量的0.00105%，且项目生活污水及地面清洗废水经化粪池处理后出水水质可以达到</w:t>
      </w:r>
      <w:r>
        <w:rPr>
          <w:rFonts w:hint="default" w:ascii="Times New Roman" w:hAnsi="Times New Roman" w:cs="Times New Roman"/>
          <w:color w:val="auto"/>
          <w:sz w:val="24"/>
          <w:szCs w:val="24"/>
          <w:highlight w:val="none"/>
          <w:lang w:eastAsia="zh-CN"/>
        </w:rPr>
        <w:t>《污水排入城镇下水道水质标准</w:t>
      </w:r>
      <w:r>
        <w:rPr>
          <w:rFonts w:hint="default" w:ascii="Times New Roman" w:hAnsi="Times New Roman" w:cs="Times New Roman"/>
          <w:color w:val="auto"/>
          <w:sz w:val="24"/>
          <w:szCs w:val="24"/>
          <w:highlight w:val="none"/>
        </w:rPr>
        <w:t>》（GB</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31962</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1中</w:t>
      </w:r>
      <w:r>
        <w:rPr>
          <w:rFonts w:hint="eastAsia" w:cs="Times New Roman"/>
          <w:color w:val="auto"/>
          <w:sz w:val="24"/>
          <w:szCs w:val="24"/>
          <w:highlight w:val="none"/>
          <w:lang w:val="en-US" w:eastAsia="zh-CN"/>
        </w:rPr>
        <w:t>B</w:t>
      </w:r>
      <w:r>
        <w:rPr>
          <w:rFonts w:hint="default" w:ascii="Times New Roman" w:hAnsi="Times New Roman" w:cs="Times New Roman"/>
          <w:color w:val="auto"/>
          <w:sz w:val="24"/>
          <w:szCs w:val="24"/>
          <w:highlight w:val="none"/>
          <w:lang w:val="en-US" w:eastAsia="zh-CN"/>
        </w:rPr>
        <w:t>级标准</w:t>
      </w:r>
      <w:r>
        <w:rPr>
          <w:rFonts w:hint="eastAsia"/>
          <w:color w:val="auto"/>
          <w:spacing w:val="-4"/>
          <w:sz w:val="24"/>
          <w:szCs w:val="24"/>
          <w:highlight w:val="none"/>
          <w:lang w:val="en-US" w:eastAsia="zh-CN"/>
        </w:rPr>
        <w:t>及</w:t>
      </w:r>
      <w:r>
        <w:rPr>
          <w:rFonts w:hint="eastAsia" w:cs="Times New Roman"/>
          <w:color w:val="auto"/>
          <w:sz w:val="24"/>
          <w:szCs w:val="24"/>
          <w:highlight w:val="none"/>
          <w:vertAlign w:val="baseline"/>
          <w:lang w:val="en-US" w:eastAsia="zh-CN"/>
        </w:rPr>
        <w:t>生活废水委托处理合同商定的排放协议标准</w:t>
      </w:r>
      <w:r>
        <w:rPr>
          <w:rFonts w:hint="eastAsia" w:ascii="Times New Roman" w:hAnsi="Times New Roman" w:cs="Times New Roman"/>
          <w:color w:val="auto"/>
          <w:sz w:val="24"/>
          <w:szCs w:val="24"/>
          <w:highlight w:val="none"/>
          <w:lang w:val="en-US" w:eastAsia="zh-CN"/>
        </w:rPr>
        <w:t>，出水经</w:t>
      </w:r>
      <w:r>
        <w:rPr>
          <w:rFonts w:hint="eastAsia" w:cs="Times New Roman"/>
          <w:color w:val="auto"/>
          <w:sz w:val="24"/>
          <w:szCs w:val="24"/>
          <w:highlight w:val="none"/>
          <w:lang w:val="en-US" w:eastAsia="zh-CN"/>
        </w:rPr>
        <w:t>建设</w:t>
      </w:r>
      <w:r>
        <w:rPr>
          <w:rFonts w:hint="eastAsia" w:ascii="Times New Roman" w:hAnsi="Times New Roman" w:cs="Times New Roman"/>
          <w:color w:val="auto"/>
          <w:sz w:val="24"/>
          <w:szCs w:val="24"/>
          <w:highlight w:val="none"/>
          <w:lang w:val="en-US" w:eastAsia="zh-CN"/>
        </w:rPr>
        <w:t>单位</w:t>
      </w:r>
      <w:r>
        <w:rPr>
          <w:rFonts w:hint="eastAsia" w:cs="Times New Roman"/>
          <w:color w:val="auto"/>
          <w:sz w:val="24"/>
          <w:szCs w:val="24"/>
          <w:highlight w:val="none"/>
          <w:lang w:val="en-US" w:eastAsia="zh-CN"/>
        </w:rPr>
        <w:t>自行</w:t>
      </w:r>
      <w:r>
        <w:rPr>
          <w:rFonts w:hint="eastAsia" w:ascii="Times New Roman" w:hAnsi="Times New Roman" w:cs="Times New Roman"/>
          <w:color w:val="auto"/>
          <w:sz w:val="24"/>
          <w:szCs w:val="24"/>
          <w:highlight w:val="none"/>
          <w:lang w:val="en-US" w:eastAsia="zh-CN"/>
        </w:rPr>
        <w:t>清运至寻甸县</w:t>
      </w:r>
      <w:r>
        <w:rPr>
          <w:rFonts w:hint="eastAsia" w:cs="Times New Roman"/>
          <w:color w:val="auto"/>
          <w:sz w:val="24"/>
          <w:szCs w:val="24"/>
          <w:highlight w:val="none"/>
          <w:lang w:val="en-US" w:eastAsia="zh-CN"/>
        </w:rPr>
        <w:t>水质净化厂</w:t>
      </w:r>
      <w:r>
        <w:rPr>
          <w:rFonts w:hint="eastAsia" w:ascii="Times New Roman" w:hAnsi="Times New Roman" w:cs="Times New Roman"/>
          <w:color w:val="auto"/>
          <w:sz w:val="24"/>
          <w:szCs w:val="24"/>
          <w:highlight w:val="none"/>
          <w:lang w:val="en-US" w:eastAsia="zh-CN"/>
        </w:rPr>
        <w:t>处理。</w:t>
      </w:r>
      <w:r>
        <w:rPr>
          <w:color w:val="auto"/>
          <w:kern w:val="0"/>
          <w:sz w:val="24"/>
          <w:highlight w:val="none"/>
        </w:rPr>
        <w:t>综上所述，本工程</w:t>
      </w:r>
      <w:r>
        <w:rPr>
          <w:rFonts w:hint="eastAsia"/>
          <w:color w:val="auto"/>
          <w:kern w:val="0"/>
          <w:sz w:val="24"/>
          <w:highlight w:val="none"/>
          <w:lang w:val="en-US" w:eastAsia="zh-CN"/>
        </w:rPr>
        <w:t>废水不外排可行</w:t>
      </w:r>
      <w:r>
        <w:rPr>
          <w:color w:val="auto"/>
          <w:kern w:val="0"/>
          <w:sz w:val="24"/>
          <w:highlight w:val="none"/>
        </w:rPr>
        <w:t>。</w:t>
      </w:r>
    </w:p>
    <w:bookmarkEnd w:id="715"/>
    <w:bookmarkEnd w:id="716"/>
    <w:bookmarkEnd w:id="717"/>
    <w:bookmarkEnd w:id="718"/>
    <w:bookmarkEnd w:id="719"/>
    <w:bookmarkEnd w:id="720"/>
    <w:bookmarkEnd w:id="721"/>
    <w:bookmarkEnd w:id="722"/>
    <w:bookmarkEnd w:id="723"/>
    <w:p>
      <w:pPr>
        <w:keepNext/>
        <w:keepLines/>
        <w:spacing w:line="360" w:lineRule="auto"/>
        <w:outlineLvl w:val="2"/>
        <w:rPr>
          <w:rFonts w:hint="default" w:eastAsia="宋体"/>
          <w:b/>
          <w:bCs/>
          <w:color w:val="auto"/>
          <w:sz w:val="24"/>
          <w:highlight w:val="none"/>
          <w:lang w:val="en-US" w:eastAsia="zh-CN"/>
        </w:rPr>
      </w:pPr>
      <w:bookmarkStart w:id="724" w:name="_Toc17574"/>
      <w:bookmarkStart w:id="725" w:name="_Toc341369595"/>
      <w:bookmarkStart w:id="726" w:name="_Toc367282218"/>
      <w:bookmarkStart w:id="727" w:name="_Toc367281635"/>
      <w:bookmarkStart w:id="728" w:name="_Toc259130626"/>
      <w:bookmarkStart w:id="729" w:name="_Toc259105031"/>
      <w:bookmarkStart w:id="730" w:name="_Toc259104351"/>
      <w:bookmarkStart w:id="731" w:name="_Toc259129259"/>
      <w:bookmarkStart w:id="732" w:name="_Toc275002212"/>
      <w:bookmarkStart w:id="733" w:name="_Toc275730574"/>
      <w:r>
        <w:rPr>
          <w:rFonts w:hint="eastAsia"/>
          <w:b/>
          <w:bCs/>
          <w:color w:val="auto"/>
          <w:sz w:val="24"/>
          <w:highlight w:val="none"/>
          <w:lang w:val="en-US" w:eastAsia="zh-CN"/>
        </w:rPr>
        <w:t>7.2.3地下水污染防治措施</w:t>
      </w:r>
      <w:bookmarkEnd w:id="724"/>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olor w:val="auto"/>
          <w:sz w:val="24"/>
          <w:highlight w:val="none"/>
          <w:lang w:val="en-US" w:eastAsia="zh-CN"/>
        </w:rPr>
        <w:t>项目生产过程中最有可能对地下水产生影响的为设备维修时产生的废机油、环保设施更换的废活性炭，本次环评已提出设置一间5m</w:t>
      </w:r>
      <w:r>
        <w:rPr>
          <w:rFonts w:hint="eastAsia"/>
          <w:color w:val="auto"/>
          <w:sz w:val="24"/>
          <w:highlight w:val="none"/>
          <w:vertAlign w:val="superscript"/>
          <w:lang w:val="en-US" w:eastAsia="zh-CN"/>
        </w:rPr>
        <w:t>2</w:t>
      </w:r>
      <w:r>
        <w:rPr>
          <w:rFonts w:hint="eastAsia"/>
          <w:color w:val="auto"/>
          <w:sz w:val="24"/>
          <w:highlight w:val="none"/>
          <w:lang w:val="en-US" w:eastAsia="zh-CN"/>
        </w:rPr>
        <w:t>的危废暂存间，用于暂存废机油、废活性炭等，设置标识标牌，采取水泥+2mm厚HDPE膜进行防渗，渗透系数≤10</w:t>
      </w:r>
      <w:r>
        <w:rPr>
          <w:rFonts w:hint="eastAsia"/>
          <w:color w:val="auto"/>
          <w:sz w:val="24"/>
          <w:highlight w:val="none"/>
          <w:vertAlign w:val="superscript"/>
          <w:lang w:val="en-US" w:eastAsia="zh-CN"/>
        </w:rPr>
        <w:t>-10</w:t>
      </w:r>
      <w:r>
        <w:rPr>
          <w:rFonts w:hint="eastAsia"/>
          <w:color w:val="auto"/>
          <w:sz w:val="24"/>
          <w:highlight w:val="none"/>
          <w:lang w:val="en-US" w:eastAsia="zh-CN"/>
        </w:rPr>
        <w:t>cm/s，可有效防止废机油、废活性炭暂存过程对地下水环境造成影响。</w:t>
      </w:r>
    </w:p>
    <w:p>
      <w:pPr>
        <w:keepNext/>
        <w:keepLines/>
        <w:spacing w:line="360" w:lineRule="auto"/>
        <w:outlineLvl w:val="2"/>
        <w:rPr>
          <w:b/>
          <w:bCs/>
          <w:color w:val="auto"/>
          <w:sz w:val="24"/>
          <w:highlight w:val="none"/>
        </w:rPr>
      </w:pPr>
      <w:bookmarkStart w:id="734" w:name="_Toc10845"/>
      <w:r>
        <w:rPr>
          <w:b/>
          <w:bCs/>
          <w:color w:val="auto"/>
          <w:sz w:val="24"/>
          <w:highlight w:val="none"/>
        </w:rPr>
        <w:fldChar w:fldCharType="begin"/>
      </w:r>
      <w:r>
        <w:rPr>
          <w:b/>
          <w:bCs/>
          <w:color w:val="auto"/>
          <w:sz w:val="24"/>
          <w:highlight w:val="none"/>
        </w:rPr>
        <w:instrText xml:space="preserve">HYPERLINK "file:///H:\\2015环评报告\\2015-01平利县龙洞湾重晶石矿\\环评正文\\l"</w:instrText>
      </w:r>
      <w:r>
        <w:rPr>
          <w:b/>
          <w:bCs/>
          <w:color w:val="auto"/>
          <w:sz w:val="24"/>
          <w:highlight w:val="none"/>
        </w:rPr>
        <w:fldChar w:fldCharType="separate"/>
      </w:r>
      <w:bookmarkStart w:id="735" w:name="_Toc75908744"/>
      <w:r>
        <w:rPr>
          <w:b/>
          <w:bCs/>
          <w:color w:val="auto"/>
          <w:sz w:val="24"/>
          <w:highlight w:val="none"/>
        </w:rPr>
        <w:t>7.2.</w:t>
      </w:r>
      <w:r>
        <w:rPr>
          <w:rFonts w:hint="eastAsia"/>
          <w:b/>
          <w:bCs/>
          <w:color w:val="auto"/>
          <w:sz w:val="24"/>
          <w:highlight w:val="none"/>
          <w:lang w:val="en-US" w:eastAsia="zh-CN"/>
        </w:rPr>
        <w:t xml:space="preserve">4 </w:t>
      </w:r>
      <w:r>
        <w:rPr>
          <w:b/>
          <w:bCs/>
          <w:color w:val="auto"/>
          <w:sz w:val="24"/>
          <w:highlight w:val="none"/>
        </w:rPr>
        <w:t>噪声污染防治措施</w:t>
      </w:r>
      <w:bookmarkEnd w:id="735"/>
      <w:r>
        <w:rPr>
          <w:b/>
          <w:bCs/>
          <w:color w:val="auto"/>
          <w:sz w:val="24"/>
          <w:highlight w:val="none"/>
        </w:rPr>
        <w:fldChar w:fldCharType="end"/>
      </w:r>
      <w:bookmarkEnd w:id="734"/>
    </w:p>
    <w:bookmarkEnd w:id="725"/>
    <w:bookmarkEnd w:id="726"/>
    <w:bookmarkEnd w:id="727"/>
    <w:bookmarkEnd w:id="728"/>
    <w:bookmarkEnd w:id="729"/>
    <w:bookmarkEnd w:id="730"/>
    <w:bookmarkEnd w:id="731"/>
    <w:bookmarkEnd w:id="732"/>
    <w:bookmarkEnd w:id="733"/>
    <w:p>
      <w:pPr>
        <w:spacing w:line="360" w:lineRule="auto"/>
        <w:ind w:firstLine="480" w:firstLineChars="200"/>
        <w:rPr>
          <w:color w:val="auto"/>
          <w:sz w:val="24"/>
          <w:highlight w:val="none"/>
        </w:rPr>
      </w:pPr>
      <w:r>
        <w:rPr>
          <w:color w:val="auto"/>
          <w:kern w:val="0"/>
          <w:sz w:val="24"/>
          <w:highlight w:val="none"/>
        </w:rPr>
        <w:t>项目噪声主要为设备噪声，其防治措施如下：</w:t>
      </w:r>
    </w:p>
    <w:p>
      <w:pPr>
        <w:spacing w:line="360" w:lineRule="auto"/>
        <w:ind w:firstLine="480" w:firstLineChars="200"/>
        <w:rPr>
          <w:color w:val="auto"/>
          <w:sz w:val="24"/>
          <w:highlight w:val="none"/>
        </w:rPr>
      </w:pPr>
      <w:r>
        <w:rPr>
          <w:color w:val="auto"/>
          <w:sz w:val="24"/>
          <w:highlight w:val="none"/>
        </w:rPr>
        <w:t>（1）项目噪声源主要有</w:t>
      </w:r>
      <w:r>
        <w:rPr>
          <w:rFonts w:hint="eastAsia"/>
          <w:color w:val="auto"/>
          <w:sz w:val="24"/>
          <w:highlight w:val="none"/>
          <w:lang w:val="en-US" w:eastAsia="zh-CN"/>
        </w:rPr>
        <w:t>上料机、注塑机、搅拌机、破碎机、风机、水泵</w:t>
      </w:r>
      <w:r>
        <w:rPr>
          <w:color w:val="auto"/>
          <w:sz w:val="24"/>
          <w:highlight w:val="none"/>
        </w:rPr>
        <w:t>等，其等效声级在</w:t>
      </w:r>
      <w:r>
        <w:rPr>
          <w:rFonts w:hint="eastAsia"/>
          <w:color w:val="auto"/>
          <w:sz w:val="24"/>
          <w:highlight w:val="none"/>
        </w:rPr>
        <w:t>7</w:t>
      </w:r>
      <w:r>
        <w:rPr>
          <w:color w:val="auto"/>
          <w:sz w:val="24"/>
          <w:highlight w:val="none"/>
        </w:rPr>
        <w:t>0dB（A）～9</w:t>
      </w:r>
      <w:r>
        <w:rPr>
          <w:rFonts w:hint="eastAsia"/>
          <w:color w:val="auto"/>
          <w:sz w:val="24"/>
          <w:highlight w:val="none"/>
        </w:rPr>
        <w:t>0</w:t>
      </w:r>
      <w:r>
        <w:rPr>
          <w:color w:val="auto"/>
          <w:sz w:val="24"/>
          <w:highlight w:val="none"/>
        </w:rPr>
        <w:t>dB（A）之间。采用选用低噪声设备、高噪声设备设隔振基础或铺设减振垫、封闭厂房隔声、优化布局、距离衰减等措施进行治理。水泵进、出管、管道穿越变形缝均设金属软管接头。</w:t>
      </w:r>
    </w:p>
    <w:p>
      <w:pPr>
        <w:spacing w:line="360" w:lineRule="auto"/>
        <w:ind w:firstLine="480" w:firstLineChars="200"/>
        <w:rPr>
          <w:color w:val="auto"/>
          <w:sz w:val="24"/>
          <w:highlight w:val="none"/>
        </w:rPr>
      </w:pPr>
      <w:r>
        <w:rPr>
          <w:color w:val="auto"/>
          <w:sz w:val="24"/>
          <w:highlight w:val="none"/>
        </w:rPr>
        <w:t>（2）风机选用低噪声设备，设备减震，进出口软连接，安装消声器；并进一步加装隔声罩进行隔声。消声器是安装在空气动力设备的气流通道上或进、排气系统中的降低噪声的装置，能够阻挡声波的传播，允许气流通过，是控制噪声的有效工具。</w:t>
      </w:r>
    </w:p>
    <w:p>
      <w:pPr>
        <w:spacing w:line="360" w:lineRule="auto"/>
        <w:ind w:firstLine="480" w:firstLineChars="200"/>
        <w:rPr>
          <w:color w:val="auto"/>
          <w:sz w:val="24"/>
          <w:highlight w:val="none"/>
        </w:rPr>
      </w:pPr>
      <w:r>
        <w:rPr>
          <w:color w:val="auto"/>
          <w:sz w:val="24"/>
          <w:highlight w:val="none"/>
        </w:rPr>
        <w:t>（3）加强职工环保教育意识，提倡文明生产，防止人为噪声。</w:t>
      </w:r>
    </w:p>
    <w:p>
      <w:pPr>
        <w:spacing w:line="360" w:lineRule="auto"/>
        <w:ind w:firstLine="480" w:firstLineChars="200"/>
        <w:rPr>
          <w:color w:val="auto"/>
          <w:sz w:val="24"/>
          <w:highlight w:val="none"/>
        </w:rPr>
      </w:pPr>
      <w:r>
        <w:rPr>
          <w:color w:val="auto"/>
          <w:sz w:val="24"/>
          <w:highlight w:val="none"/>
        </w:rPr>
        <w:t>（4）本次环评要求建设单位强化生产管理，车间封闭，确保降噪设施的有效运行，并加强对生产设备的保养、检修与润滑，保证设备处于良好的运转状态，杜绝因设备不正常运转而产生的高噪声现象。</w:t>
      </w:r>
    </w:p>
    <w:p>
      <w:pPr>
        <w:spacing w:line="360" w:lineRule="auto"/>
        <w:ind w:firstLine="480" w:firstLineChars="200"/>
        <w:rPr>
          <w:color w:val="auto"/>
          <w:sz w:val="24"/>
          <w:highlight w:val="none"/>
        </w:rPr>
      </w:pPr>
      <w:r>
        <w:rPr>
          <w:color w:val="auto"/>
          <w:sz w:val="24"/>
          <w:highlight w:val="none"/>
        </w:rPr>
        <w:t>采取上述隔声、减振、消声等噪声污染防治措施后，厂界昼夜间噪声贡献值可满足《工业企业厂界环境噪声排放标准》（GB12348-2008）中</w:t>
      </w:r>
      <w:r>
        <w:rPr>
          <w:rFonts w:hint="eastAsia"/>
          <w:color w:val="auto"/>
          <w:sz w:val="24"/>
          <w:highlight w:val="none"/>
          <w:lang w:val="en-US" w:eastAsia="zh-CN"/>
        </w:rPr>
        <w:t>2</w:t>
      </w:r>
      <w:r>
        <w:rPr>
          <w:color w:val="auto"/>
          <w:sz w:val="24"/>
          <w:highlight w:val="none"/>
        </w:rPr>
        <w:t>类</w:t>
      </w:r>
      <w:r>
        <w:rPr>
          <w:rFonts w:hint="eastAsia"/>
          <w:color w:val="auto"/>
          <w:sz w:val="24"/>
          <w:highlight w:val="none"/>
          <w:lang w:val="en-US" w:eastAsia="zh-CN"/>
        </w:rPr>
        <w:t>和4类</w:t>
      </w:r>
      <w:r>
        <w:rPr>
          <w:color w:val="auto"/>
          <w:sz w:val="24"/>
          <w:highlight w:val="none"/>
        </w:rPr>
        <w:t>标准要求，不会对周边环境及敏感点造成不良影响，噪声防治措施可行。</w:t>
      </w:r>
    </w:p>
    <w:p>
      <w:pPr>
        <w:keepNext/>
        <w:keepLines/>
        <w:spacing w:line="360" w:lineRule="auto"/>
        <w:outlineLvl w:val="2"/>
        <w:rPr>
          <w:b/>
          <w:bCs/>
          <w:color w:val="auto"/>
          <w:sz w:val="24"/>
          <w:highlight w:val="none"/>
        </w:rPr>
      </w:pPr>
      <w:bookmarkStart w:id="736" w:name="_Toc14964"/>
      <w:r>
        <w:rPr>
          <w:color w:val="auto"/>
          <w:highlight w:val="none"/>
        </w:rPr>
        <w:fldChar w:fldCharType="begin"/>
      </w:r>
      <w:r>
        <w:rPr>
          <w:color w:val="auto"/>
          <w:highlight w:val="none"/>
        </w:rPr>
        <w:instrText xml:space="preserve"> HYPERLINK "file:///H:\\2015环评报告\\2015-01平利县龙洞湾重晶石矿\\环评正文\\l" </w:instrText>
      </w:r>
      <w:r>
        <w:rPr>
          <w:color w:val="auto"/>
          <w:highlight w:val="none"/>
        </w:rPr>
        <w:fldChar w:fldCharType="separate"/>
      </w:r>
      <w:bookmarkStart w:id="737" w:name="_Toc75908745"/>
      <w:r>
        <w:rPr>
          <w:b/>
          <w:bCs/>
          <w:color w:val="auto"/>
          <w:sz w:val="24"/>
          <w:highlight w:val="none"/>
        </w:rPr>
        <w:t>7.2.5 固体废物处置措施</w:t>
      </w:r>
      <w:bookmarkEnd w:id="737"/>
      <w:r>
        <w:rPr>
          <w:b/>
          <w:bCs/>
          <w:color w:val="auto"/>
          <w:sz w:val="24"/>
          <w:highlight w:val="none"/>
        </w:rPr>
        <w:fldChar w:fldCharType="end"/>
      </w:r>
      <w:bookmarkEnd w:id="736"/>
    </w:p>
    <w:p>
      <w:pPr>
        <w:spacing w:line="360" w:lineRule="auto"/>
        <w:ind w:firstLine="480" w:firstLineChars="200"/>
        <w:rPr>
          <w:color w:val="auto"/>
          <w:sz w:val="24"/>
          <w:highlight w:val="none"/>
        </w:rPr>
      </w:pPr>
      <w:r>
        <w:rPr>
          <w:color w:val="auto"/>
          <w:sz w:val="24"/>
          <w:highlight w:val="none"/>
        </w:rPr>
        <w:t>本项目运营期固废污染源为</w:t>
      </w:r>
      <w:r>
        <w:rPr>
          <w:rFonts w:hint="eastAsia" w:cs="宋体"/>
          <w:color w:val="auto"/>
          <w:kern w:val="0"/>
          <w:sz w:val="24"/>
          <w:highlight w:val="none"/>
          <w:lang w:val="en-US" w:eastAsia="zh-CN" w:bidi="ar"/>
        </w:rPr>
        <w:t>废包装材料、边角料及不合格产品、生活垃圾、</w:t>
      </w:r>
      <w:r>
        <w:rPr>
          <w:color w:val="auto"/>
          <w:sz w:val="24"/>
          <w:highlight w:val="none"/>
        </w:rPr>
        <w:t>维修废物</w:t>
      </w:r>
      <w:r>
        <w:rPr>
          <w:rFonts w:hint="eastAsia" w:cs="宋体"/>
          <w:color w:val="auto"/>
          <w:kern w:val="0"/>
          <w:sz w:val="24"/>
          <w:highlight w:val="none"/>
          <w:lang w:val="en-US" w:eastAsia="zh-CN" w:bidi="ar"/>
        </w:rPr>
        <w:t>、废活性炭</w:t>
      </w:r>
      <w:r>
        <w:rPr>
          <w:color w:val="auto"/>
          <w:sz w:val="24"/>
          <w:highlight w:val="none"/>
        </w:rPr>
        <w:t>。</w:t>
      </w:r>
    </w:p>
    <w:p>
      <w:pPr>
        <w:pStyle w:val="470"/>
        <w:spacing w:beforeLines="0" w:afterLines="0"/>
        <w:ind w:left="0" w:leftChars="0" w:firstLine="0" w:firstLineChars="0"/>
        <w:jc w:val="both"/>
        <w:outlineLvl w:val="3"/>
        <w:rPr>
          <w:rFonts w:ascii="Times New Roman" w:hAnsi="Times New Roman"/>
          <w:color w:val="auto"/>
          <w:sz w:val="24"/>
          <w:highlight w:val="none"/>
        </w:rPr>
      </w:pPr>
      <w:r>
        <w:rPr>
          <w:rFonts w:ascii="Times New Roman" w:hAnsi="Times New Roman"/>
          <w:color w:val="auto"/>
          <w:sz w:val="24"/>
          <w:highlight w:val="none"/>
        </w:rPr>
        <w:t>7.2.5.1 一般工业固废的处置方案</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本项目废包装材料主要为原料包装袋以及部分其他材料的纸箱，收集之后直接外售废品回收站</w:t>
      </w:r>
      <w:r>
        <w:rPr>
          <w:rFonts w:hint="eastAsia" w:ascii="Times New Roman" w:hAnsi="Times New Roman" w:eastAsia="宋体" w:cs="Times New Roman"/>
          <w:color w:val="auto"/>
          <w:sz w:val="24"/>
          <w:highlight w:val="none"/>
        </w:rPr>
        <w:t>。</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（2）</w:t>
      </w:r>
      <w:r>
        <w:rPr>
          <w:rFonts w:hint="eastAsia"/>
          <w:color w:val="auto"/>
          <w:sz w:val="24"/>
          <w:highlight w:val="none"/>
          <w:lang w:val="en-US" w:eastAsia="zh-CN"/>
        </w:rPr>
        <w:t>不合格产品及边角料</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本项目在生产过程中会产生部分的不合格产品</w:t>
      </w:r>
      <w:r>
        <w:rPr>
          <w:rFonts w:hint="eastAsia" w:ascii="Times New Roman" w:hAnsi="Times New Roman" w:eastAsia="宋体" w:cs="Times New Roman"/>
          <w:color w:val="auto"/>
          <w:sz w:val="24"/>
          <w:highlight w:val="none"/>
          <w:lang w:val="en-US" w:eastAsia="zh-CN"/>
        </w:rPr>
        <w:t>及修边的边角料</w:t>
      </w:r>
      <w:r>
        <w:rPr>
          <w:rFonts w:hint="default" w:ascii="Times New Roman" w:hAnsi="Times New Roman" w:eastAsia="宋体" w:cs="Times New Roman"/>
          <w:color w:val="auto"/>
          <w:sz w:val="24"/>
          <w:highlight w:val="none"/>
          <w:lang w:val="en-US" w:eastAsia="zh-CN"/>
        </w:rPr>
        <w:t>，直接经过破碎机粉碎后回用于生产。</w:t>
      </w:r>
    </w:p>
    <w:p>
      <w:pPr>
        <w:spacing w:line="360" w:lineRule="auto"/>
        <w:ind w:firstLine="480" w:firstLineChars="200"/>
        <w:rPr>
          <w:color w:val="auto"/>
          <w:sz w:val="24"/>
          <w:highlight w:val="none"/>
        </w:rPr>
      </w:pPr>
      <w:r>
        <w:rPr>
          <w:color w:val="auto"/>
          <w:sz w:val="24"/>
          <w:highlight w:val="none"/>
        </w:rPr>
        <w:t>环评要求在厂区设一般固废临时收集场所，一般固废临时收集场所必须符合《一般工业固体废物贮存和填埋污染控制标准》（GB 18599-2020），必须全封闭结构（防风、防雨、防晒）。</w:t>
      </w:r>
    </w:p>
    <w:p>
      <w:pPr>
        <w:spacing w:line="360" w:lineRule="auto"/>
        <w:ind w:firstLine="480" w:firstLineChars="200"/>
        <w:rPr>
          <w:color w:val="auto"/>
          <w:sz w:val="24"/>
          <w:highlight w:val="none"/>
        </w:rPr>
      </w:pPr>
      <w:r>
        <w:rPr>
          <w:color w:val="auto"/>
          <w:sz w:val="24"/>
          <w:highlight w:val="none"/>
        </w:rPr>
        <w:t>要求设置固体废物管理档案，记录固体废物入库和出库情况，并做到责任落实到个人；设置专人负责固体废物的收集、厂内运输、入库和出库，及时清运。</w:t>
      </w:r>
    </w:p>
    <w:p>
      <w:pPr>
        <w:pStyle w:val="470"/>
        <w:spacing w:beforeLines="0" w:afterLines="0"/>
        <w:ind w:left="0" w:leftChars="0" w:firstLine="0" w:firstLineChars="0"/>
        <w:jc w:val="both"/>
        <w:outlineLvl w:val="3"/>
        <w:rPr>
          <w:rFonts w:ascii="Times New Roman" w:hAnsi="Times New Roman"/>
          <w:color w:val="auto"/>
          <w:sz w:val="24"/>
          <w:highlight w:val="none"/>
        </w:rPr>
      </w:pPr>
      <w:r>
        <w:rPr>
          <w:rFonts w:ascii="Times New Roman" w:hAnsi="Times New Roman"/>
          <w:color w:val="auto"/>
          <w:sz w:val="24"/>
          <w:highlight w:val="none"/>
        </w:rPr>
        <w:t>7.2.5.2 生活垃圾处置方案</w:t>
      </w:r>
    </w:p>
    <w:p>
      <w:pPr>
        <w:pStyle w:val="478"/>
        <w:ind w:firstLine="480"/>
        <w:rPr>
          <w:rFonts w:ascii="Times New Roman" w:hAnsi="Times New Roman"/>
          <w:color w:val="auto"/>
          <w:highlight w:val="none"/>
        </w:rPr>
      </w:pPr>
      <w:r>
        <w:rPr>
          <w:rFonts w:ascii="Times New Roman" w:hAnsi="Times New Roman"/>
          <w:color w:val="auto"/>
          <w:highlight w:val="none"/>
        </w:rPr>
        <w:t>本项目生活垃圾产生量约</w:t>
      </w:r>
      <w:r>
        <w:rPr>
          <w:rFonts w:hint="eastAsia" w:ascii="Times New Roman" w:hAnsi="Times New Roman"/>
          <w:color w:val="auto"/>
          <w:highlight w:val="none"/>
          <w:lang w:val="en-US" w:eastAsia="zh-CN"/>
        </w:rPr>
        <w:t>3</w:t>
      </w:r>
      <w:r>
        <w:rPr>
          <w:rFonts w:ascii="Times New Roman" w:hAnsi="Times New Roman"/>
          <w:color w:val="auto"/>
          <w:highlight w:val="none"/>
        </w:rPr>
        <w:t>kg/d（</w:t>
      </w:r>
      <w:r>
        <w:rPr>
          <w:rFonts w:hint="eastAsia" w:ascii="Times New Roman" w:hAnsi="Times New Roman"/>
          <w:color w:val="auto"/>
          <w:highlight w:val="none"/>
          <w:lang w:val="en-US" w:eastAsia="zh-CN"/>
        </w:rPr>
        <w:t>0.9</w:t>
      </w:r>
      <w:r>
        <w:rPr>
          <w:rFonts w:ascii="Times New Roman" w:hAnsi="Times New Roman"/>
          <w:color w:val="auto"/>
          <w:highlight w:val="none"/>
        </w:rPr>
        <w:t>t/a），生活垃圾通过设置垃圾收集</w:t>
      </w:r>
      <w:r>
        <w:rPr>
          <w:rFonts w:hint="eastAsia" w:ascii="Times New Roman" w:hAnsi="Times New Roman"/>
          <w:color w:val="auto"/>
          <w:highlight w:val="none"/>
          <w:lang w:val="en-US" w:eastAsia="zh-CN"/>
        </w:rPr>
        <w:t>桶</w:t>
      </w:r>
      <w:r>
        <w:rPr>
          <w:rFonts w:ascii="Times New Roman" w:hAnsi="Times New Roman"/>
          <w:color w:val="auto"/>
          <w:highlight w:val="none"/>
        </w:rPr>
        <w:t>，专人负责管理，同时实施垃圾分类等措施，及时收集生活垃圾</w:t>
      </w:r>
      <w:r>
        <w:rPr>
          <w:rFonts w:hint="eastAsia" w:ascii="Times New Roman" w:hAnsi="Times New Roman"/>
          <w:color w:val="auto"/>
          <w:highlight w:val="none"/>
          <w:lang w:eastAsia="zh-CN"/>
        </w:rPr>
        <w:t>，</w:t>
      </w:r>
      <w:r>
        <w:rPr>
          <w:color w:val="auto"/>
          <w:sz w:val="24"/>
          <w:szCs w:val="20"/>
          <w:highlight w:val="none"/>
        </w:rPr>
        <w:t>定期运往指定地点由环卫部门集中处置</w:t>
      </w:r>
      <w:r>
        <w:rPr>
          <w:rFonts w:ascii="Times New Roman" w:hAnsi="Times New Roman"/>
          <w:color w:val="auto"/>
          <w:highlight w:val="none"/>
        </w:rPr>
        <w:t>，避免生活垃圾的长时间堆放，引起环境污染。生活垃圾收集应实行分类化，由于在生活垃圾中，以纸质包装、金属包装、塑料包装和玻璃包装居多，通过分类收集（可利用、不可回收利用），减少垃圾的填埋量，提高资源的利用率。</w:t>
      </w:r>
    </w:p>
    <w:p>
      <w:pPr>
        <w:pStyle w:val="470"/>
        <w:spacing w:beforeLines="0" w:afterLines="0"/>
        <w:ind w:left="0" w:leftChars="0" w:firstLine="0" w:firstLineChars="0"/>
        <w:jc w:val="both"/>
        <w:outlineLvl w:val="3"/>
        <w:rPr>
          <w:rFonts w:ascii="Times New Roman" w:hAnsi="Times New Roman"/>
          <w:color w:val="auto"/>
          <w:sz w:val="24"/>
          <w:highlight w:val="none"/>
        </w:rPr>
      </w:pPr>
      <w:r>
        <w:rPr>
          <w:rFonts w:ascii="Times New Roman" w:hAnsi="Times New Roman"/>
          <w:color w:val="auto"/>
          <w:sz w:val="24"/>
          <w:highlight w:val="none"/>
        </w:rPr>
        <w:t>7.2.5.3 危险废物处置方案</w:t>
      </w:r>
    </w:p>
    <w:p>
      <w:pPr>
        <w:spacing w:line="360" w:lineRule="auto"/>
        <w:ind w:firstLine="480" w:firstLineChars="200"/>
        <w:rPr>
          <w:color w:val="auto"/>
          <w:sz w:val="24"/>
          <w:highlight w:val="none"/>
        </w:rPr>
      </w:pPr>
      <w:r>
        <w:rPr>
          <w:color w:val="auto"/>
          <w:sz w:val="24"/>
          <w:highlight w:val="none"/>
        </w:rPr>
        <w:t>根据《国家危险废物名录（2021版）》，本项目运营期产生的</w:t>
      </w:r>
      <w:r>
        <w:rPr>
          <w:rFonts w:hint="eastAsia"/>
          <w:color w:val="auto"/>
          <w:sz w:val="24"/>
          <w:highlight w:val="none"/>
        </w:rPr>
        <w:t>废机油</w:t>
      </w:r>
      <w:r>
        <w:rPr>
          <w:color w:val="auto"/>
          <w:sz w:val="24"/>
          <w:highlight w:val="none"/>
        </w:rPr>
        <w:t>、废油桶、废活性炭均属于危险废物。项目在厂区设置危废暂存间，运营期产生的危废分类暂存于危废暂存间内，并定期交由有资质的单位处置。</w:t>
      </w:r>
    </w:p>
    <w:p>
      <w:pPr>
        <w:autoSpaceDE w:val="0"/>
        <w:autoSpaceDN w:val="0"/>
        <w:spacing w:line="360" w:lineRule="auto"/>
        <w:ind w:firstLine="480" w:firstLineChars="200"/>
        <w:rPr>
          <w:color w:val="auto"/>
          <w:kern w:val="0"/>
          <w:sz w:val="24"/>
          <w:highlight w:val="none"/>
        </w:rPr>
      </w:pPr>
      <w:r>
        <w:rPr>
          <w:color w:val="auto"/>
          <w:kern w:val="0"/>
          <w:sz w:val="24"/>
          <w:highlight w:val="none"/>
        </w:rPr>
        <w:t>根据</w:t>
      </w:r>
      <w:r>
        <w:rPr>
          <w:rFonts w:hint="eastAsia"/>
          <w:color w:val="auto"/>
          <w:kern w:val="0"/>
          <w:sz w:val="24"/>
          <w:highlight w:val="none"/>
          <w:lang w:eastAsia="zh-CN"/>
        </w:rPr>
        <w:t>《中华人民共和国固体废物污染环境防治法》</w:t>
      </w:r>
      <w:r>
        <w:rPr>
          <w:color w:val="auto"/>
          <w:kern w:val="0"/>
          <w:sz w:val="24"/>
          <w:highlight w:val="none"/>
        </w:rPr>
        <w:t>规定，危险废物应按国家环保总局令第5号《危险废物转移联单管理办法》，建立危险</w:t>
      </w:r>
      <w:r>
        <w:rPr>
          <w:color w:val="auto"/>
          <w:sz w:val="24"/>
          <w:highlight w:val="none"/>
        </w:rPr>
        <w:t>废物管理制度及电子连单转移制度。</w:t>
      </w:r>
      <w:r>
        <w:rPr>
          <w:color w:val="auto"/>
          <w:kern w:val="0"/>
          <w:sz w:val="24"/>
          <w:highlight w:val="none"/>
        </w:rPr>
        <w:t>在送往有资质的危险固体废物处置中心处置之前，厂内临时储存和运输按照危险废物管理和处置要求进行。</w:t>
      </w:r>
    </w:p>
    <w:p>
      <w:pPr>
        <w:autoSpaceDE w:val="0"/>
        <w:autoSpaceDN w:val="0"/>
        <w:spacing w:line="360" w:lineRule="auto"/>
        <w:ind w:firstLine="480" w:firstLineChars="200"/>
        <w:rPr>
          <w:color w:val="auto"/>
          <w:sz w:val="24"/>
          <w:highlight w:val="none"/>
        </w:rPr>
      </w:pPr>
      <w:r>
        <w:rPr>
          <w:color w:val="auto"/>
          <w:sz w:val="24"/>
          <w:highlight w:val="none"/>
        </w:rPr>
        <w:t>危险废物贮存间按《危险废物贮存污染控制标准》（GB18597-20</w:t>
      </w:r>
      <w:r>
        <w:rPr>
          <w:rFonts w:hint="eastAsia"/>
          <w:color w:val="auto"/>
          <w:sz w:val="24"/>
          <w:highlight w:val="none"/>
          <w:lang w:val="en-US" w:eastAsia="zh-CN"/>
        </w:rPr>
        <w:t>23</w:t>
      </w:r>
      <w:r>
        <w:rPr>
          <w:color w:val="auto"/>
          <w:sz w:val="24"/>
          <w:highlight w:val="none"/>
        </w:rPr>
        <w:t>）的要求进行设计建造，具体如下：</w:t>
      </w:r>
    </w:p>
    <w:p>
      <w:pPr>
        <w:spacing w:line="360" w:lineRule="auto"/>
        <w:ind w:firstLine="480" w:firstLineChars="200"/>
        <w:rPr>
          <w:color w:val="auto"/>
          <w:sz w:val="24"/>
          <w:highlight w:val="none"/>
        </w:rPr>
      </w:pPr>
      <w:r>
        <w:rPr>
          <w:color w:val="auto"/>
          <w:sz w:val="24"/>
          <w:highlight w:val="none"/>
        </w:rPr>
        <w:t>①</w:t>
      </w:r>
      <w:r>
        <w:rPr>
          <w:rFonts w:hint="eastAsia"/>
          <w:color w:val="auto"/>
          <w:sz w:val="24"/>
          <w:highlight w:val="none"/>
        </w:rPr>
        <w:t>拟采用在现有的水泥硬化基础上新增2.0mmHDPE膜进行防渗，使其地面达到渗透系数≤1×10</w:t>
      </w:r>
      <w:r>
        <w:rPr>
          <w:rFonts w:hint="eastAsia"/>
          <w:color w:val="auto"/>
          <w:sz w:val="24"/>
          <w:highlight w:val="none"/>
          <w:vertAlign w:val="superscript"/>
        </w:rPr>
        <w:t>-10</w:t>
      </w:r>
      <w:r>
        <w:rPr>
          <w:rFonts w:hint="eastAsia"/>
          <w:color w:val="auto"/>
          <w:sz w:val="24"/>
          <w:highlight w:val="none"/>
        </w:rPr>
        <w:t>cm/s的防渗性能。</w:t>
      </w:r>
    </w:p>
    <w:p>
      <w:pPr>
        <w:spacing w:line="360" w:lineRule="auto"/>
        <w:ind w:firstLine="480" w:firstLineChars="200"/>
        <w:rPr>
          <w:color w:val="auto"/>
          <w:sz w:val="24"/>
          <w:highlight w:val="none"/>
        </w:rPr>
      </w:pPr>
      <w:r>
        <w:rPr>
          <w:color w:val="auto"/>
          <w:sz w:val="24"/>
          <w:highlight w:val="none"/>
        </w:rPr>
        <w:t>②</w:t>
      </w:r>
      <w:r>
        <w:rPr>
          <w:rFonts w:hint="eastAsia"/>
          <w:color w:val="auto"/>
          <w:sz w:val="24"/>
          <w:highlight w:val="none"/>
          <w:lang w:val="en-US" w:eastAsia="zh-CN"/>
        </w:rPr>
        <w:t>贮存设施应采取必要的防风、防晒、防雨、防漏、防渗、防腐以及其他环境污染防治措施，不应露天堆放危险废物</w:t>
      </w:r>
      <w:r>
        <w:rPr>
          <w:color w:val="auto"/>
          <w:sz w:val="24"/>
          <w:highlight w:val="none"/>
        </w:rPr>
        <w:t>。</w:t>
      </w:r>
    </w:p>
    <w:p>
      <w:pPr>
        <w:spacing w:line="360" w:lineRule="auto"/>
        <w:ind w:firstLine="480" w:firstLineChars="200"/>
        <w:rPr>
          <w:rFonts w:hint="default" w:eastAsia="宋体"/>
          <w:color w:val="auto"/>
          <w:sz w:val="24"/>
          <w:highlight w:val="none"/>
          <w:lang w:val="en-US" w:eastAsia="zh-CN"/>
        </w:rPr>
      </w:pPr>
      <w:r>
        <w:rPr>
          <w:color w:val="auto"/>
          <w:sz w:val="24"/>
          <w:highlight w:val="none"/>
        </w:rPr>
        <w:t>③</w:t>
      </w:r>
      <w:r>
        <w:rPr>
          <w:rFonts w:hint="eastAsia"/>
          <w:color w:val="auto"/>
          <w:sz w:val="24"/>
          <w:highlight w:val="none"/>
          <w:lang w:val="en-US" w:eastAsia="zh-CN"/>
        </w:rPr>
        <w:t>贮存设施应设置必要的贮存分区，避免不相容的危险废物接触、混合。</w:t>
      </w:r>
    </w:p>
    <w:p>
      <w:pPr>
        <w:spacing w:line="360" w:lineRule="auto"/>
        <w:ind w:firstLine="480" w:firstLineChars="200"/>
        <w:rPr>
          <w:rFonts w:hint="default" w:eastAsia="宋体"/>
          <w:color w:val="auto"/>
          <w:sz w:val="24"/>
          <w:highlight w:val="none"/>
          <w:lang w:val="en-US" w:eastAsia="zh-CN"/>
        </w:rPr>
      </w:pPr>
      <w:r>
        <w:rPr>
          <w:color w:val="auto"/>
          <w:sz w:val="24"/>
          <w:highlight w:val="none"/>
        </w:rPr>
        <w:t>④</w:t>
      </w:r>
      <w:r>
        <w:rPr>
          <w:rFonts w:hint="eastAsia"/>
          <w:color w:val="auto"/>
          <w:sz w:val="24"/>
          <w:highlight w:val="none"/>
          <w:lang w:val="en-US" w:eastAsia="zh-CN"/>
        </w:rPr>
        <w:t>贮存设施地面、墙面裙脚、堵截泄漏的围堰、接触危险废物的隔板和墙体等应采用坚固的材料建造，表面无裂缝。</w:t>
      </w:r>
    </w:p>
    <w:p>
      <w:pPr>
        <w:spacing w:line="360" w:lineRule="auto"/>
        <w:ind w:firstLine="480" w:firstLineChars="200"/>
        <w:rPr>
          <w:rFonts w:hint="default" w:eastAsia="宋体"/>
          <w:color w:val="auto"/>
          <w:sz w:val="24"/>
          <w:highlight w:val="none"/>
          <w:lang w:val="en-US" w:eastAsia="zh-CN"/>
        </w:rPr>
      </w:pPr>
      <w:r>
        <w:rPr>
          <w:color w:val="auto"/>
          <w:sz w:val="24"/>
          <w:highlight w:val="none"/>
        </w:rPr>
        <w:t>⑤</w:t>
      </w:r>
      <w:r>
        <w:rPr>
          <w:rFonts w:hint="eastAsia"/>
          <w:color w:val="auto"/>
          <w:sz w:val="24"/>
          <w:highlight w:val="none"/>
          <w:lang w:val="en-US" w:eastAsia="zh-CN"/>
        </w:rPr>
        <w:t>贮存液态危险废物的，应具有液态泄漏堵截设施，堵截设施最小容积不应低于对应贮存区域最大液态废物容器容积或液态废物总储量1/10。</w:t>
      </w:r>
    </w:p>
    <w:p>
      <w:pPr>
        <w:spacing w:line="360" w:lineRule="auto"/>
        <w:ind w:firstLine="480" w:firstLineChars="200"/>
        <w:rPr>
          <w:rFonts w:hint="default" w:eastAsia="宋体"/>
          <w:color w:val="auto"/>
          <w:sz w:val="24"/>
          <w:highlight w:val="none"/>
          <w:lang w:val="en-US" w:eastAsia="zh-CN"/>
        </w:rPr>
      </w:pPr>
      <w:r>
        <w:rPr>
          <w:color w:val="auto"/>
          <w:sz w:val="24"/>
          <w:highlight w:val="none"/>
        </w:rPr>
        <w:t>⑥</w:t>
      </w:r>
      <w:r>
        <w:rPr>
          <w:rFonts w:hint="eastAsia"/>
          <w:color w:val="auto"/>
          <w:sz w:val="24"/>
          <w:highlight w:val="none"/>
          <w:lang w:val="en-US" w:eastAsia="zh-CN"/>
        </w:rPr>
        <w:t>贮存设施应采取技术和管理措施防止无关人员进入。</w:t>
      </w:r>
    </w:p>
    <w:p>
      <w:pPr>
        <w:spacing w:line="360" w:lineRule="auto"/>
        <w:ind w:firstLine="480" w:firstLineChars="200"/>
        <w:rPr>
          <w:color w:val="auto"/>
          <w:kern w:val="0"/>
          <w:sz w:val="24"/>
          <w:highlight w:val="none"/>
        </w:rPr>
      </w:pPr>
      <w:r>
        <w:rPr>
          <w:color w:val="auto"/>
          <w:kern w:val="0"/>
          <w:sz w:val="24"/>
          <w:highlight w:val="none"/>
        </w:rPr>
        <w:t>项目危险废物贮存场所基本情况见下表。</w:t>
      </w:r>
    </w:p>
    <w:p>
      <w:pPr>
        <w:spacing w:line="360" w:lineRule="auto"/>
        <w:jc w:val="center"/>
        <w:rPr>
          <w:b/>
          <w:color w:val="auto"/>
          <w:sz w:val="24"/>
          <w:highlight w:val="none"/>
        </w:rPr>
      </w:pPr>
      <w:r>
        <w:rPr>
          <w:b/>
          <w:color w:val="auto"/>
          <w:sz w:val="24"/>
          <w:highlight w:val="none"/>
        </w:rPr>
        <w:t>表7.2-</w:t>
      </w:r>
      <w:r>
        <w:rPr>
          <w:rFonts w:hint="eastAsia"/>
          <w:b/>
          <w:color w:val="auto"/>
          <w:sz w:val="24"/>
          <w:highlight w:val="none"/>
          <w:lang w:val="en-US" w:eastAsia="zh-CN"/>
        </w:rPr>
        <w:t>2</w:t>
      </w:r>
      <w:r>
        <w:rPr>
          <w:b/>
          <w:color w:val="auto"/>
          <w:sz w:val="24"/>
          <w:highlight w:val="none"/>
        </w:rPr>
        <w:t xml:space="preserve">  建设项目危险废物贮存场所（设施）基本情况样表</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75"/>
        <w:gridCol w:w="1080"/>
        <w:gridCol w:w="1305"/>
        <w:gridCol w:w="1252"/>
        <w:gridCol w:w="951"/>
        <w:gridCol w:w="662"/>
        <w:gridCol w:w="661"/>
        <w:gridCol w:w="661"/>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47" w:type="dxa"/>
            <w:tcBorders>
              <w:tl2br w:val="nil"/>
              <w:tr2bl w:val="nil"/>
            </w:tcBorders>
            <w:vAlign w:val="center"/>
          </w:tcPr>
          <w:p>
            <w:pPr>
              <w:jc w:val="center"/>
              <w:rPr>
                <w:b/>
                <w:color w:val="auto"/>
                <w:szCs w:val="21"/>
                <w:highlight w:val="none"/>
              </w:rPr>
            </w:pPr>
            <w:r>
              <w:rPr>
                <w:b/>
                <w:color w:val="auto"/>
                <w:szCs w:val="21"/>
                <w:highlight w:val="none"/>
              </w:rPr>
              <w:t>序号</w:t>
            </w:r>
          </w:p>
        </w:tc>
        <w:tc>
          <w:tcPr>
            <w:tcW w:w="875" w:type="dxa"/>
            <w:tcBorders>
              <w:tl2br w:val="nil"/>
              <w:tr2bl w:val="nil"/>
            </w:tcBorders>
            <w:vAlign w:val="center"/>
          </w:tcPr>
          <w:p>
            <w:pPr>
              <w:jc w:val="center"/>
              <w:rPr>
                <w:b/>
                <w:color w:val="auto"/>
                <w:szCs w:val="21"/>
                <w:highlight w:val="none"/>
              </w:rPr>
            </w:pPr>
            <w:r>
              <w:rPr>
                <w:b/>
                <w:color w:val="auto"/>
                <w:szCs w:val="21"/>
                <w:highlight w:val="none"/>
              </w:rPr>
              <w:t>贮存场所（设施）</w:t>
            </w:r>
          </w:p>
          <w:p>
            <w:pPr>
              <w:jc w:val="center"/>
              <w:rPr>
                <w:b/>
                <w:color w:val="auto"/>
                <w:szCs w:val="21"/>
                <w:highlight w:val="none"/>
              </w:rPr>
            </w:pPr>
            <w:r>
              <w:rPr>
                <w:b/>
                <w:color w:val="auto"/>
                <w:szCs w:val="21"/>
                <w:highlight w:val="none"/>
              </w:rPr>
              <w:t>名称</w:t>
            </w:r>
          </w:p>
        </w:tc>
        <w:tc>
          <w:tcPr>
            <w:tcW w:w="1080" w:type="dxa"/>
            <w:tcBorders>
              <w:tl2br w:val="nil"/>
              <w:tr2bl w:val="nil"/>
            </w:tcBorders>
            <w:vAlign w:val="center"/>
          </w:tcPr>
          <w:p>
            <w:pPr>
              <w:jc w:val="center"/>
              <w:rPr>
                <w:b/>
                <w:color w:val="auto"/>
                <w:szCs w:val="21"/>
                <w:highlight w:val="none"/>
              </w:rPr>
            </w:pPr>
            <w:r>
              <w:rPr>
                <w:b/>
                <w:color w:val="auto"/>
                <w:szCs w:val="21"/>
                <w:highlight w:val="none"/>
              </w:rPr>
              <w:t>危险废物名称</w:t>
            </w:r>
          </w:p>
        </w:tc>
        <w:tc>
          <w:tcPr>
            <w:tcW w:w="1305" w:type="dxa"/>
            <w:tcBorders>
              <w:tl2br w:val="nil"/>
              <w:tr2bl w:val="nil"/>
            </w:tcBorders>
            <w:vAlign w:val="center"/>
          </w:tcPr>
          <w:p>
            <w:pPr>
              <w:jc w:val="center"/>
              <w:rPr>
                <w:b/>
                <w:color w:val="auto"/>
                <w:szCs w:val="21"/>
                <w:highlight w:val="none"/>
              </w:rPr>
            </w:pPr>
            <w:r>
              <w:rPr>
                <w:b/>
                <w:color w:val="auto"/>
                <w:szCs w:val="21"/>
                <w:highlight w:val="none"/>
              </w:rPr>
              <w:t>危险废</w:t>
            </w:r>
          </w:p>
          <w:p>
            <w:pPr>
              <w:jc w:val="center"/>
              <w:rPr>
                <w:b/>
                <w:color w:val="auto"/>
                <w:szCs w:val="21"/>
                <w:highlight w:val="none"/>
              </w:rPr>
            </w:pPr>
            <w:r>
              <w:rPr>
                <w:b/>
                <w:color w:val="auto"/>
                <w:szCs w:val="21"/>
                <w:highlight w:val="none"/>
              </w:rPr>
              <w:t>物类别</w:t>
            </w:r>
          </w:p>
        </w:tc>
        <w:tc>
          <w:tcPr>
            <w:tcW w:w="1252" w:type="dxa"/>
            <w:tcBorders>
              <w:tl2br w:val="nil"/>
              <w:tr2bl w:val="nil"/>
            </w:tcBorders>
            <w:vAlign w:val="center"/>
          </w:tcPr>
          <w:p>
            <w:pPr>
              <w:jc w:val="center"/>
              <w:rPr>
                <w:b/>
                <w:color w:val="auto"/>
                <w:szCs w:val="21"/>
                <w:highlight w:val="none"/>
              </w:rPr>
            </w:pPr>
            <w:r>
              <w:rPr>
                <w:b/>
                <w:color w:val="auto"/>
                <w:szCs w:val="21"/>
                <w:highlight w:val="none"/>
              </w:rPr>
              <w:t>危险废物代码</w:t>
            </w:r>
          </w:p>
        </w:tc>
        <w:tc>
          <w:tcPr>
            <w:tcW w:w="951" w:type="dxa"/>
            <w:tcBorders>
              <w:tl2br w:val="nil"/>
              <w:tr2bl w:val="nil"/>
            </w:tcBorders>
            <w:vAlign w:val="center"/>
          </w:tcPr>
          <w:p>
            <w:pPr>
              <w:jc w:val="center"/>
              <w:rPr>
                <w:b/>
                <w:color w:val="auto"/>
                <w:szCs w:val="21"/>
                <w:highlight w:val="none"/>
              </w:rPr>
            </w:pPr>
            <w:r>
              <w:rPr>
                <w:b/>
                <w:color w:val="auto"/>
                <w:szCs w:val="21"/>
                <w:highlight w:val="none"/>
              </w:rPr>
              <w:t>位置</w:t>
            </w:r>
          </w:p>
        </w:tc>
        <w:tc>
          <w:tcPr>
            <w:tcW w:w="662" w:type="dxa"/>
            <w:tcBorders>
              <w:tl2br w:val="nil"/>
              <w:tr2bl w:val="nil"/>
            </w:tcBorders>
            <w:vAlign w:val="center"/>
          </w:tcPr>
          <w:p>
            <w:pPr>
              <w:jc w:val="center"/>
              <w:rPr>
                <w:b/>
                <w:color w:val="auto"/>
                <w:szCs w:val="21"/>
                <w:highlight w:val="none"/>
              </w:rPr>
            </w:pPr>
            <w:r>
              <w:rPr>
                <w:b/>
                <w:color w:val="auto"/>
                <w:szCs w:val="21"/>
                <w:highlight w:val="none"/>
              </w:rPr>
              <w:t>占地</w:t>
            </w:r>
          </w:p>
          <w:p>
            <w:pPr>
              <w:jc w:val="center"/>
              <w:rPr>
                <w:b/>
                <w:color w:val="auto"/>
                <w:szCs w:val="21"/>
                <w:highlight w:val="none"/>
              </w:rPr>
            </w:pPr>
            <w:r>
              <w:rPr>
                <w:b/>
                <w:color w:val="auto"/>
                <w:szCs w:val="21"/>
                <w:highlight w:val="none"/>
              </w:rPr>
              <w:t>面积</w:t>
            </w:r>
          </w:p>
        </w:tc>
        <w:tc>
          <w:tcPr>
            <w:tcW w:w="661" w:type="dxa"/>
            <w:tcBorders>
              <w:tl2br w:val="nil"/>
              <w:tr2bl w:val="nil"/>
            </w:tcBorders>
            <w:vAlign w:val="center"/>
          </w:tcPr>
          <w:p>
            <w:pPr>
              <w:jc w:val="center"/>
              <w:rPr>
                <w:b/>
                <w:color w:val="auto"/>
                <w:szCs w:val="21"/>
                <w:highlight w:val="none"/>
              </w:rPr>
            </w:pPr>
            <w:r>
              <w:rPr>
                <w:b/>
                <w:color w:val="auto"/>
                <w:szCs w:val="21"/>
                <w:highlight w:val="none"/>
              </w:rPr>
              <w:t>贮存方式</w:t>
            </w:r>
          </w:p>
        </w:tc>
        <w:tc>
          <w:tcPr>
            <w:tcW w:w="661" w:type="dxa"/>
            <w:tcBorders>
              <w:tl2br w:val="nil"/>
              <w:tr2bl w:val="nil"/>
            </w:tcBorders>
            <w:vAlign w:val="center"/>
          </w:tcPr>
          <w:p>
            <w:pPr>
              <w:jc w:val="center"/>
              <w:rPr>
                <w:b/>
                <w:color w:val="auto"/>
                <w:szCs w:val="21"/>
                <w:highlight w:val="none"/>
              </w:rPr>
            </w:pPr>
            <w:r>
              <w:rPr>
                <w:b/>
                <w:color w:val="auto"/>
                <w:szCs w:val="21"/>
                <w:highlight w:val="none"/>
              </w:rPr>
              <w:t>贮存</w:t>
            </w:r>
          </w:p>
          <w:p>
            <w:pPr>
              <w:jc w:val="center"/>
              <w:rPr>
                <w:b/>
                <w:color w:val="auto"/>
                <w:szCs w:val="21"/>
                <w:highlight w:val="none"/>
              </w:rPr>
            </w:pPr>
            <w:r>
              <w:rPr>
                <w:b/>
                <w:color w:val="auto"/>
                <w:szCs w:val="21"/>
                <w:highlight w:val="none"/>
              </w:rPr>
              <w:t>能力</w:t>
            </w:r>
          </w:p>
        </w:tc>
        <w:tc>
          <w:tcPr>
            <w:tcW w:w="655" w:type="dxa"/>
            <w:tcBorders>
              <w:tl2br w:val="nil"/>
              <w:tr2bl w:val="nil"/>
            </w:tcBorders>
            <w:vAlign w:val="center"/>
          </w:tcPr>
          <w:p>
            <w:pPr>
              <w:jc w:val="center"/>
              <w:rPr>
                <w:b/>
                <w:color w:val="auto"/>
                <w:szCs w:val="21"/>
                <w:highlight w:val="none"/>
              </w:rPr>
            </w:pPr>
            <w:r>
              <w:rPr>
                <w:b/>
                <w:color w:val="auto"/>
                <w:szCs w:val="21"/>
                <w:highlight w:val="none"/>
              </w:rPr>
              <w:t>贮存</w:t>
            </w:r>
          </w:p>
          <w:p>
            <w:pPr>
              <w:jc w:val="center"/>
              <w:rPr>
                <w:b/>
                <w:color w:val="auto"/>
                <w:szCs w:val="21"/>
                <w:highlight w:val="none"/>
              </w:rPr>
            </w:pPr>
            <w:r>
              <w:rPr>
                <w:b/>
                <w:color w:val="auto"/>
                <w:szCs w:val="21"/>
                <w:highlight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 w:type="dxa"/>
            <w:tcBorders>
              <w:tl2br w:val="nil"/>
              <w:tr2bl w:val="nil"/>
            </w:tcBorders>
            <w:vAlign w:val="center"/>
          </w:tcPr>
          <w:p>
            <w:pPr>
              <w:jc w:val="center"/>
              <w:rPr>
                <w:color w:val="auto"/>
                <w:szCs w:val="21"/>
                <w:highlight w:val="none"/>
              </w:rPr>
            </w:pPr>
            <w:r>
              <w:rPr>
                <w:color w:val="auto"/>
                <w:szCs w:val="21"/>
                <w:highlight w:val="none"/>
              </w:rPr>
              <w:t>1</w:t>
            </w:r>
          </w:p>
        </w:tc>
        <w:tc>
          <w:tcPr>
            <w:tcW w:w="875" w:type="dxa"/>
            <w:vMerge w:val="restart"/>
            <w:tcBorders>
              <w:tl2br w:val="nil"/>
              <w:tr2bl w:val="nil"/>
            </w:tcBorders>
            <w:vAlign w:val="center"/>
          </w:tcPr>
          <w:p>
            <w:pPr>
              <w:jc w:val="center"/>
              <w:rPr>
                <w:color w:val="auto"/>
                <w:szCs w:val="21"/>
                <w:highlight w:val="none"/>
              </w:rPr>
            </w:pPr>
            <w:r>
              <w:rPr>
                <w:color w:val="auto"/>
                <w:szCs w:val="21"/>
                <w:highlight w:val="none"/>
              </w:rPr>
              <w:t>危废暂存间</w:t>
            </w:r>
          </w:p>
        </w:tc>
        <w:tc>
          <w:tcPr>
            <w:tcW w:w="1080" w:type="dxa"/>
            <w:tcBorders>
              <w:tl2br w:val="nil"/>
              <w:tr2bl w:val="nil"/>
            </w:tcBorders>
            <w:vAlign w:val="center"/>
          </w:tcPr>
          <w:p>
            <w:pPr>
              <w:jc w:val="center"/>
              <w:rPr>
                <w:color w:val="auto"/>
                <w:szCs w:val="21"/>
                <w:highlight w:val="none"/>
              </w:rPr>
            </w:pPr>
            <w:r>
              <w:rPr>
                <w:color w:val="auto"/>
                <w:szCs w:val="21"/>
                <w:highlight w:val="none"/>
              </w:rPr>
              <w:t>废活性炭</w:t>
            </w:r>
          </w:p>
        </w:tc>
        <w:tc>
          <w:tcPr>
            <w:tcW w:w="1305" w:type="dxa"/>
            <w:tcBorders>
              <w:tl2br w:val="nil"/>
              <w:tr2bl w:val="nil"/>
            </w:tcBorders>
            <w:vAlign w:val="center"/>
          </w:tcPr>
          <w:p>
            <w:pPr>
              <w:jc w:val="center"/>
              <w:rPr>
                <w:color w:val="auto"/>
                <w:szCs w:val="21"/>
                <w:highlight w:val="none"/>
              </w:rPr>
            </w:pPr>
            <w:r>
              <w:rPr>
                <w:color w:val="auto"/>
                <w:szCs w:val="21"/>
                <w:highlight w:val="none"/>
              </w:rPr>
              <w:t>HW49其他废物</w:t>
            </w:r>
          </w:p>
        </w:tc>
        <w:tc>
          <w:tcPr>
            <w:tcW w:w="1252" w:type="dxa"/>
            <w:tcBorders>
              <w:tl2br w:val="nil"/>
              <w:tr2bl w:val="nil"/>
            </w:tcBorders>
            <w:vAlign w:val="center"/>
          </w:tcPr>
          <w:p>
            <w:pPr>
              <w:jc w:val="center"/>
              <w:rPr>
                <w:color w:val="auto"/>
                <w:szCs w:val="21"/>
                <w:highlight w:val="none"/>
              </w:rPr>
            </w:pPr>
            <w:r>
              <w:rPr>
                <w:color w:val="auto"/>
                <w:szCs w:val="21"/>
                <w:highlight w:val="none"/>
              </w:rPr>
              <w:t>900-0</w:t>
            </w:r>
            <w:r>
              <w:rPr>
                <w:rFonts w:hint="eastAsia"/>
                <w:color w:val="auto"/>
                <w:szCs w:val="21"/>
                <w:highlight w:val="none"/>
                <w:lang w:val="en-US" w:eastAsia="zh-CN"/>
              </w:rPr>
              <w:t>39</w:t>
            </w:r>
            <w:r>
              <w:rPr>
                <w:color w:val="auto"/>
                <w:szCs w:val="21"/>
                <w:highlight w:val="none"/>
              </w:rPr>
              <w:t>-49</w:t>
            </w:r>
          </w:p>
        </w:tc>
        <w:tc>
          <w:tcPr>
            <w:tcW w:w="951" w:type="dxa"/>
            <w:vMerge w:val="restart"/>
            <w:tcBorders>
              <w:tl2br w:val="nil"/>
              <w:tr2bl w:val="nil"/>
            </w:tcBorders>
            <w:vAlign w:val="center"/>
          </w:tcPr>
          <w:p>
            <w:pPr>
              <w:jc w:val="center"/>
              <w:rPr>
                <w:rFonts w:hint="default"/>
                <w:color w:val="auto"/>
                <w:szCs w:val="21"/>
                <w:highlight w:val="none"/>
                <w:lang w:val="en-US"/>
              </w:rPr>
            </w:pPr>
            <w:r>
              <w:rPr>
                <w:color w:val="auto"/>
                <w:szCs w:val="21"/>
                <w:highlight w:val="none"/>
              </w:rPr>
              <w:t>位于</w:t>
            </w:r>
            <w:r>
              <w:rPr>
                <w:rFonts w:hint="eastAsia"/>
                <w:color w:val="auto"/>
                <w:szCs w:val="21"/>
                <w:highlight w:val="none"/>
                <w:lang w:val="en-US" w:eastAsia="zh-CN"/>
              </w:rPr>
              <w:t>原料仓库北侧</w:t>
            </w:r>
          </w:p>
        </w:tc>
        <w:tc>
          <w:tcPr>
            <w:tcW w:w="662"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5</w:t>
            </w:r>
            <w:r>
              <w:rPr>
                <w:color w:val="auto"/>
                <w:szCs w:val="21"/>
                <w:highlight w:val="none"/>
              </w:rPr>
              <w:t>m</w:t>
            </w:r>
            <w:r>
              <w:rPr>
                <w:color w:val="auto"/>
                <w:szCs w:val="21"/>
                <w:highlight w:val="none"/>
                <w:vertAlign w:val="superscript"/>
              </w:rPr>
              <w:t>2</w:t>
            </w:r>
          </w:p>
        </w:tc>
        <w:tc>
          <w:tcPr>
            <w:tcW w:w="661" w:type="dxa"/>
            <w:tcBorders>
              <w:tl2br w:val="nil"/>
              <w:tr2bl w:val="nil"/>
            </w:tcBorders>
            <w:vAlign w:val="center"/>
          </w:tcPr>
          <w:p>
            <w:pPr>
              <w:jc w:val="center"/>
              <w:rPr>
                <w:color w:val="auto"/>
                <w:szCs w:val="21"/>
                <w:highlight w:val="none"/>
              </w:rPr>
            </w:pPr>
            <w:r>
              <w:rPr>
                <w:color w:val="auto"/>
                <w:szCs w:val="21"/>
                <w:highlight w:val="none"/>
              </w:rPr>
              <w:t>堆存</w:t>
            </w:r>
          </w:p>
        </w:tc>
        <w:tc>
          <w:tcPr>
            <w:tcW w:w="661"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6</w:t>
            </w:r>
            <w:r>
              <w:rPr>
                <w:color w:val="auto"/>
                <w:szCs w:val="21"/>
                <w:highlight w:val="none"/>
              </w:rPr>
              <w:t>m</w:t>
            </w:r>
            <w:r>
              <w:rPr>
                <w:color w:val="auto"/>
                <w:szCs w:val="21"/>
                <w:highlight w:val="none"/>
                <w:vertAlign w:val="superscript"/>
              </w:rPr>
              <w:t>3</w:t>
            </w:r>
          </w:p>
        </w:tc>
        <w:tc>
          <w:tcPr>
            <w:tcW w:w="655" w:type="dxa"/>
            <w:tcBorders>
              <w:tl2br w:val="nil"/>
              <w:tr2bl w:val="nil"/>
            </w:tcBorders>
            <w:vAlign w:val="center"/>
          </w:tcPr>
          <w:p>
            <w:pPr>
              <w:jc w:val="center"/>
              <w:rPr>
                <w:color w:val="auto"/>
                <w:szCs w:val="21"/>
                <w:highlight w:val="none"/>
              </w:rPr>
            </w:pPr>
            <w:r>
              <w:rPr>
                <w:color w:val="auto"/>
                <w:szCs w:val="21"/>
                <w:highlight w:val="none"/>
              </w:rPr>
              <w:t>0.5a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75" w:type="dxa"/>
            <w:vMerge w:val="continue"/>
            <w:tcBorders>
              <w:tl2br w:val="nil"/>
              <w:tr2bl w:val="nil"/>
            </w:tcBorders>
            <w:vAlign w:val="center"/>
          </w:tcPr>
          <w:p>
            <w:pPr>
              <w:jc w:val="center"/>
              <w:rPr>
                <w:color w:val="auto"/>
                <w:szCs w:val="21"/>
                <w:highlight w:val="none"/>
              </w:rPr>
            </w:pPr>
          </w:p>
        </w:tc>
        <w:tc>
          <w:tcPr>
            <w:tcW w:w="1080" w:type="dxa"/>
            <w:tcBorders>
              <w:tl2br w:val="nil"/>
              <w:tr2bl w:val="nil"/>
            </w:tcBorders>
            <w:vAlign w:val="center"/>
          </w:tcPr>
          <w:p>
            <w:pPr>
              <w:jc w:val="center"/>
              <w:rPr>
                <w:color w:val="auto"/>
                <w:szCs w:val="21"/>
                <w:highlight w:val="none"/>
              </w:rPr>
            </w:pPr>
            <w:r>
              <w:rPr>
                <w:color w:val="auto"/>
                <w:szCs w:val="21"/>
                <w:highlight w:val="none"/>
              </w:rPr>
              <w:t>废机</w:t>
            </w:r>
            <w:r>
              <w:rPr>
                <w:rFonts w:hint="eastAsia"/>
                <w:color w:val="auto"/>
                <w:szCs w:val="21"/>
                <w:highlight w:val="none"/>
                <w:lang w:eastAsia="zh-CN"/>
              </w:rPr>
              <w:t>油</w:t>
            </w:r>
          </w:p>
        </w:tc>
        <w:tc>
          <w:tcPr>
            <w:tcW w:w="1305" w:type="dxa"/>
            <w:tcBorders>
              <w:tl2br w:val="nil"/>
              <w:tr2bl w:val="nil"/>
            </w:tcBorders>
            <w:vAlign w:val="center"/>
          </w:tcPr>
          <w:p>
            <w:pPr>
              <w:jc w:val="center"/>
              <w:rPr>
                <w:color w:val="auto"/>
                <w:szCs w:val="21"/>
                <w:highlight w:val="none"/>
              </w:rPr>
            </w:pPr>
            <w:r>
              <w:rPr>
                <w:color w:val="auto"/>
                <w:szCs w:val="21"/>
                <w:highlight w:val="none"/>
              </w:rPr>
              <w:t>HW08废矿物油与含矿油废物</w:t>
            </w:r>
          </w:p>
        </w:tc>
        <w:tc>
          <w:tcPr>
            <w:tcW w:w="1252" w:type="dxa"/>
            <w:tcBorders>
              <w:tl2br w:val="nil"/>
              <w:tr2bl w:val="nil"/>
            </w:tcBorders>
            <w:vAlign w:val="center"/>
          </w:tcPr>
          <w:p>
            <w:pPr>
              <w:jc w:val="center"/>
              <w:rPr>
                <w:color w:val="auto"/>
                <w:szCs w:val="21"/>
                <w:highlight w:val="none"/>
              </w:rPr>
            </w:pPr>
            <w:r>
              <w:rPr>
                <w:color w:val="auto"/>
                <w:szCs w:val="21"/>
                <w:highlight w:val="none"/>
              </w:rPr>
              <w:t>900-217-08</w:t>
            </w:r>
          </w:p>
        </w:tc>
        <w:tc>
          <w:tcPr>
            <w:tcW w:w="951" w:type="dxa"/>
            <w:vMerge w:val="continue"/>
            <w:tcBorders>
              <w:tl2br w:val="nil"/>
              <w:tr2bl w:val="nil"/>
            </w:tcBorders>
            <w:vAlign w:val="center"/>
          </w:tcPr>
          <w:p>
            <w:pPr>
              <w:jc w:val="center"/>
              <w:rPr>
                <w:color w:val="auto"/>
                <w:szCs w:val="21"/>
                <w:highlight w:val="none"/>
              </w:rPr>
            </w:pPr>
          </w:p>
        </w:tc>
        <w:tc>
          <w:tcPr>
            <w:tcW w:w="662" w:type="dxa"/>
            <w:vMerge w:val="continue"/>
            <w:tcBorders>
              <w:tl2br w:val="nil"/>
              <w:tr2bl w:val="nil"/>
            </w:tcBorders>
            <w:vAlign w:val="center"/>
          </w:tcPr>
          <w:p>
            <w:pPr>
              <w:jc w:val="center"/>
              <w:rPr>
                <w:color w:val="auto"/>
                <w:szCs w:val="21"/>
                <w:highlight w:val="none"/>
              </w:rPr>
            </w:pPr>
          </w:p>
        </w:tc>
        <w:tc>
          <w:tcPr>
            <w:tcW w:w="661" w:type="dxa"/>
            <w:tcBorders>
              <w:tl2br w:val="nil"/>
              <w:tr2bl w:val="nil"/>
            </w:tcBorders>
            <w:vAlign w:val="center"/>
          </w:tcPr>
          <w:p>
            <w:pPr>
              <w:jc w:val="center"/>
              <w:rPr>
                <w:color w:val="auto"/>
                <w:szCs w:val="21"/>
                <w:highlight w:val="none"/>
              </w:rPr>
            </w:pPr>
            <w:r>
              <w:rPr>
                <w:rFonts w:hint="eastAsia"/>
                <w:color w:val="auto"/>
                <w:szCs w:val="21"/>
                <w:highlight w:val="none"/>
              </w:rPr>
              <w:t>废机油</w:t>
            </w:r>
            <w:r>
              <w:rPr>
                <w:color w:val="auto"/>
                <w:szCs w:val="21"/>
                <w:highlight w:val="none"/>
              </w:rPr>
              <w:t>收集桶</w:t>
            </w:r>
          </w:p>
        </w:tc>
        <w:tc>
          <w:tcPr>
            <w:tcW w:w="661" w:type="dxa"/>
            <w:vMerge w:val="continue"/>
            <w:tcBorders>
              <w:tl2br w:val="nil"/>
              <w:tr2bl w:val="nil"/>
            </w:tcBorders>
            <w:vAlign w:val="center"/>
          </w:tcPr>
          <w:p>
            <w:pPr>
              <w:jc w:val="center"/>
              <w:rPr>
                <w:color w:val="auto"/>
                <w:szCs w:val="21"/>
                <w:highlight w:val="none"/>
              </w:rPr>
            </w:pPr>
          </w:p>
        </w:tc>
        <w:tc>
          <w:tcPr>
            <w:tcW w:w="655" w:type="dxa"/>
            <w:tcBorders>
              <w:tl2br w:val="nil"/>
              <w:tr2bl w:val="nil"/>
            </w:tcBorders>
            <w:vAlign w:val="center"/>
          </w:tcPr>
          <w:p>
            <w:pPr>
              <w:jc w:val="center"/>
              <w:rPr>
                <w:color w:val="auto"/>
                <w:szCs w:val="21"/>
                <w:highlight w:val="none"/>
              </w:rPr>
            </w:pPr>
            <w:r>
              <w:rPr>
                <w:color w:val="auto"/>
                <w:szCs w:val="21"/>
                <w:highlight w:val="none"/>
              </w:rPr>
              <w:t>0.5a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875" w:type="dxa"/>
            <w:vMerge w:val="continue"/>
            <w:tcBorders>
              <w:tl2br w:val="nil"/>
              <w:tr2bl w:val="nil"/>
            </w:tcBorders>
            <w:vAlign w:val="center"/>
          </w:tcPr>
          <w:p>
            <w:pPr>
              <w:jc w:val="center"/>
              <w:rPr>
                <w:color w:val="auto"/>
                <w:szCs w:val="21"/>
                <w:highlight w:val="none"/>
              </w:rPr>
            </w:pPr>
          </w:p>
        </w:tc>
        <w:tc>
          <w:tcPr>
            <w:tcW w:w="1080" w:type="dxa"/>
            <w:tcBorders>
              <w:tl2br w:val="nil"/>
              <w:tr2bl w:val="nil"/>
            </w:tcBorders>
            <w:vAlign w:val="center"/>
          </w:tcPr>
          <w:p>
            <w:pPr>
              <w:jc w:val="center"/>
              <w:rPr>
                <w:color w:val="auto"/>
                <w:szCs w:val="21"/>
                <w:highlight w:val="none"/>
              </w:rPr>
            </w:pPr>
            <w:r>
              <w:rPr>
                <w:color w:val="auto"/>
                <w:szCs w:val="21"/>
                <w:highlight w:val="none"/>
              </w:rPr>
              <w:t>废油桶</w:t>
            </w:r>
          </w:p>
        </w:tc>
        <w:tc>
          <w:tcPr>
            <w:tcW w:w="1305" w:type="dxa"/>
            <w:tcBorders>
              <w:tl2br w:val="nil"/>
              <w:tr2bl w:val="nil"/>
            </w:tcBorders>
            <w:vAlign w:val="center"/>
          </w:tcPr>
          <w:p>
            <w:pPr>
              <w:jc w:val="center"/>
              <w:rPr>
                <w:color w:val="auto"/>
                <w:szCs w:val="21"/>
                <w:highlight w:val="none"/>
              </w:rPr>
            </w:pPr>
            <w:r>
              <w:rPr>
                <w:color w:val="auto"/>
                <w:szCs w:val="21"/>
                <w:highlight w:val="none"/>
              </w:rPr>
              <w:t>HW49其他废物</w:t>
            </w:r>
          </w:p>
        </w:tc>
        <w:tc>
          <w:tcPr>
            <w:tcW w:w="1252" w:type="dxa"/>
            <w:tcBorders>
              <w:tl2br w:val="nil"/>
              <w:tr2bl w:val="nil"/>
            </w:tcBorders>
            <w:vAlign w:val="center"/>
          </w:tcPr>
          <w:p>
            <w:pPr>
              <w:jc w:val="center"/>
              <w:rPr>
                <w:color w:val="auto"/>
                <w:szCs w:val="21"/>
                <w:highlight w:val="none"/>
              </w:rPr>
            </w:pPr>
            <w:r>
              <w:rPr>
                <w:color w:val="auto"/>
                <w:szCs w:val="21"/>
                <w:highlight w:val="none"/>
              </w:rPr>
              <w:t>900-041-49</w:t>
            </w:r>
          </w:p>
        </w:tc>
        <w:tc>
          <w:tcPr>
            <w:tcW w:w="951" w:type="dxa"/>
            <w:vMerge w:val="continue"/>
            <w:tcBorders>
              <w:tl2br w:val="nil"/>
              <w:tr2bl w:val="nil"/>
            </w:tcBorders>
            <w:vAlign w:val="center"/>
          </w:tcPr>
          <w:p>
            <w:pPr>
              <w:jc w:val="center"/>
              <w:rPr>
                <w:color w:val="auto"/>
                <w:szCs w:val="21"/>
                <w:highlight w:val="none"/>
              </w:rPr>
            </w:pPr>
          </w:p>
        </w:tc>
        <w:tc>
          <w:tcPr>
            <w:tcW w:w="662" w:type="dxa"/>
            <w:vMerge w:val="continue"/>
            <w:tcBorders>
              <w:tl2br w:val="nil"/>
              <w:tr2bl w:val="nil"/>
            </w:tcBorders>
            <w:vAlign w:val="center"/>
          </w:tcPr>
          <w:p>
            <w:pPr>
              <w:jc w:val="center"/>
              <w:rPr>
                <w:color w:val="auto"/>
                <w:szCs w:val="21"/>
                <w:highlight w:val="none"/>
              </w:rPr>
            </w:pPr>
          </w:p>
        </w:tc>
        <w:tc>
          <w:tcPr>
            <w:tcW w:w="661" w:type="dxa"/>
            <w:tcBorders>
              <w:tl2br w:val="nil"/>
              <w:tr2bl w:val="nil"/>
            </w:tcBorders>
            <w:vAlign w:val="center"/>
          </w:tcPr>
          <w:p>
            <w:pPr>
              <w:jc w:val="center"/>
              <w:rPr>
                <w:color w:val="auto"/>
                <w:szCs w:val="21"/>
                <w:highlight w:val="none"/>
              </w:rPr>
            </w:pPr>
            <w:r>
              <w:rPr>
                <w:color w:val="auto"/>
                <w:szCs w:val="21"/>
                <w:highlight w:val="none"/>
              </w:rPr>
              <w:t>堆存</w:t>
            </w:r>
          </w:p>
        </w:tc>
        <w:tc>
          <w:tcPr>
            <w:tcW w:w="661" w:type="dxa"/>
            <w:vMerge w:val="continue"/>
            <w:tcBorders>
              <w:tl2br w:val="nil"/>
              <w:tr2bl w:val="nil"/>
            </w:tcBorders>
            <w:vAlign w:val="center"/>
          </w:tcPr>
          <w:p>
            <w:pPr>
              <w:jc w:val="center"/>
              <w:rPr>
                <w:color w:val="auto"/>
                <w:szCs w:val="21"/>
                <w:highlight w:val="none"/>
              </w:rPr>
            </w:pPr>
          </w:p>
        </w:tc>
        <w:tc>
          <w:tcPr>
            <w:tcW w:w="655" w:type="dxa"/>
            <w:tcBorders>
              <w:tl2br w:val="nil"/>
              <w:tr2bl w:val="nil"/>
            </w:tcBorders>
            <w:vAlign w:val="center"/>
          </w:tcPr>
          <w:p>
            <w:pPr>
              <w:jc w:val="center"/>
              <w:rPr>
                <w:color w:val="auto"/>
                <w:szCs w:val="21"/>
                <w:highlight w:val="none"/>
              </w:rPr>
            </w:pPr>
            <w:r>
              <w:rPr>
                <w:color w:val="auto"/>
                <w:szCs w:val="21"/>
                <w:highlight w:val="none"/>
              </w:rPr>
              <w:t>0.5a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7"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875" w:type="dxa"/>
            <w:vMerge w:val="continue"/>
            <w:tcBorders>
              <w:tl2br w:val="nil"/>
              <w:tr2bl w:val="nil"/>
            </w:tcBorders>
            <w:vAlign w:val="center"/>
          </w:tcPr>
          <w:p>
            <w:pPr>
              <w:jc w:val="center"/>
              <w:rPr>
                <w:color w:val="auto"/>
                <w:szCs w:val="21"/>
                <w:highlight w:val="none"/>
              </w:rPr>
            </w:pPr>
          </w:p>
        </w:tc>
        <w:tc>
          <w:tcPr>
            <w:tcW w:w="1080"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含油废手套、抹布</w:t>
            </w:r>
          </w:p>
        </w:tc>
        <w:tc>
          <w:tcPr>
            <w:tcW w:w="1305" w:type="dxa"/>
            <w:tcBorders>
              <w:tl2br w:val="nil"/>
              <w:tr2bl w:val="nil"/>
            </w:tcBorders>
            <w:vAlign w:val="center"/>
          </w:tcPr>
          <w:p>
            <w:pPr>
              <w:jc w:val="center"/>
              <w:rPr>
                <w:color w:val="auto"/>
                <w:szCs w:val="21"/>
                <w:highlight w:val="none"/>
              </w:rPr>
            </w:pPr>
            <w:r>
              <w:rPr>
                <w:color w:val="auto"/>
                <w:szCs w:val="21"/>
                <w:highlight w:val="none"/>
              </w:rPr>
              <w:t>HW49其他废物</w:t>
            </w:r>
          </w:p>
        </w:tc>
        <w:tc>
          <w:tcPr>
            <w:tcW w:w="1252" w:type="dxa"/>
            <w:tcBorders>
              <w:tl2br w:val="nil"/>
              <w:tr2bl w:val="nil"/>
            </w:tcBorders>
            <w:vAlign w:val="center"/>
          </w:tcPr>
          <w:p>
            <w:pPr>
              <w:jc w:val="center"/>
              <w:rPr>
                <w:color w:val="auto"/>
                <w:szCs w:val="21"/>
                <w:highlight w:val="none"/>
              </w:rPr>
            </w:pPr>
            <w:r>
              <w:rPr>
                <w:color w:val="auto"/>
                <w:szCs w:val="21"/>
                <w:highlight w:val="none"/>
              </w:rPr>
              <w:t>900-041-49</w:t>
            </w:r>
          </w:p>
        </w:tc>
        <w:tc>
          <w:tcPr>
            <w:tcW w:w="951" w:type="dxa"/>
            <w:vMerge w:val="continue"/>
            <w:tcBorders>
              <w:tl2br w:val="nil"/>
              <w:tr2bl w:val="nil"/>
            </w:tcBorders>
            <w:vAlign w:val="center"/>
          </w:tcPr>
          <w:p>
            <w:pPr>
              <w:jc w:val="center"/>
              <w:rPr>
                <w:color w:val="auto"/>
                <w:szCs w:val="21"/>
                <w:highlight w:val="none"/>
              </w:rPr>
            </w:pPr>
          </w:p>
        </w:tc>
        <w:tc>
          <w:tcPr>
            <w:tcW w:w="662" w:type="dxa"/>
            <w:vMerge w:val="continue"/>
            <w:tcBorders>
              <w:tl2br w:val="nil"/>
              <w:tr2bl w:val="nil"/>
            </w:tcBorders>
            <w:vAlign w:val="center"/>
          </w:tcPr>
          <w:p>
            <w:pPr>
              <w:jc w:val="center"/>
              <w:rPr>
                <w:color w:val="auto"/>
                <w:szCs w:val="21"/>
                <w:highlight w:val="none"/>
              </w:rPr>
            </w:pPr>
          </w:p>
        </w:tc>
        <w:tc>
          <w:tcPr>
            <w:tcW w:w="661"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堆存</w:t>
            </w:r>
          </w:p>
        </w:tc>
        <w:tc>
          <w:tcPr>
            <w:tcW w:w="661" w:type="dxa"/>
            <w:vMerge w:val="continue"/>
            <w:tcBorders>
              <w:tl2br w:val="nil"/>
              <w:tr2bl w:val="nil"/>
            </w:tcBorders>
            <w:vAlign w:val="center"/>
          </w:tcPr>
          <w:p>
            <w:pPr>
              <w:jc w:val="center"/>
              <w:rPr>
                <w:color w:val="auto"/>
                <w:szCs w:val="21"/>
                <w:highlight w:val="none"/>
              </w:rPr>
            </w:pPr>
          </w:p>
        </w:tc>
        <w:tc>
          <w:tcPr>
            <w:tcW w:w="655"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0.5a</w:t>
            </w:r>
          </w:p>
        </w:tc>
      </w:tr>
    </w:tbl>
    <w:p>
      <w:pPr>
        <w:spacing w:line="360" w:lineRule="auto"/>
        <w:ind w:firstLine="480" w:firstLineChars="200"/>
        <w:rPr>
          <w:color w:val="auto"/>
          <w:kern w:val="0"/>
          <w:sz w:val="24"/>
          <w:highlight w:val="none"/>
        </w:rPr>
      </w:pPr>
      <w:r>
        <w:rPr>
          <w:color w:val="auto"/>
          <w:kern w:val="0"/>
          <w:sz w:val="24"/>
          <w:highlight w:val="none"/>
        </w:rPr>
        <w:t>综上所述，项目产生的各种固废全部得到妥善处理，符合“资源化、减量化、无害化”处理的要求，满足相关环境保护的要求，固体废物处置措施合理可行。</w:t>
      </w:r>
    </w:p>
    <w:p>
      <w:pPr>
        <w:pStyle w:val="3"/>
        <w:spacing w:before="0" w:after="0" w:line="360" w:lineRule="auto"/>
        <w:ind w:left="0"/>
        <w:rPr>
          <w:rFonts w:ascii="Times New Roman" w:hAnsi="Times New Roman" w:eastAsia="宋体"/>
          <w:color w:val="auto"/>
          <w:highlight w:val="none"/>
        </w:rPr>
      </w:pPr>
      <w:bookmarkStart w:id="738" w:name="_Toc25321"/>
      <w:bookmarkStart w:id="739" w:name="_Toc27616"/>
      <w:r>
        <w:rPr>
          <w:rFonts w:ascii="Times New Roman" w:hAnsi="Times New Roman" w:eastAsia="宋体"/>
          <w:color w:val="auto"/>
          <w:highlight w:val="none"/>
        </w:rPr>
        <w:t>7.3</w:t>
      </w:r>
      <w:r>
        <w:rPr>
          <w:rFonts w:ascii="Times New Roman" w:hAnsi="Times New Roman" w:eastAsia="宋体"/>
          <w:bCs w:val="0"/>
          <w:color w:val="auto"/>
          <w:highlight w:val="none"/>
        </w:rPr>
        <w:t>环境保护措施汇总</w:t>
      </w:r>
      <w:bookmarkEnd w:id="738"/>
      <w:bookmarkEnd w:id="739"/>
    </w:p>
    <w:p>
      <w:pPr>
        <w:autoSpaceDE w:val="0"/>
        <w:autoSpaceDN w:val="0"/>
        <w:spacing w:line="360" w:lineRule="auto"/>
        <w:ind w:firstLine="480" w:firstLineChars="200"/>
        <w:rPr>
          <w:color w:val="auto"/>
          <w:kern w:val="0"/>
          <w:sz w:val="24"/>
          <w:highlight w:val="none"/>
        </w:rPr>
      </w:pPr>
      <w:r>
        <w:rPr>
          <w:color w:val="auto"/>
          <w:kern w:val="0"/>
          <w:sz w:val="24"/>
          <w:highlight w:val="none"/>
        </w:rPr>
        <w:t>项目施工期及运营期污染防治对策措施汇总详见表7.3-1。</w:t>
      </w:r>
    </w:p>
    <w:p>
      <w:pPr>
        <w:spacing w:line="360" w:lineRule="auto"/>
        <w:ind w:firstLine="567"/>
        <w:jc w:val="center"/>
        <w:rPr>
          <w:b/>
          <w:color w:val="auto"/>
          <w:szCs w:val="21"/>
          <w:highlight w:val="none"/>
        </w:rPr>
      </w:pPr>
      <w:r>
        <w:rPr>
          <w:b/>
          <w:color w:val="auto"/>
          <w:szCs w:val="21"/>
          <w:highlight w:val="none"/>
        </w:rPr>
        <w:t>表7.3-1    项目污染防治对策措施一览表</w:t>
      </w:r>
    </w:p>
    <w:tbl>
      <w:tblPr>
        <w:tblStyle w:val="55"/>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9"/>
        <w:gridCol w:w="643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1" w:hRule="atLeast"/>
          <w:tblHeader/>
          <w:jc w:val="center"/>
        </w:trPr>
        <w:tc>
          <w:tcPr>
            <w:tcW w:w="249" w:type="dxa"/>
            <w:tcBorders>
              <w:tl2br w:val="nil"/>
              <w:tr2bl w:val="nil"/>
            </w:tcBorders>
            <w:noWrap/>
            <w:vAlign w:val="center"/>
          </w:tcPr>
          <w:p>
            <w:pPr>
              <w:spacing w:line="240" w:lineRule="auto"/>
              <w:jc w:val="center"/>
              <w:rPr>
                <w:b/>
                <w:color w:val="auto"/>
                <w:szCs w:val="21"/>
                <w:highlight w:val="none"/>
              </w:rPr>
            </w:pPr>
            <w:r>
              <w:rPr>
                <w:b/>
                <w:color w:val="auto"/>
                <w:szCs w:val="21"/>
                <w:highlight w:val="none"/>
              </w:rPr>
              <w:t>项目</w:t>
            </w:r>
          </w:p>
        </w:tc>
        <w:tc>
          <w:tcPr>
            <w:tcW w:w="6439" w:type="dxa"/>
            <w:tcBorders>
              <w:tl2br w:val="nil"/>
              <w:tr2bl w:val="nil"/>
            </w:tcBorders>
            <w:noWrap/>
            <w:vAlign w:val="center"/>
          </w:tcPr>
          <w:p>
            <w:pPr>
              <w:pStyle w:val="23"/>
              <w:spacing w:after="0" w:line="240" w:lineRule="auto"/>
              <w:ind w:left="0" w:leftChars="0"/>
              <w:jc w:val="center"/>
              <w:rPr>
                <w:b/>
                <w:color w:val="auto"/>
                <w:kern w:val="2"/>
                <w:sz w:val="21"/>
                <w:szCs w:val="21"/>
                <w:highlight w:val="none"/>
              </w:rPr>
            </w:pPr>
            <w:r>
              <w:rPr>
                <w:b/>
                <w:color w:val="auto"/>
                <w:kern w:val="2"/>
                <w:sz w:val="21"/>
                <w:szCs w:val="21"/>
                <w:highlight w:val="none"/>
              </w:rPr>
              <w:t>拟采取治理措施</w:t>
            </w:r>
          </w:p>
        </w:tc>
        <w:tc>
          <w:tcPr>
            <w:tcW w:w="1701" w:type="dxa"/>
            <w:tcBorders>
              <w:tl2br w:val="nil"/>
              <w:tr2bl w:val="nil"/>
            </w:tcBorders>
            <w:noWrap/>
            <w:vAlign w:val="center"/>
          </w:tcPr>
          <w:p>
            <w:pPr>
              <w:pStyle w:val="23"/>
              <w:spacing w:after="0" w:line="240" w:lineRule="auto"/>
              <w:ind w:left="0" w:leftChars="0"/>
              <w:jc w:val="center"/>
              <w:rPr>
                <w:b/>
                <w:color w:val="auto"/>
                <w:kern w:val="2"/>
                <w:sz w:val="21"/>
                <w:szCs w:val="21"/>
                <w:highlight w:val="none"/>
              </w:rPr>
            </w:pPr>
            <w:r>
              <w:rPr>
                <w:b/>
                <w:color w:val="auto"/>
                <w:kern w:val="2"/>
                <w:sz w:val="21"/>
                <w:szCs w:val="21"/>
                <w:highlight w:val="none"/>
              </w:rPr>
              <w:t>预期效果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jc w:val="center"/>
        </w:trPr>
        <w:tc>
          <w:tcPr>
            <w:tcW w:w="8389" w:type="dxa"/>
            <w:gridSpan w:val="3"/>
            <w:tcBorders>
              <w:tl2br w:val="nil"/>
              <w:tr2bl w:val="nil"/>
            </w:tcBorders>
            <w:noWrap/>
            <w:vAlign w:val="center"/>
          </w:tcPr>
          <w:p>
            <w:pPr>
              <w:spacing w:line="240" w:lineRule="auto"/>
              <w:rPr>
                <w:b/>
                <w:color w:val="auto"/>
                <w:szCs w:val="21"/>
                <w:highlight w:val="none"/>
              </w:rPr>
            </w:pPr>
            <w:r>
              <w:rPr>
                <w:b/>
                <w:color w:val="auto"/>
                <w:szCs w:val="21"/>
                <w:highlight w:val="none"/>
              </w:rPr>
              <w:t>一、施工期环境保护措施与对策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9"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废气</w:t>
            </w:r>
          </w:p>
        </w:tc>
        <w:tc>
          <w:tcPr>
            <w:tcW w:w="6439" w:type="dxa"/>
            <w:tcBorders>
              <w:tl2br w:val="nil"/>
              <w:tr2bl w:val="nil"/>
            </w:tcBorders>
            <w:noWrap/>
            <w:vAlign w:val="center"/>
          </w:tcPr>
          <w:p>
            <w:pPr>
              <w:pStyle w:val="537"/>
              <w:spacing w:line="240" w:lineRule="auto"/>
              <w:ind w:firstLine="0" w:firstLineChars="0"/>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rPr>
              <w:t>①本项目在已建成的厂房内进行装修</w:t>
            </w:r>
            <w:r>
              <w:rPr>
                <w:rFonts w:hint="eastAsia" w:ascii="Times New Roman" w:hAnsi="Times New Roman" w:eastAsia="宋体" w:cs="Times New Roman"/>
                <w:color w:val="auto"/>
                <w:sz w:val="21"/>
                <w:szCs w:val="21"/>
                <w:highlight w:val="none"/>
                <w:lang w:val="en-US" w:eastAsia="zh-CN"/>
              </w:rPr>
              <w:t>隔断</w:t>
            </w:r>
            <w:r>
              <w:rPr>
                <w:rFonts w:hint="eastAsia" w:ascii="Times New Roman" w:hAnsi="Times New Roman" w:eastAsia="宋体" w:cs="Times New Roman"/>
                <w:color w:val="auto"/>
                <w:sz w:val="21"/>
                <w:szCs w:val="21"/>
                <w:highlight w:val="none"/>
              </w:rPr>
              <w:t>和安装设备，且厂房外</w:t>
            </w:r>
            <w:r>
              <w:rPr>
                <w:rFonts w:hint="eastAsia" w:ascii="Times New Roman" w:hAnsi="Times New Roman" w:eastAsia="宋体" w:cs="Times New Roman"/>
                <w:color w:val="auto"/>
                <w:sz w:val="21"/>
                <w:szCs w:val="21"/>
                <w:highlight w:val="none"/>
                <w:lang w:val="en-US" w:eastAsia="zh-CN"/>
              </w:rPr>
              <w:t>已建有围墙遮挡</w:t>
            </w:r>
            <w:r>
              <w:rPr>
                <w:rFonts w:hint="eastAsia" w:ascii="Times New Roman" w:hAnsi="Times New Roman" w:eastAsia="宋体" w:cs="Times New Roman"/>
                <w:color w:val="auto"/>
                <w:sz w:val="21"/>
                <w:szCs w:val="21"/>
                <w:highlight w:val="none"/>
              </w:rPr>
              <w:t>，项目在施工过程中</w:t>
            </w:r>
            <w:r>
              <w:rPr>
                <w:rFonts w:ascii="Times New Roman" w:hAnsi="Times New Roman" w:eastAsia="宋体" w:cs="Times New Roman"/>
                <w:color w:val="auto"/>
                <w:sz w:val="21"/>
                <w:szCs w:val="21"/>
                <w:highlight w:val="none"/>
              </w:rPr>
              <w:t>采取洒水抑尘措施后，对周围居民影响较小。</w:t>
            </w:r>
          </w:p>
          <w:p>
            <w:pPr>
              <w:pStyle w:val="537"/>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②</w:t>
            </w:r>
            <w:r>
              <w:rPr>
                <w:rFonts w:hint="eastAsia" w:ascii="Times New Roman" w:hAnsi="Times New Roman" w:eastAsia="宋体" w:cs="Times New Roman"/>
                <w:color w:val="auto"/>
                <w:sz w:val="21"/>
                <w:szCs w:val="21"/>
                <w:highlight w:val="none"/>
                <w:lang w:val="en-US" w:eastAsia="zh-CN"/>
              </w:rPr>
              <w:t>对于场地内易起尘的物料要进行覆盖，严禁露天堆放，最大限度地减少施工扬尘对环境的影响。如遇4级以上（含4级）风力时，施工单位必须停止土方施工，并做好覆盖工作</w:t>
            </w:r>
            <w:r>
              <w:rPr>
                <w:rFonts w:ascii="Times New Roman" w:hAnsi="Times New Roman" w:eastAsia="宋体" w:cs="Times New Roman"/>
                <w:color w:val="auto"/>
                <w:sz w:val="21"/>
                <w:szCs w:val="21"/>
                <w:highlight w:val="none"/>
              </w:rPr>
              <w:t>；</w:t>
            </w:r>
          </w:p>
          <w:p>
            <w:pPr>
              <w:pStyle w:val="537"/>
              <w:spacing w:line="240" w:lineRule="auto"/>
              <w:ind w:firstLine="0" w:firstLineChars="0"/>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rPr>
              <w:t>③</w:t>
            </w:r>
            <w:r>
              <w:rPr>
                <w:rFonts w:ascii="Times New Roman" w:hAnsi="Times New Roman" w:eastAsia="宋体" w:cs="Times New Roman"/>
                <w:color w:val="auto"/>
                <w:sz w:val="21"/>
                <w:szCs w:val="21"/>
                <w:highlight w:val="none"/>
                <w:lang w:val="zh-CN"/>
              </w:rPr>
              <w:t>施工机械的选型上考虑相应的环保型产品，主要使用轻质柴油或电作为能源，不得使用劣质燃料；同时加强管理，禁止超载，不得使用劣质燃料等措施。</w:t>
            </w:r>
          </w:p>
          <w:p>
            <w:pPr>
              <w:pStyle w:val="537"/>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④</w:t>
            </w:r>
            <w:r>
              <w:rPr>
                <w:rFonts w:ascii="Times New Roman" w:hAnsi="Times New Roman" w:eastAsia="宋体" w:cs="Times New Roman"/>
                <w:color w:val="auto"/>
                <w:sz w:val="21"/>
                <w:szCs w:val="21"/>
                <w:highlight w:val="none"/>
              </w:rPr>
              <w:t>装修过程</w:t>
            </w:r>
            <w:r>
              <w:rPr>
                <w:rFonts w:ascii="Times New Roman" w:hAnsi="Times New Roman" w:eastAsia="宋体" w:cs="Times New Roman"/>
                <w:color w:val="auto"/>
                <w:sz w:val="21"/>
                <w:szCs w:val="21"/>
                <w:highlight w:val="none"/>
                <w:lang w:val="zh-CN"/>
              </w:rPr>
              <w:t>采用健康环保的建筑材料，可有效降低有机废气的影响。</w:t>
            </w:r>
            <w:r>
              <w:rPr>
                <w:rFonts w:ascii="Times New Roman" w:hAnsi="Times New Roman" w:eastAsia="宋体" w:cs="Times New Roman"/>
                <w:color w:val="auto"/>
                <w:sz w:val="21"/>
                <w:szCs w:val="21"/>
                <w:highlight w:val="none"/>
              </w:rPr>
              <w:t>同时，</w:t>
            </w:r>
            <w:r>
              <w:rPr>
                <w:rFonts w:ascii="Times New Roman" w:hAnsi="Times New Roman" w:eastAsia="宋体" w:cs="Times New Roman"/>
                <w:color w:val="auto"/>
                <w:sz w:val="21"/>
                <w:szCs w:val="21"/>
                <w:highlight w:val="none"/>
                <w:lang w:val="zh-CN"/>
              </w:rPr>
              <w:t>施工人员可佩戴防护口罩等，加强通风，减小有毒有害气体对人身的危害。</w:t>
            </w:r>
          </w:p>
        </w:tc>
        <w:tc>
          <w:tcPr>
            <w:tcW w:w="1701" w:type="dxa"/>
            <w:tcBorders>
              <w:tl2br w:val="nil"/>
              <w:tr2bl w:val="nil"/>
            </w:tcBorders>
            <w:noWrap/>
            <w:vAlign w:val="center"/>
          </w:tcPr>
          <w:p>
            <w:pPr>
              <w:pStyle w:val="537"/>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9"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废水</w:t>
            </w:r>
          </w:p>
        </w:tc>
        <w:tc>
          <w:tcPr>
            <w:tcW w:w="6439" w:type="dxa"/>
            <w:tcBorders>
              <w:tl2br w:val="nil"/>
              <w:tr2bl w:val="nil"/>
            </w:tcBorders>
            <w:noWrap/>
            <w:vAlign w:val="center"/>
          </w:tcPr>
          <w:p>
            <w:pPr>
              <w:pStyle w:val="537"/>
              <w:spacing w:line="240" w:lineRule="auto"/>
              <w:ind w:firstLine="0" w:firstLineChars="0"/>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①施工人员不在厂区食宿，</w:t>
            </w:r>
            <w:r>
              <w:rPr>
                <w:rFonts w:hint="eastAsia" w:ascii="Times New Roman" w:hAnsi="Times New Roman" w:eastAsia="宋体" w:cs="Times New Roman"/>
                <w:color w:val="auto"/>
                <w:sz w:val="21"/>
                <w:szCs w:val="21"/>
                <w:highlight w:val="none"/>
                <w:lang w:val="en-US" w:eastAsia="zh-CN"/>
              </w:rPr>
              <w:t>施工人员产生的少量生活污水依托项目区内已建化粪池处理。</w:t>
            </w:r>
          </w:p>
          <w:p>
            <w:pPr>
              <w:pStyle w:val="537"/>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②</w:t>
            </w:r>
            <w:r>
              <w:rPr>
                <w:rFonts w:hint="eastAsia" w:ascii="Times New Roman" w:hAnsi="Times New Roman" w:eastAsia="宋体" w:cs="Times New Roman"/>
                <w:color w:val="auto"/>
                <w:sz w:val="21"/>
                <w:szCs w:val="21"/>
                <w:highlight w:val="none"/>
                <w:lang w:val="zh-CN"/>
              </w:rPr>
              <w:t>施工期设备安装及调试过程中产生的少量清洗废水、建筑施工废水</w:t>
            </w:r>
            <w:r>
              <w:rPr>
                <w:rFonts w:hint="eastAsia" w:ascii="Times New Roman" w:hAnsi="Times New Roman" w:eastAsia="宋体" w:cs="Times New Roman"/>
                <w:color w:val="auto"/>
                <w:sz w:val="21"/>
                <w:szCs w:val="21"/>
                <w:highlight w:val="none"/>
              </w:rPr>
              <w:t>经1个容积约为0.5m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的临时沉淀池收集沉淀处理后回用于洒水降尘</w:t>
            </w:r>
            <w:r>
              <w:rPr>
                <w:rFonts w:hint="eastAsia" w:ascii="Times New Roman" w:hAnsi="Times New Roman" w:eastAsia="宋体" w:cs="Times New Roman"/>
                <w:color w:val="auto"/>
                <w:sz w:val="21"/>
                <w:szCs w:val="21"/>
                <w:highlight w:val="none"/>
                <w:lang w:val="zh-CN"/>
              </w:rPr>
              <w:t>，不外排。</w:t>
            </w:r>
          </w:p>
        </w:tc>
        <w:tc>
          <w:tcPr>
            <w:tcW w:w="1701" w:type="dxa"/>
            <w:tcBorders>
              <w:tl2br w:val="nil"/>
              <w:tr2bl w:val="nil"/>
            </w:tcBorders>
            <w:noWrap/>
            <w:vAlign w:val="center"/>
          </w:tcPr>
          <w:p>
            <w:pPr>
              <w:pStyle w:val="537"/>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全部回用，不外排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9"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噪声</w:t>
            </w:r>
          </w:p>
        </w:tc>
        <w:tc>
          <w:tcPr>
            <w:tcW w:w="6439" w:type="dxa"/>
            <w:tcBorders>
              <w:tl2br w:val="nil"/>
              <w:tr2bl w:val="nil"/>
            </w:tcBorders>
            <w:noWrap/>
            <w:vAlign w:val="center"/>
          </w:tcPr>
          <w:p>
            <w:pPr>
              <w:pStyle w:val="9"/>
              <w:spacing w:line="240" w:lineRule="auto"/>
              <w:ind w:firstLine="0" w:firstLineChars="0"/>
              <w:rPr>
                <w:color w:val="auto"/>
                <w:sz w:val="21"/>
                <w:szCs w:val="21"/>
                <w:highlight w:val="none"/>
              </w:rPr>
            </w:pPr>
            <w:r>
              <w:rPr>
                <w:color w:val="auto"/>
                <w:sz w:val="21"/>
                <w:szCs w:val="21"/>
                <w:highlight w:val="none"/>
              </w:rPr>
              <w:t>①</w:t>
            </w:r>
            <w:r>
              <w:rPr>
                <w:color w:val="auto"/>
                <w:sz w:val="21"/>
                <w:szCs w:val="21"/>
                <w:highlight w:val="none"/>
                <w:lang w:val="zh-CN"/>
              </w:rPr>
              <w:t>加强施工管理，合理安排作业时间，严格按照施工噪声管理的有关规定，避免夜间进行施工；</w:t>
            </w:r>
          </w:p>
          <w:p>
            <w:pPr>
              <w:pStyle w:val="9"/>
              <w:spacing w:line="240" w:lineRule="auto"/>
              <w:ind w:firstLine="0" w:firstLineChars="0"/>
              <w:rPr>
                <w:color w:val="auto"/>
                <w:sz w:val="21"/>
                <w:szCs w:val="21"/>
                <w:highlight w:val="none"/>
              </w:rPr>
            </w:pPr>
            <w:r>
              <w:rPr>
                <w:color w:val="auto"/>
                <w:sz w:val="21"/>
                <w:szCs w:val="21"/>
                <w:highlight w:val="none"/>
              </w:rPr>
              <w:t>②车辆出入现场时应低速、禁鸣；</w:t>
            </w:r>
          </w:p>
          <w:p>
            <w:pPr>
              <w:pStyle w:val="9"/>
              <w:spacing w:line="240" w:lineRule="auto"/>
              <w:ind w:firstLine="0" w:firstLineChars="0"/>
              <w:rPr>
                <w:color w:val="auto"/>
                <w:sz w:val="21"/>
                <w:szCs w:val="21"/>
                <w:highlight w:val="none"/>
              </w:rPr>
            </w:pPr>
            <w:r>
              <w:rPr>
                <w:color w:val="auto"/>
                <w:sz w:val="21"/>
                <w:szCs w:val="21"/>
                <w:highlight w:val="none"/>
              </w:rPr>
              <w:t>③加强检查、维护和保养机械设备，紧固各部件，减少运行震动噪声；</w:t>
            </w:r>
          </w:p>
          <w:p>
            <w:pPr>
              <w:pStyle w:val="9"/>
              <w:spacing w:line="240" w:lineRule="auto"/>
              <w:ind w:firstLine="0" w:firstLineChars="0"/>
              <w:rPr>
                <w:color w:val="auto"/>
                <w:sz w:val="21"/>
                <w:szCs w:val="21"/>
                <w:highlight w:val="none"/>
              </w:rPr>
            </w:pPr>
            <w:r>
              <w:rPr>
                <w:color w:val="auto"/>
                <w:sz w:val="21"/>
                <w:szCs w:val="21"/>
                <w:highlight w:val="none"/>
              </w:rPr>
              <w:t>④选用低噪声的施工机械及施工工艺，从根本上降低源强；</w:t>
            </w:r>
          </w:p>
          <w:p>
            <w:pPr>
              <w:pStyle w:val="9"/>
              <w:spacing w:line="240" w:lineRule="auto"/>
              <w:ind w:firstLine="0" w:firstLineChars="0"/>
              <w:rPr>
                <w:color w:val="auto"/>
                <w:kern w:val="2"/>
                <w:sz w:val="21"/>
                <w:szCs w:val="21"/>
                <w:highlight w:val="none"/>
              </w:rPr>
            </w:pPr>
            <w:r>
              <w:rPr>
                <w:color w:val="auto"/>
                <w:sz w:val="21"/>
                <w:szCs w:val="21"/>
                <w:highlight w:val="none"/>
              </w:rPr>
              <w:t>⑤高噪声设备不集中布置，并严禁同时运行。</w:t>
            </w:r>
          </w:p>
        </w:tc>
        <w:tc>
          <w:tcPr>
            <w:tcW w:w="1701" w:type="dxa"/>
            <w:tcBorders>
              <w:tl2br w:val="nil"/>
              <w:tr2bl w:val="nil"/>
            </w:tcBorders>
            <w:noWrap/>
            <w:vAlign w:val="center"/>
          </w:tcPr>
          <w:p>
            <w:pPr>
              <w:pStyle w:val="30"/>
              <w:spacing w:line="240" w:lineRule="auto"/>
              <w:jc w:val="center"/>
              <w:rPr>
                <w:rFonts w:ascii="Times New Roman" w:hAnsi="Times New Roman"/>
                <w:color w:val="auto"/>
                <w:kern w:val="2"/>
                <w:sz w:val="21"/>
                <w:highlight w:val="none"/>
              </w:rPr>
            </w:pPr>
            <w:r>
              <w:rPr>
                <w:rFonts w:ascii="Times New Roman" w:hAnsi="Times New Roman"/>
                <w:color w:val="auto"/>
                <w:kern w:val="2"/>
                <w:sz w:val="21"/>
                <w:highlight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2"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固废</w:t>
            </w:r>
          </w:p>
        </w:tc>
        <w:tc>
          <w:tcPr>
            <w:tcW w:w="6439"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①施工过程建筑垃圾中可回收利用部分收集后外售，不可利用部分严格按照《昆明市人民政府办公厅关于转发&lt;昆明市城市建筑垃圾管理实施办法实施细则&gt;的通知》（昆政办〔2011〕88号）要求委托有资质的建筑垃圾承运企业运输至建筑垃圾消纳处置场，禁止随意处置和堆放。</w:t>
            </w:r>
          </w:p>
          <w:p>
            <w:pPr>
              <w:pStyle w:val="9"/>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②</w:t>
            </w:r>
            <w:r>
              <w:rPr>
                <w:rFonts w:hint="eastAsia" w:ascii="Times New Roman" w:hAnsi="Times New Roman" w:eastAsia="宋体" w:cs="Times New Roman"/>
                <w:color w:val="auto"/>
                <w:sz w:val="21"/>
                <w:szCs w:val="21"/>
                <w:highlight w:val="none"/>
                <w:lang w:val="en-US" w:eastAsia="zh-CN"/>
              </w:rPr>
              <w:t>施工期建筑垃圾与生活垃圾应分类堆放、分别处置，禁止乱堆乱倒。施工人员每天产生的生活垃圾统一收集至垃圾桶后，定期运往指定地点由环卫部门集中处置。</w:t>
            </w:r>
          </w:p>
          <w:p>
            <w:pPr>
              <w:pStyle w:val="9"/>
              <w:spacing w:line="240" w:lineRule="auto"/>
              <w:ind w:firstLine="0" w:firstLineChars="0"/>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rPr>
              <w:t>③</w:t>
            </w:r>
            <w:r>
              <w:rPr>
                <w:rFonts w:ascii="Times New Roman" w:hAnsi="Times New Roman" w:eastAsia="宋体" w:cs="Times New Roman"/>
                <w:color w:val="auto"/>
                <w:sz w:val="21"/>
                <w:szCs w:val="21"/>
                <w:highlight w:val="none"/>
                <w:lang w:val="zh-CN"/>
              </w:rPr>
              <w:t>对于废油漆、涂料等有害废物，应当单独收集，按照危险废物处置的有关规定进行处置。</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④</w:t>
            </w:r>
            <w:r>
              <w:rPr>
                <w:rFonts w:hint="eastAsia" w:ascii="Times New Roman" w:hAnsi="Times New Roman" w:eastAsia="宋体" w:cs="Times New Roman"/>
                <w:color w:val="auto"/>
                <w:sz w:val="21"/>
                <w:szCs w:val="21"/>
                <w:highlight w:val="none"/>
                <w:lang w:val="en-US" w:eastAsia="zh-CN"/>
              </w:rPr>
              <w:t>车辆运输散体物料和废弃物时，必须密闭、包扎、覆盖，不得沿途漏撒</w:t>
            </w:r>
            <w:r>
              <w:rPr>
                <w:rFonts w:ascii="Times New Roman" w:hAnsi="Times New Roman" w:eastAsia="宋体" w:cs="Times New Roman"/>
                <w:color w:val="auto"/>
                <w:sz w:val="21"/>
                <w:szCs w:val="21"/>
                <w:highlight w:val="none"/>
              </w:rPr>
              <w:t>。</w:t>
            </w:r>
          </w:p>
        </w:tc>
        <w:tc>
          <w:tcPr>
            <w:tcW w:w="1701"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100%妥善处置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5" w:hRule="atLeast"/>
          <w:jc w:val="center"/>
        </w:trPr>
        <w:tc>
          <w:tcPr>
            <w:tcW w:w="8389" w:type="dxa"/>
            <w:gridSpan w:val="3"/>
            <w:tcBorders>
              <w:tl2br w:val="nil"/>
              <w:tr2bl w:val="nil"/>
            </w:tcBorders>
            <w:noWrap/>
            <w:vAlign w:val="center"/>
          </w:tcPr>
          <w:p>
            <w:pPr>
              <w:spacing w:line="240" w:lineRule="auto"/>
              <w:rPr>
                <w:b/>
                <w:color w:val="auto"/>
                <w:szCs w:val="21"/>
                <w:highlight w:val="none"/>
              </w:rPr>
            </w:pPr>
            <w:r>
              <w:rPr>
                <w:b/>
                <w:color w:val="auto"/>
                <w:szCs w:val="21"/>
                <w:highlight w:val="none"/>
              </w:rPr>
              <w:t>二、运营期环境保护措施与对策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废气</w:t>
            </w:r>
          </w:p>
        </w:tc>
        <w:tc>
          <w:tcPr>
            <w:tcW w:w="6439"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color w:val="auto"/>
                <w:sz w:val="21"/>
                <w:szCs w:val="21"/>
                <w:highlight w:val="none"/>
              </w:rPr>
              <w:t>①</w:t>
            </w:r>
            <w:r>
              <w:rPr>
                <w:rFonts w:hint="eastAsia" w:ascii="Times New Roman" w:hAnsi="Times New Roman" w:eastAsia="宋体" w:cs="Times New Roman"/>
                <w:color w:val="auto"/>
                <w:sz w:val="21"/>
                <w:szCs w:val="21"/>
                <w:highlight w:val="none"/>
                <w:lang w:val="en-US" w:eastAsia="zh-CN"/>
              </w:rPr>
              <w:t>项目拌料过程在封闭装置内进行，项目破碎机仅预留投料口，其余封闭建设，在破碎时，将投料口关闭，破碎过程全密闭，</w:t>
            </w:r>
            <w:r>
              <w:rPr>
                <w:rFonts w:hint="eastAsia" w:ascii="Times New Roman" w:hAnsi="Times New Roman" w:eastAsia="宋体" w:cs="Times New Roman"/>
                <w:color w:val="auto"/>
                <w:sz w:val="21"/>
                <w:szCs w:val="21"/>
                <w:highlight w:val="none"/>
              </w:rPr>
              <w:t>通过规范生产操作，控制无组织粉尘的排放。</w:t>
            </w:r>
          </w:p>
          <w:p>
            <w:pPr>
              <w:pStyle w:val="9"/>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②</w:t>
            </w:r>
            <w:r>
              <w:rPr>
                <w:rFonts w:hint="eastAsia"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6台注塑机上方均安装集气罩+集气管道对非甲烷总烃进行收集（收集效率</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lang w:val="en-US" w:eastAsia="zh-CN"/>
              </w:rPr>
              <w:t>收集的废气引至1套处理效率约为80%的</w:t>
            </w:r>
            <w:r>
              <w:rPr>
                <w:rFonts w:hint="eastAsia" w:cs="Times New Roman"/>
                <w:color w:val="auto"/>
                <w:sz w:val="21"/>
                <w:szCs w:val="21"/>
                <w:highlight w:val="none"/>
                <w:lang w:val="en-US" w:eastAsia="zh-CN"/>
              </w:rPr>
              <w:t>三级</w:t>
            </w:r>
            <w:r>
              <w:rPr>
                <w:rFonts w:hint="eastAsia" w:ascii="Times New Roman" w:hAnsi="Times New Roman" w:eastAsia="宋体" w:cs="Times New Roman"/>
                <w:color w:val="auto"/>
                <w:sz w:val="21"/>
                <w:szCs w:val="21"/>
                <w:highlight w:val="none"/>
                <w:lang w:val="en-US" w:eastAsia="zh-CN"/>
              </w:rPr>
              <w:t>活性炭吸附装置处理后，统一由1根15m高排气筒排放。</w:t>
            </w:r>
          </w:p>
          <w:p>
            <w:pPr>
              <w:pStyle w:val="9"/>
              <w:spacing w:line="240" w:lineRule="auto"/>
              <w:ind w:firstLine="0" w:firstLineChars="0"/>
              <w:rPr>
                <w:rFonts w:ascii="Times New Roman" w:hAnsi="Times New Roman" w:eastAsia="宋体" w:cs="Times New Roman"/>
                <w:color w:val="auto"/>
                <w:sz w:val="21"/>
                <w:szCs w:val="21"/>
                <w:highlight w:val="none"/>
              </w:rPr>
            </w:pPr>
            <w:r>
              <w:rPr>
                <w:color w:val="auto"/>
                <w:sz w:val="21"/>
                <w:szCs w:val="21"/>
                <w:highlight w:val="none"/>
              </w:rPr>
              <w:t>③</w:t>
            </w:r>
            <w:r>
              <w:rPr>
                <w:rFonts w:hint="eastAsia" w:ascii="Times New Roman" w:hAnsi="Times New Roman" w:eastAsia="宋体" w:cs="Times New Roman"/>
                <w:color w:val="auto"/>
                <w:sz w:val="21"/>
                <w:szCs w:val="21"/>
                <w:highlight w:val="none"/>
              </w:rPr>
              <w:t>本项目废气处理设施与生产设备同步运行，废气处理设施故障时及时关停生产设备。此外废气输送管道密闭设置且废气处理设施在负压状态下运行。</w:t>
            </w:r>
          </w:p>
        </w:tc>
        <w:tc>
          <w:tcPr>
            <w:tcW w:w="1701"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废水</w:t>
            </w:r>
          </w:p>
        </w:tc>
        <w:tc>
          <w:tcPr>
            <w:tcW w:w="6439" w:type="dxa"/>
            <w:tcBorders>
              <w:tl2br w:val="nil"/>
              <w:tr2bl w:val="nil"/>
            </w:tcBorders>
            <w:noWrap/>
            <w:vAlign w:val="center"/>
          </w:tcPr>
          <w:p>
            <w:pPr>
              <w:pStyle w:val="9"/>
              <w:spacing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根据现场调查，</w:t>
            </w:r>
            <w:r>
              <w:rPr>
                <w:rFonts w:hint="eastAsia" w:ascii="Times New Roman" w:hAnsi="Times New Roman" w:eastAsia="宋体" w:cs="Times New Roman"/>
                <w:color w:val="auto"/>
                <w:sz w:val="21"/>
                <w:szCs w:val="21"/>
                <w:highlight w:val="none"/>
                <w:lang w:val="en-US" w:eastAsia="zh-CN"/>
              </w:rPr>
              <w:t>项目区内拟建一座容积为</w:t>
            </w:r>
            <w:r>
              <w:rPr>
                <w:rFonts w:hint="eastAsia" w:cs="Times New Roman"/>
                <w:color w:val="auto"/>
                <w:sz w:val="21"/>
                <w:szCs w:val="21"/>
                <w:highlight w:val="none"/>
                <w:lang w:val="en-US" w:eastAsia="zh-CN"/>
              </w:rPr>
              <w:t>31</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的冷却循环水池，冷却水与塑料框间接接触，其为自来水，基本无污染物，冷却水循环使用不外排，定期补充蒸发损耗；</w:t>
            </w:r>
          </w:p>
          <w:p>
            <w:pPr>
              <w:pStyle w:val="9"/>
              <w:spacing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地面清洁废水</w:t>
            </w:r>
            <w:r>
              <w:rPr>
                <w:rFonts w:hint="eastAsia" w:ascii="Times New Roman" w:hAnsi="Times New Roman" w:eastAsia="宋体" w:cs="Times New Roman"/>
                <w:color w:val="auto"/>
                <w:sz w:val="21"/>
                <w:szCs w:val="21"/>
                <w:highlight w:val="none"/>
                <w:lang w:val="en-US" w:eastAsia="zh-CN"/>
              </w:rPr>
              <w:t>排入已有化粪池后与生活污水一并处理；</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生活污水排入</w:t>
            </w:r>
            <w:r>
              <w:rPr>
                <w:rFonts w:hint="eastAsia" w:ascii="Times New Roman" w:hAnsi="Times New Roman" w:eastAsia="宋体" w:cs="Times New Roman"/>
                <w:color w:val="auto"/>
                <w:sz w:val="21"/>
                <w:szCs w:val="21"/>
                <w:highlight w:val="none"/>
                <w:lang w:val="en-US" w:eastAsia="zh-CN"/>
              </w:rPr>
              <w:t>已有化粪池后定期</w:t>
            </w:r>
            <w:r>
              <w:rPr>
                <w:rFonts w:hint="eastAsia" w:cs="Times New Roman"/>
                <w:color w:val="auto"/>
                <w:sz w:val="21"/>
                <w:szCs w:val="21"/>
                <w:highlight w:val="none"/>
                <w:lang w:val="en-US" w:eastAsia="zh-CN"/>
              </w:rPr>
              <w:t>由建设</w:t>
            </w:r>
            <w:r>
              <w:rPr>
                <w:rFonts w:hint="eastAsia" w:ascii="Times New Roman" w:hAnsi="Times New Roman" w:eastAsia="宋体" w:cs="Times New Roman"/>
                <w:color w:val="auto"/>
                <w:sz w:val="21"/>
                <w:szCs w:val="21"/>
                <w:highlight w:val="none"/>
                <w:lang w:val="en-US" w:eastAsia="zh-CN"/>
              </w:rPr>
              <w:t>单位运至寻甸县</w:t>
            </w:r>
            <w:r>
              <w:rPr>
                <w:rFonts w:hint="eastAsia" w:cs="Times New Roman"/>
                <w:color w:val="auto"/>
                <w:sz w:val="21"/>
                <w:szCs w:val="21"/>
                <w:highlight w:val="none"/>
                <w:lang w:val="en-US" w:eastAsia="zh-CN"/>
              </w:rPr>
              <w:t>水质净化厂</w:t>
            </w:r>
            <w:r>
              <w:rPr>
                <w:rFonts w:hint="eastAsia" w:ascii="Times New Roman" w:hAnsi="Times New Roman" w:eastAsia="宋体" w:cs="Times New Roman"/>
                <w:color w:val="auto"/>
                <w:sz w:val="21"/>
                <w:szCs w:val="21"/>
                <w:highlight w:val="none"/>
                <w:lang w:val="en-US" w:eastAsia="zh-CN"/>
              </w:rPr>
              <w:t>处理，不外排。</w:t>
            </w:r>
            <w:r>
              <w:rPr>
                <w:rFonts w:ascii="Times New Roman" w:hAnsi="Times New Roman" w:eastAsia="宋体" w:cs="Times New Roman"/>
                <w:color w:val="auto"/>
                <w:sz w:val="21"/>
                <w:szCs w:val="21"/>
                <w:highlight w:val="none"/>
              </w:rPr>
              <w:t>项目运营期各类废水均合理利用，无外排废水。</w:t>
            </w:r>
          </w:p>
        </w:tc>
        <w:tc>
          <w:tcPr>
            <w:tcW w:w="1701"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生活污水处理</w:t>
            </w:r>
            <w:r>
              <w:rPr>
                <w:rFonts w:hint="eastAsia" w:ascii="Times New Roman" w:hAnsi="Times New Roman" w:eastAsia="宋体" w:cs="Times New Roman"/>
                <w:color w:val="auto"/>
                <w:sz w:val="21"/>
                <w:szCs w:val="21"/>
                <w:highlight w:val="none"/>
                <w:lang w:val="en-US" w:eastAsia="zh-CN"/>
              </w:rPr>
              <w:t>后外运至</w:t>
            </w:r>
            <w:r>
              <w:rPr>
                <w:rFonts w:hint="eastAsia" w:cs="Times New Roman"/>
                <w:color w:val="auto"/>
                <w:sz w:val="21"/>
                <w:szCs w:val="21"/>
                <w:highlight w:val="none"/>
                <w:lang w:val="en-US" w:eastAsia="zh-CN"/>
              </w:rPr>
              <w:t>水质净化厂</w:t>
            </w:r>
            <w:r>
              <w:rPr>
                <w:rFonts w:ascii="Times New Roman" w:hAnsi="Times New Roman" w:eastAsia="宋体" w:cs="Times New Roman"/>
                <w:color w:val="auto"/>
                <w:sz w:val="21"/>
                <w:szCs w:val="21"/>
                <w:highlight w:val="none"/>
              </w:rPr>
              <w:t>，不外排；生产废水回用于生产，不外排。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噪声</w:t>
            </w:r>
          </w:p>
        </w:tc>
        <w:tc>
          <w:tcPr>
            <w:tcW w:w="6439"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①项目噪声源主要有</w:t>
            </w:r>
            <w:r>
              <w:rPr>
                <w:rFonts w:hint="eastAsia" w:ascii="Times New Roman" w:hAnsi="Times New Roman" w:eastAsia="宋体" w:cs="Times New Roman"/>
                <w:color w:val="auto"/>
                <w:sz w:val="21"/>
                <w:szCs w:val="21"/>
                <w:highlight w:val="none"/>
                <w:lang w:val="en-US" w:eastAsia="zh-CN"/>
              </w:rPr>
              <w:t>上料机、注塑机、搅拌机、破碎机、风机、水泵</w:t>
            </w:r>
            <w:r>
              <w:rPr>
                <w:rFonts w:ascii="Times New Roman" w:hAnsi="Times New Roman" w:eastAsia="宋体" w:cs="Times New Roman"/>
                <w:color w:val="auto"/>
                <w:sz w:val="21"/>
                <w:szCs w:val="21"/>
                <w:highlight w:val="none"/>
              </w:rPr>
              <w:t>等，其等效声级在</w:t>
            </w:r>
            <w:r>
              <w:rPr>
                <w:rFonts w:hint="eastAsia" w:ascii="Times New Roman" w:hAnsi="Times New Roman" w:eastAsia="宋体" w:cs="Times New Roman"/>
                <w:color w:val="auto"/>
                <w:sz w:val="21"/>
                <w:szCs w:val="21"/>
                <w:highlight w:val="none"/>
              </w:rPr>
              <w:t>7</w:t>
            </w:r>
            <w:r>
              <w:rPr>
                <w:rFonts w:ascii="Times New Roman" w:hAnsi="Times New Roman" w:eastAsia="宋体" w:cs="Times New Roman"/>
                <w:color w:val="auto"/>
                <w:sz w:val="21"/>
                <w:szCs w:val="21"/>
                <w:highlight w:val="none"/>
              </w:rPr>
              <w:t>0dB（A）～9</w:t>
            </w:r>
            <w:r>
              <w:rPr>
                <w:rFonts w:hint="eastAsia" w:ascii="Times New Roman" w:hAnsi="Times New Roman" w:eastAsia="宋体" w:cs="Times New Roman"/>
                <w:color w:val="auto"/>
                <w:sz w:val="21"/>
                <w:szCs w:val="21"/>
                <w:highlight w:val="none"/>
              </w:rPr>
              <w:t>0</w:t>
            </w:r>
            <w:r>
              <w:rPr>
                <w:rFonts w:ascii="Times New Roman" w:hAnsi="Times New Roman" w:eastAsia="宋体" w:cs="Times New Roman"/>
                <w:color w:val="auto"/>
                <w:sz w:val="21"/>
                <w:szCs w:val="21"/>
                <w:highlight w:val="none"/>
              </w:rPr>
              <w:t>dB（A）之间。采用选用低噪声设备、高噪声设备设隔振基础或铺设减振垫、封闭厂房隔声、优化布局、距离衰减等措施进行治理。水泵进、出管、管道穿越变形缝均设金属软管接头。</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②风机选用低噪声设备，设备减震，进出口软连接，安装消声器；并进一步加装隔声罩进行隔声。消声器是安装在空气动力设备的气流通道上或进、排气系统中的降低噪声的装置，能够阻挡声波的传播，允许气流通过，是控制噪声的有效工具。</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③加强职工环保教育意识，提倡文明生产，防止人为噪声。</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④本次环评要求建设单位强化生产管理，车间封闭，确保降噪设施的有效运行，并加强对生产设备的保养、检修与润滑，保证设备处于良好的运转状态，杜绝因设备不正常运转而产生的高噪声现象。</w:t>
            </w:r>
          </w:p>
        </w:tc>
        <w:tc>
          <w:tcPr>
            <w:tcW w:w="1701"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5"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固废</w:t>
            </w:r>
          </w:p>
        </w:tc>
        <w:tc>
          <w:tcPr>
            <w:tcW w:w="6439"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lang w:val="en-US" w:eastAsia="zh-CN"/>
              </w:rPr>
              <w:t>本项目废包装材料主要为原料包装袋以及部分其他材料的纸箱，收集之后直接外售废品回收站</w:t>
            </w:r>
            <w:r>
              <w:rPr>
                <w:rFonts w:hint="eastAsia" w:ascii="Times New Roman" w:hAnsi="Times New Roman" w:eastAsia="宋体" w:cs="Times New Roman"/>
                <w:color w:val="auto"/>
                <w:sz w:val="21"/>
                <w:szCs w:val="21"/>
                <w:highlight w:val="none"/>
              </w:rPr>
              <w:t>。</w:t>
            </w:r>
          </w:p>
          <w:p>
            <w:pPr>
              <w:pStyle w:val="9"/>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②</w:t>
            </w:r>
            <w:r>
              <w:rPr>
                <w:rFonts w:hint="eastAsia" w:ascii="Times New Roman" w:hAnsi="Times New Roman" w:eastAsia="宋体" w:cs="Times New Roman"/>
                <w:color w:val="auto"/>
                <w:sz w:val="21"/>
                <w:szCs w:val="21"/>
                <w:highlight w:val="none"/>
                <w:lang w:val="en-US" w:eastAsia="zh-CN"/>
              </w:rPr>
              <w:t>不合格产品及边角料</w:t>
            </w:r>
          </w:p>
          <w:p>
            <w:pPr>
              <w:pStyle w:val="9"/>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本项目在生产过程中会产生部分的不合格产品</w:t>
            </w:r>
            <w:r>
              <w:rPr>
                <w:rFonts w:hint="eastAsia" w:ascii="Times New Roman" w:hAnsi="Times New Roman" w:eastAsia="宋体" w:cs="Times New Roman"/>
                <w:color w:val="auto"/>
                <w:sz w:val="21"/>
                <w:szCs w:val="21"/>
                <w:highlight w:val="none"/>
                <w:lang w:val="en-US" w:eastAsia="zh-CN"/>
              </w:rPr>
              <w:t>及修边的边角料</w:t>
            </w:r>
            <w:r>
              <w:rPr>
                <w:rFonts w:hint="default" w:ascii="Times New Roman" w:hAnsi="Times New Roman" w:eastAsia="宋体" w:cs="Times New Roman"/>
                <w:color w:val="auto"/>
                <w:sz w:val="21"/>
                <w:szCs w:val="21"/>
                <w:highlight w:val="none"/>
                <w:lang w:val="en-US" w:eastAsia="zh-CN"/>
              </w:rPr>
              <w:t>，直接经过破碎机粉碎后回用于生产。</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环评要求在设一般固废临时收集场所，一般固废临时收集场所必须符合《一般工业固体废物贮存和填埋污染控制标准》（GB 18599-2020）要求，临时收集场所必须全封闭结构（防风、防雨、防晒）。</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③生活垃圾集中分类收集后，及时清运至指定地点由环卫部门集中处置。</w:t>
            </w:r>
          </w:p>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④根据《国家危险废物名录（2021版）》，本项目运营期产生的废机油、废油桶、废活性炭属于危险废物。项目在厂区设置危废暂存间，运营期产生的危废暂存于危废暂存间内，并定期交由有资质的单位处置。</w:t>
            </w:r>
          </w:p>
        </w:tc>
        <w:tc>
          <w:tcPr>
            <w:tcW w:w="1701" w:type="dxa"/>
            <w:tcBorders>
              <w:tl2br w:val="nil"/>
              <w:tr2bl w:val="nil"/>
            </w:tcBorders>
            <w:noWrap/>
            <w:vAlign w:val="center"/>
          </w:tcPr>
          <w:p>
            <w:pPr>
              <w:pStyle w:val="9"/>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100%妥善处置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地下水</w:t>
            </w:r>
          </w:p>
        </w:tc>
        <w:tc>
          <w:tcPr>
            <w:tcW w:w="6439" w:type="dxa"/>
            <w:tcBorders>
              <w:tl2br w:val="nil"/>
              <w:tr2bl w:val="nil"/>
            </w:tcBorders>
            <w:noWrap/>
            <w:vAlign w:val="center"/>
          </w:tcPr>
          <w:p>
            <w:pPr>
              <w:pStyle w:val="537"/>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本次环评已提出设置一间5m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的危废暂存间，用于暂存废机油、废活性炭等，设置标识标牌，采取水泥+2mm厚HDPE膜进行防渗，渗透系数≤10</w:t>
            </w:r>
            <w:r>
              <w:rPr>
                <w:rFonts w:hint="eastAsia" w:ascii="Times New Roman" w:hAnsi="Times New Roman" w:eastAsia="宋体" w:cs="Times New Roman"/>
                <w:color w:val="auto"/>
                <w:sz w:val="21"/>
                <w:szCs w:val="21"/>
                <w:highlight w:val="none"/>
                <w:vertAlign w:val="superscript"/>
                <w:lang w:val="en-US" w:eastAsia="zh-CN"/>
              </w:rPr>
              <w:t>-10</w:t>
            </w:r>
            <w:r>
              <w:rPr>
                <w:rFonts w:hint="eastAsia" w:ascii="Times New Roman" w:hAnsi="Times New Roman" w:eastAsia="宋体" w:cs="Times New Roman"/>
                <w:color w:val="auto"/>
                <w:sz w:val="21"/>
                <w:szCs w:val="21"/>
                <w:highlight w:val="none"/>
                <w:lang w:val="en-US" w:eastAsia="zh-CN"/>
              </w:rPr>
              <w:t>cm/s，可有效防止废机油、废活性炭暂存过程对地下水环境造成影响。</w:t>
            </w:r>
          </w:p>
        </w:tc>
        <w:tc>
          <w:tcPr>
            <w:tcW w:w="1701" w:type="dxa"/>
            <w:tcBorders>
              <w:tl2br w:val="nil"/>
              <w:tr2bl w:val="nil"/>
            </w:tcBorders>
            <w:noWrap/>
            <w:vAlign w:val="center"/>
          </w:tcPr>
          <w:p>
            <w:pPr>
              <w:pStyle w:val="537"/>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危废间</w:t>
            </w:r>
            <w:r>
              <w:rPr>
                <w:rFonts w:ascii="Times New Roman" w:hAnsi="Times New Roman" w:eastAsia="宋体" w:cs="Times New Roman"/>
                <w:color w:val="auto"/>
                <w:sz w:val="21"/>
                <w:szCs w:val="21"/>
                <w:highlight w:val="none"/>
              </w:rPr>
              <w:t>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 w:hRule="atLeast"/>
          <w:jc w:val="center"/>
        </w:trPr>
        <w:tc>
          <w:tcPr>
            <w:tcW w:w="249" w:type="dxa"/>
            <w:tcBorders>
              <w:tl2br w:val="nil"/>
              <w:tr2bl w:val="nil"/>
            </w:tcBorders>
            <w:noWrap/>
            <w:vAlign w:val="center"/>
          </w:tcPr>
          <w:p>
            <w:pPr>
              <w:spacing w:line="240" w:lineRule="auto"/>
              <w:jc w:val="center"/>
              <w:rPr>
                <w:color w:val="auto"/>
                <w:szCs w:val="21"/>
                <w:highlight w:val="none"/>
              </w:rPr>
            </w:pPr>
            <w:r>
              <w:rPr>
                <w:color w:val="auto"/>
                <w:szCs w:val="21"/>
                <w:highlight w:val="none"/>
              </w:rPr>
              <w:t>环境风险</w:t>
            </w:r>
          </w:p>
        </w:tc>
        <w:tc>
          <w:tcPr>
            <w:tcW w:w="643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1、运输过程的环境风险防范措施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建设单位加大宣传力度和提出要求，在原料运至项目区过程应包装牢固并压制打捆。在输送环节上尽可能的减少人为的不安全行为，如不遵守交通规则，误操作等。最大程度减少交通</w:t>
            </w:r>
            <w:r>
              <w:rPr>
                <w:rFonts w:hint="eastAsia" w:cs="Times New Roman"/>
                <w:b w:val="0"/>
                <w:bCs/>
                <w:color w:val="auto"/>
                <w:sz w:val="21"/>
                <w:szCs w:val="21"/>
                <w:highlight w:val="none"/>
                <w:lang w:eastAsia="zh-CN"/>
              </w:rPr>
              <w:t>事故</w:t>
            </w:r>
            <w:r>
              <w:rPr>
                <w:rFonts w:hint="default" w:ascii="Times New Roman" w:hAnsi="Times New Roman" w:cs="Times New Roman"/>
                <w:b w:val="0"/>
                <w:bCs/>
                <w:color w:val="auto"/>
                <w:sz w:val="21"/>
                <w:szCs w:val="21"/>
                <w:highlight w:val="none"/>
              </w:rPr>
              <w:t>导致</w:t>
            </w:r>
            <w:r>
              <w:rPr>
                <w:rFonts w:hint="default" w:ascii="Times New Roman" w:hAnsi="Times New Roman" w:cs="Times New Roman"/>
                <w:b w:val="0"/>
                <w:bCs/>
                <w:color w:val="auto"/>
                <w:sz w:val="21"/>
                <w:szCs w:val="21"/>
                <w:highlight w:val="none"/>
                <w:lang w:val="en-US" w:eastAsia="zh-CN"/>
              </w:rPr>
              <w:t>聚丙烯再生树脂颗粒</w:t>
            </w:r>
            <w:r>
              <w:rPr>
                <w:rFonts w:hint="default" w:ascii="Times New Roman" w:hAnsi="Times New Roman" w:cs="Times New Roman"/>
                <w:b w:val="0"/>
                <w:bCs/>
                <w:color w:val="auto"/>
                <w:sz w:val="21"/>
                <w:szCs w:val="21"/>
                <w:highlight w:val="none"/>
              </w:rPr>
              <w:t>散落或引起火灾的可能，同时输送车辆配有专门的防火设施，以防发生事故时风险的扩大。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2、储存、使用过程的环境风险防范措施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（1）原料、产品贮存区设置明确禁止烟火标识；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（2）严格控制原料、产品在场内的贮存量。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（3）实行安全检查制度，各类安全设施、消防器材，进行各种日常的、定期的、专业的防火安全检查，并将发现的问题定人、限期落实整改。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（4）制定各种操作规范，加强监督管理，严格看管检查制度，避免事故的发生。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（5）制定、落实事故风险应急预案和环境监测计划。</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w:t>
            </w:r>
            <w:r>
              <w:rPr>
                <w:rFonts w:hint="default" w:ascii="Times New Roman" w:hAnsi="Times New Roman" w:cs="Times New Roman"/>
                <w:b w:val="0"/>
                <w:bCs/>
                <w:color w:val="auto"/>
                <w:sz w:val="21"/>
                <w:szCs w:val="21"/>
                <w:highlight w:val="none"/>
                <w:lang w:val="en-US" w:eastAsia="zh-CN"/>
              </w:rPr>
              <w:t>危险废物</w:t>
            </w:r>
            <w:r>
              <w:rPr>
                <w:rFonts w:hint="default" w:ascii="Times New Roman" w:hAnsi="Times New Roman" w:cs="Times New Roman"/>
                <w:b w:val="0"/>
                <w:bCs/>
                <w:color w:val="auto"/>
                <w:sz w:val="21"/>
                <w:szCs w:val="21"/>
                <w:highlight w:val="none"/>
              </w:rPr>
              <w:t>防范措施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r>
              <w:rPr>
                <w:rFonts w:hint="default" w:ascii="Times New Roman" w:hAnsi="Times New Roman" w:cs="Times New Roman"/>
                <w:b w:val="0"/>
                <w:bCs/>
                <w:color w:val="auto"/>
                <w:sz w:val="21"/>
                <w:szCs w:val="21"/>
                <w:highlight w:val="none"/>
                <w:lang w:val="en-US" w:eastAsia="zh-CN"/>
              </w:rPr>
              <w:t>危险废物</w:t>
            </w:r>
            <w:r>
              <w:rPr>
                <w:rFonts w:hint="default" w:ascii="Times New Roman" w:hAnsi="Times New Roman" w:cs="Times New Roman"/>
                <w:b w:val="0"/>
                <w:bCs/>
                <w:color w:val="auto"/>
                <w:sz w:val="21"/>
                <w:szCs w:val="21"/>
                <w:highlight w:val="none"/>
              </w:rPr>
              <w:t>必须按规定设置警示标志，分类管理，分类存放；配备必要的危险品事故防范和应急技术装备。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（2）根据消防部门的要求配置泡沫灭火器等消防设施。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（3）严格按照《建筑设计防火规范》（GB50016-2014）等标准规范进行设计。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（4）危废暂存间地面在现有的水泥硬化基础上新增2.0mmHDPE膜进行防渗，使其地面达到渗透系数≤1×10</w:t>
            </w:r>
            <w:r>
              <w:rPr>
                <w:rFonts w:hint="default" w:ascii="Times New Roman" w:hAnsi="Times New Roman" w:cs="Times New Roman"/>
                <w:b w:val="0"/>
                <w:bCs/>
                <w:color w:val="auto"/>
                <w:sz w:val="21"/>
                <w:szCs w:val="21"/>
                <w:highlight w:val="none"/>
                <w:vertAlign w:val="superscript"/>
              </w:rPr>
              <w:t>-10</w:t>
            </w:r>
            <w:r>
              <w:rPr>
                <w:rFonts w:hint="default" w:ascii="Times New Roman" w:hAnsi="Times New Roman" w:cs="Times New Roman"/>
                <w:b w:val="0"/>
                <w:bCs/>
                <w:color w:val="auto"/>
                <w:sz w:val="21"/>
                <w:szCs w:val="21"/>
                <w:highlight w:val="none"/>
              </w:rPr>
              <w:t>cm/s的防渗性能。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w:t>
            </w:r>
            <w:r>
              <w:rPr>
                <w:color w:val="auto"/>
                <w:szCs w:val="21"/>
                <w:highlight w:val="none"/>
              </w:rPr>
              <w:t>危废暂存间内废机油暂存区域设置</w:t>
            </w:r>
            <w:r>
              <w:rPr>
                <w:rFonts w:hint="eastAsia"/>
                <w:color w:val="auto"/>
                <w:szCs w:val="21"/>
                <w:highlight w:val="none"/>
                <w:lang w:val="en-US" w:eastAsia="zh-CN"/>
              </w:rPr>
              <w:t>不小于废机油储存量容积的铁质托盘，用于收集泄漏后的废机油</w:t>
            </w:r>
            <w:r>
              <w:rPr>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（6）盛装废机油容器上必须贴相应的危险废物标志。危险废物贮存设施都必须按环境保护图形《固体废物贮存（处置）场》（GB15562.2-1995）的规定设置警示标志。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kern w:val="2"/>
                <w:sz w:val="21"/>
                <w:szCs w:val="21"/>
                <w:highlight w:val="none"/>
              </w:rPr>
            </w:pPr>
            <w:r>
              <w:rPr>
                <w:rFonts w:hint="default" w:ascii="Times New Roman" w:hAnsi="Times New Roman" w:cs="Times New Roman"/>
                <w:b w:val="0"/>
                <w:bCs/>
                <w:color w:val="auto"/>
                <w:sz w:val="21"/>
                <w:szCs w:val="21"/>
                <w:highlight w:val="none"/>
              </w:rPr>
              <w:t>（7）设置危险固废管理台账，</w:t>
            </w:r>
            <w:r>
              <w:rPr>
                <w:rFonts w:hint="default" w:ascii="Times New Roman" w:hAnsi="Times New Roman" w:cs="Times New Roman"/>
                <w:b w:val="0"/>
                <w:bCs/>
                <w:color w:val="auto"/>
                <w:sz w:val="21"/>
                <w:szCs w:val="21"/>
                <w:highlight w:val="none"/>
                <w:lang w:val="en-US" w:eastAsia="zh-CN"/>
              </w:rPr>
              <w:t>办理转移联单。</w:t>
            </w:r>
            <w:r>
              <w:rPr>
                <w:rFonts w:hint="default" w:ascii="Times New Roman" w:hAnsi="Times New Roman" w:cs="Times New Roman"/>
                <w:b w:val="0"/>
                <w:bCs/>
                <w:color w:val="auto"/>
                <w:sz w:val="21"/>
                <w:szCs w:val="21"/>
                <w:highlight w:val="none"/>
              </w:rPr>
              <w:t>如实记载</w:t>
            </w:r>
            <w:r>
              <w:rPr>
                <w:rFonts w:hint="default" w:ascii="Times New Roman" w:hAnsi="Times New Roman" w:cs="Times New Roman"/>
                <w:b w:val="0"/>
                <w:bCs/>
                <w:color w:val="auto"/>
                <w:sz w:val="21"/>
                <w:szCs w:val="21"/>
                <w:highlight w:val="none"/>
                <w:lang w:val="en-US" w:eastAsia="zh-CN"/>
              </w:rPr>
              <w:t>危险废物</w:t>
            </w:r>
            <w:r>
              <w:rPr>
                <w:rFonts w:hint="default" w:ascii="Times New Roman" w:hAnsi="Times New Roman" w:cs="Times New Roman"/>
                <w:b w:val="0"/>
                <w:bCs/>
                <w:color w:val="auto"/>
                <w:sz w:val="21"/>
                <w:szCs w:val="21"/>
                <w:highlight w:val="none"/>
              </w:rPr>
              <w:t>的来源、数量、特性、包装容器类别、入库日期、存放库位。贮存期间，定期对存储容器进行检查，及时更换破损容器。</w:t>
            </w:r>
          </w:p>
        </w:tc>
        <w:tc>
          <w:tcPr>
            <w:tcW w:w="1701" w:type="dxa"/>
            <w:tcBorders>
              <w:tl2br w:val="nil"/>
              <w:tr2bl w:val="nil"/>
            </w:tcBorders>
            <w:noWrap/>
            <w:vAlign w:val="center"/>
          </w:tcPr>
          <w:p>
            <w:pPr>
              <w:spacing w:line="240" w:lineRule="auto"/>
              <w:jc w:val="center"/>
              <w:textAlignment w:val="baseline"/>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 w:hRule="atLeast"/>
          <w:jc w:val="center"/>
        </w:trPr>
        <w:tc>
          <w:tcPr>
            <w:tcW w:w="8389" w:type="dxa"/>
            <w:gridSpan w:val="3"/>
            <w:tcBorders>
              <w:tl2br w:val="nil"/>
              <w:tr2bl w:val="nil"/>
            </w:tcBorders>
            <w:noWrap/>
            <w:vAlign w:val="center"/>
          </w:tcPr>
          <w:p>
            <w:pPr>
              <w:spacing w:line="240" w:lineRule="auto"/>
              <w:rPr>
                <w:b/>
                <w:color w:val="auto"/>
                <w:szCs w:val="21"/>
                <w:highlight w:val="none"/>
              </w:rPr>
            </w:pPr>
            <w:r>
              <w:rPr>
                <w:b/>
                <w:color w:val="auto"/>
                <w:szCs w:val="21"/>
                <w:highlight w:val="none"/>
              </w:rPr>
              <w:t>四、环境管理对策措施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 w:hRule="atLeast"/>
          <w:jc w:val="center"/>
        </w:trPr>
        <w:tc>
          <w:tcPr>
            <w:tcW w:w="6688" w:type="dxa"/>
            <w:gridSpan w:val="2"/>
            <w:tcBorders>
              <w:tl2br w:val="nil"/>
              <w:tr2bl w:val="nil"/>
            </w:tcBorders>
            <w:noWrap/>
            <w:vAlign w:val="center"/>
          </w:tcPr>
          <w:p>
            <w:pPr>
              <w:spacing w:line="240" w:lineRule="auto"/>
              <w:rPr>
                <w:color w:val="auto"/>
                <w:szCs w:val="21"/>
                <w:highlight w:val="none"/>
              </w:rPr>
            </w:pPr>
            <w:r>
              <w:rPr>
                <w:color w:val="auto"/>
                <w:szCs w:val="21"/>
                <w:highlight w:val="none"/>
              </w:rPr>
              <w:t>①建立企业内部的环境保护机构、环境监测机构，健全环境保护制度和环境管理制度。</w:t>
            </w:r>
          </w:p>
          <w:p>
            <w:pPr>
              <w:spacing w:line="240" w:lineRule="auto"/>
              <w:rPr>
                <w:color w:val="auto"/>
                <w:szCs w:val="21"/>
                <w:highlight w:val="none"/>
              </w:rPr>
            </w:pPr>
            <w:r>
              <w:rPr>
                <w:color w:val="auto"/>
                <w:szCs w:val="21"/>
                <w:highlight w:val="none"/>
              </w:rPr>
              <w:t>②加强环保工程设计和管理，确保环保管理措施落实和环保工程质量。</w:t>
            </w:r>
          </w:p>
          <w:p>
            <w:pPr>
              <w:spacing w:line="240" w:lineRule="auto"/>
              <w:rPr>
                <w:color w:val="auto"/>
                <w:szCs w:val="21"/>
                <w:highlight w:val="none"/>
              </w:rPr>
            </w:pPr>
            <w:r>
              <w:rPr>
                <w:color w:val="auto"/>
                <w:szCs w:val="21"/>
                <w:highlight w:val="none"/>
              </w:rPr>
              <w:t>③运营期加强环保设施的维护和管理，确保环保设施长期稳定运行。</w:t>
            </w:r>
          </w:p>
          <w:p>
            <w:pPr>
              <w:spacing w:line="240" w:lineRule="auto"/>
              <w:rPr>
                <w:color w:val="auto"/>
                <w:szCs w:val="21"/>
                <w:highlight w:val="none"/>
              </w:rPr>
            </w:pPr>
            <w:r>
              <w:rPr>
                <w:color w:val="auto"/>
                <w:szCs w:val="21"/>
                <w:highlight w:val="none"/>
              </w:rPr>
              <w:t>④加强职工培训，减少误操作，预防环境污染事故的发生。</w:t>
            </w:r>
          </w:p>
          <w:p>
            <w:pPr>
              <w:pStyle w:val="9"/>
              <w:spacing w:line="240" w:lineRule="auto"/>
              <w:ind w:firstLine="0" w:firstLineChars="0"/>
              <w:rPr>
                <w:color w:val="auto"/>
                <w:kern w:val="2"/>
                <w:sz w:val="21"/>
                <w:szCs w:val="21"/>
                <w:highlight w:val="none"/>
              </w:rPr>
            </w:pPr>
            <w:r>
              <w:rPr>
                <w:color w:val="auto"/>
                <w:kern w:val="2"/>
                <w:sz w:val="21"/>
                <w:szCs w:val="21"/>
                <w:highlight w:val="none"/>
              </w:rPr>
              <w:t>⑤</w:t>
            </w:r>
            <w:r>
              <w:rPr>
                <w:color w:val="auto"/>
                <w:sz w:val="21"/>
                <w:szCs w:val="21"/>
                <w:highlight w:val="none"/>
              </w:rPr>
              <w:t>制定事故防范措施和应急计划，出现事故时做到及时、正确处理发生的事故，尽量减轻危害的后果。</w:t>
            </w:r>
          </w:p>
        </w:tc>
        <w:tc>
          <w:tcPr>
            <w:tcW w:w="1701" w:type="dxa"/>
            <w:tcBorders>
              <w:tl2br w:val="nil"/>
              <w:tr2bl w:val="nil"/>
            </w:tcBorders>
            <w:noWrap/>
            <w:vAlign w:val="center"/>
          </w:tcPr>
          <w:p>
            <w:pPr>
              <w:spacing w:line="240" w:lineRule="auto"/>
              <w:textAlignment w:val="baseline"/>
              <w:rPr>
                <w:color w:val="auto"/>
                <w:szCs w:val="21"/>
                <w:highlight w:val="none"/>
              </w:rPr>
            </w:pPr>
            <w:r>
              <w:rPr>
                <w:color w:val="auto"/>
                <w:szCs w:val="21"/>
                <w:highlight w:val="none"/>
              </w:rPr>
              <w:t>/</w:t>
            </w:r>
          </w:p>
        </w:tc>
      </w:tr>
    </w:tbl>
    <w:p>
      <w:pPr>
        <w:spacing w:line="360" w:lineRule="auto"/>
        <w:rPr>
          <w:b/>
          <w:bCs/>
          <w:color w:val="auto"/>
          <w:sz w:val="24"/>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pStyle w:val="2"/>
        <w:tabs>
          <w:tab w:val="left" w:pos="4140"/>
        </w:tabs>
        <w:spacing w:before="0" w:after="0" w:line="360" w:lineRule="auto"/>
        <w:rPr>
          <w:color w:val="auto"/>
          <w:sz w:val="32"/>
          <w:highlight w:val="none"/>
        </w:rPr>
      </w:pPr>
      <w:bookmarkStart w:id="740" w:name="_Toc18953"/>
      <w:r>
        <w:rPr>
          <w:color w:val="auto"/>
          <w:sz w:val="32"/>
          <w:highlight w:val="none"/>
        </w:rPr>
        <w:t>8、</w:t>
      </w:r>
      <w:r>
        <w:rPr>
          <w:rFonts w:hint="eastAsia"/>
          <w:color w:val="auto"/>
          <w:sz w:val="32"/>
          <w:highlight w:val="none"/>
        </w:rPr>
        <w:t>选址合理性及</w:t>
      </w:r>
      <w:r>
        <w:rPr>
          <w:color w:val="auto"/>
          <w:sz w:val="32"/>
          <w:highlight w:val="none"/>
        </w:rPr>
        <w:t>相关政策符合性</w:t>
      </w:r>
      <w:bookmarkEnd w:id="740"/>
    </w:p>
    <w:p>
      <w:pPr>
        <w:pStyle w:val="3"/>
        <w:spacing w:before="0" w:after="0" w:line="360" w:lineRule="auto"/>
        <w:ind w:left="0"/>
        <w:rPr>
          <w:rFonts w:ascii="Times New Roman" w:hAnsi="Times New Roman" w:eastAsia="宋体"/>
          <w:bCs w:val="0"/>
          <w:color w:val="auto"/>
          <w:sz w:val="24"/>
          <w:szCs w:val="24"/>
          <w:highlight w:val="none"/>
        </w:rPr>
      </w:pPr>
      <w:bookmarkStart w:id="741" w:name="_Toc29469"/>
      <w:bookmarkStart w:id="742" w:name="_Toc75908583"/>
      <w:r>
        <w:rPr>
          <w:rFonts w:hint="eastAsia" w:ascii="Times New Roman" w:hAnsi="Times New Roman" w:eastAsia="宋体"/>
          <w:bCs w:val="0"/>
          <w:color w:val="auto"/>
          <w:sz w:val="24"/>
          <w:szCs w:val="24"/>
          <w:highlight w:val="none"/>
        </w:rPr>
        <w:t>8.1选址合理性</w:t>
      </w:r>
      <w:bookmarkEnd w:id="741"/>
    </w:p>
    <w:p>
      <w:pPr>
        <w:tabs>
          <w:tab w:val="left" w:pos="1625"/>
        </w:tabs>
        <w:spacing w:line="360" w:lineRule="auto"/>
        <w:ind w:firstLine="482" w:firstLineChars="200"/>
        <w:rPr>
          <w:b/>
          <w:color w:val="auto"/>
          <w:sz w:val="24"/>
          <w:highlight w:val="none"/>
        </w:rPr>
      </w:pPr>
      <w:r>
        <w:rPr>
          <w:b/>
          <w:color w:val="auto"/>
          <w:sz w:val="24"/>
          <w:highlight w:val="none"/>
        </w:rPr>
        <w:t>（1）建设地点</w:t>
      </w:r>
    </w:p>
    <w:p>
      <w:pPr>
        <w:tabs>
          <w:tab w:val="left" w:pos="1625"/>
        </w:tabs>
        <w:adjustRightInd w:val="0"/>
        <w:snapToGrid w:val="0"/>
        <w:spacing w:line="360" w:lineRule="auto"/>
        <w:ind w:firstLine="480" w:firstLineChars="200"/>
        <w:rPr>
          <w:rFonts w:hint="eastAsia"/>
          <w:color w:val="auto"/>
          <w:sz w:val="24"/>
          <w:highlight w:val="none"/>
          <w:lang w:val="en-US" w:eastAsia="zh-CN"/>
        </w:rPr>
      </w:pPr>
      <w:r>
        <w:rPr>
          <w:color w:val="auto"/>
          <w:sz w:val="24"/>
          <w:highlight w:val="none"/>
        </w:rPr>
        <w:t>项目位于</w:t>
      </w:r>
      <w:r>
        <w:rPr>
          <w:rFonts w:hint="eastAsia"/>
          <w:color w:val="auto"/>
          <w:sz w:val="24"/>
          <w:highlight w:val="none"/>
          <w:lang w:val="en-US" w:eastAsia="zh-CN"/>
        </w:rPr>
        <w:t>寻甸县仁德街道建设社区三月三村原三月三铸造厂</w:t>
      </w:r>
      <w:r>
        <w:rPr>
          <w:color w:val="auto"/>
          <w:sz w:val="24"/>
          <w:highlight w:val="none"/>
        </w:rPr>
        <w:t>，</w:t>
      </w:r>
      <w:r>
        <w:rPr>
          <w:rFonts w:hint="eastAsia"/>
          <w:color w:val="auto"/>
          <w:sz w:val="24"/>
          <w:highlight w:val="none"/>
          <w:lang w:val="en-US" w:eastAsia="zh-CN"/>
        </w:rPr>
        <w:t>项目不占用基本农田和耕地，项目用地属于工业用地，周边交通等公用基础设施完善，水、电供应有保障，为项目建设提供良好的条件。</w:t>
      </w:r>
    </w:p>
    <w:p>
      <w:pPr>
        <w:tabs>
          <w:tab w:val="left" w:pos="1625"/>
        </w:tabs>
        <w:spacing w:line="360" w:lineRule="auto"/>
        <w:ind w:firstLine="482" w:firstLineChars="200"/>
        <w:rPr>
          <w:b/>
          <w:color w:val="auto"/>
          <w:sz w:val="24"/>
          <w:highlight w:val="none"/>
        </w:rPr>
      </w:pPr>
      <w:r>
        <w:rPr>
          <w:b/>
          <w:color w:val="auto"/>
          <w:sz w:val="24"/>
          <w:highlight w:val="none"/>
        </w:rPr>
        <w:t>（2）项目选址与环境功能区划的一致性</w:t>
      </w:r>
    </w:p>
    <w:p>
      <w:pPr>
        <w:tabs>
          <w:tab w:val="left" w:pos="1625"/>
        </w:tabs>
        <w:spacing w:line="360" w:lineRule="auto"/>
        <w:ind w:firstLine="480" w:firstLineChars="200"/>
        <w:rPr>
          <w:color w:val="auto"/>
          <w:sz w:val="24"/>
          <w:highlight w:val="none"/>
        </w:rPr>
      </w:pPr>
      <w:r>
        <w:rPr>
          <w:rFonts w:hint="eastAsia"/>
          <w:color w:val="auto"/>
          <w:sz w:val="24"/>
          <w:highlight w:val="none"/>
        </w:rPr>
        <w:t>1）环境质量现状</w:t>
      </w:r>
    </w:p>
    <w:p>
      <w:pPr>
        <w:tabs>
          <w:tab w:val="left" w:pos="1625"/>
        </w:tabs>
        <w:spacing w:line="360" w:lineRule="auto"/>
        <w:ind w:firstLine="480" w:firstLineChars="200"/>
        <w:rPr>
          <w:color w:val="auto"/>
          <w:sz w:val="24"/>
          <w:highlight w:val="none"/>
        </w:rPr>
      </w:pPr>
      <w:r>
        <w:rPr>
          <w:rFonts w:hint="eastAsia"/>
          <w:color w:val="auto"/>
          <w:sz w:val="24"/>
          <w:highlight w:val="none"/>
        </w:rPr>
        <w:t>根据本项目4.2环境现状调查与评价，项目所在区域</w:t>
      </w:r>
      <w:r>
        <w:rPr>
          <w:color w:val="auto"/>
          <w:sz w:val="24"/>
          <w:highlight w:val="none"/>
        </w:rPr>
        <w:t>环境空气质量达到《环境空气质量标准》（GB3095-2012）二级标准，为环境空气质量达标区</w:t>
      </w:r>
      <w:r>
        <w:rPr>
          <w:rFonts w:hint="eastAsia"/>
          <w:color w:val="auto"/>
          <w:sz w:val="24"/>
          <w:highlight w:val="none"/>
        </w:rPr>
        <w:t>；</w:t>
      </w:r>
      <w:r>
        <w:rPr>
          <w:color w:val="auto"/>
          <w:sz w:val="24"/>
          <w:highlight w:val="none"/>
        </w:rPr>
        <w:t>项目周围最近的地表水体</w:t>
      </w:r>
      <w:r>
        <w:rPr>
          <w:rFonts w:hint="eastAsia"/>
          <w:color w:val="auto"/>
          <w:sz w:val="24"/>
          <w:highlight w:val="none"/>
          <w:lang w:val="en-US" w:eastAsia="zh-CN"/>
        </w:rPr>
        <w:t>前进河和三月三水库未</w:t>
      </w:r>
      <w:r>
        <w:rPr>
          <w:color w:val="auto"/>
          <w:sz w:val="24"/>
          <w:highlight w:val="none"/>
        </w:rPr>
        <w:t>达到《地表水环境质量标准》(GB3838-2002) Ⅲ类水质量标准</w:t>
      </w:r>
      <w:r>
        <w:rPr>
          <w:rFonts w:hint="eastAsia"/>
          <w:color w:val="auto"/>
          <w:sz w:val="24"/>
          <w:highlight w:val="none"/>
          <w:lang w:eastAsia="zh-CN"/>
        </w:rPr>
        <w:t>，</w:t>
      </w:r>
      <w:r>
        <w:rPr>
          <w:rFonts w:hint="default" w:ascii="Times New Roman" w:hAnsi="Times New Roman" w:cs="Times New Roman"/>
          <w:color w:val="auto"/>
          <w:sz w:val="24"/>
          <w:highlight w:val="none"/>
        </w:rPr>
        <w:t>超标原因主要是由于河道沿岸仍有生活污水汇入河道，生活面源污染导致</w:t>
      </w:r>
      <w:r>
        <w:rPr>
          <w:rFonts w:hint="eastAsia"/>
          <w:color w:val="auto"/>
          <w:sz w:val="24"/>
          <w:szCs w:val="22"/>
          <w:highlight w:val="none"/>
        </w:rPr>
        <w:t>；</w:t>
      </w:r>
      <w:r>
        <w:rPr>
          <w:color w:val="auto"/>
          <w:sz w:val="24"/>
          <w:highlight w:val="none"/>
        </w:rPr>
        <w:t>声环境达到《声环境质量标准》（GB3096-2008）</w:t>
      </w:r>
      <w:r>
        <w:rPr>
          <w:rFonts w:hint="eastAsia"/>
          <w:color w:val="auto"/>
          <w:sz w:val="24"/>
          <w:highlight w:val="none"/>
          <w:lang w:val="en-US" w:eastAsia="zh-CN"/>
        </w:rPr>
        <w:t>2</w:t>
      </w:r>
      <w:r>
        <w:rPr>
          <w:color w:val="auto"/>
          <w:sz w:val="24"/>
          <w:highlight w:val="none"/>
        </w:rPr>
        <w:t>类</w:t>
      </w:r>
      <w:r>
        <w:rPr>
          <w:rFonts w:hint="eastAsia"/>
          <w:color w:val="auto"/>
          <w:sz w:val="24"/>
          <w:highlight w:val="none"/>
          <w:lang w:val="en-US" w:eastAsia="zh-CN"/>
        </w:rPr>
        <w:t>和4a类</w:t>
      </w:r>
      <w:r>
        <w:rPr>
          <w:color w:val="auto"/>
          <w:sz w:val="24"/>
          <w:highlight w:val="none"/>
        </w:rPr>
        <w:t>标准限值要求；土壤环境符合《土壤环境质量 建设用地土壤污染风险管控标准（试行）》（GB36600-2018）中的第二类用地土壤污染风险筛选值标准。</w:t>
      </w:r>
    </w:p>
    <w:p>
      <w:pPr>
        <w:tabs>
          <w:tab w:val="left" w:pos="1625"/>
        </w:tabs>
        <w:spacing w:line="360" w:lineRule="auto"/>
        <w:ind w:firstLine="480" w:firstLineChars="200"/>
        <w:rPr>
          <w:color w:val="auto"/>
          <w:sz w:val="24"/>
          <w:highlight w:val="none"/>
        </w:rPr>
      </w:pPr>
      <w:r>
        <w:rPr>
          <w:rFonts w:hint="eastAsia"/>
          <w:color w:val="auto"/>
          <w:sz w:val="24"/>
          <w:highlight w:val="none"/>
        </w:rPr>
        <w:t>2）环境影响分析</w:t>
      </w:r>
    </w:p>
    <w:p>
      <w:pPr>
        <w:spacing w:line="360" w:lineRule="auto"/>
        <w:ind w:firstLine="480" w:firstLineChars="200"/>
        <w:rPr>
          <w:color w:val="auto"/>
          <w:sz w:val="24"/>
          <w:highlight w:val="none"/>
        </w:rPr>
      </w:pPr>
      <w:r>
        <w:rPr>
          <w:rFonts w:hint="eastAsia"/>
          <w:color w:val="auto"/>
          <w:sz w:val="24"/>
          <w:highlight w:val="none"/>
        </w:rPr>
        <w:t>根据项目环境影响预测分析，</w:t>
      </w:r>
      <w:r>
        <w:rPr>
          <w:color w:val="auto"/>
          <w:sz w:val="24"/>
          <w:highlight w:val="none"/>
        </w:rPr>
        <w:t>结果表明正常生产情况下，在对废气、废水、固废和噪声排放采取切实有效地污染防治措施后，项目排气筒排放的有机废气（非甲烷总烃）</w:t>
      </w:r>
      <w:r>
        <w:rPr>
          <w:rFonts w:hint="eastAsia"/>
          <w:color w:val="auto"/>
          <w:sz w:val="24"/>
          <w:highlight w:val="none"/>
          <w:lang w:val="en-US" w:eastAsia="zh-CN"/>
        </w:rPr>
        <w:t>排放浓度为35.156m</w:t>
      </w:r>
      <w:r>
        <w:rPr>
          <w:color w:val="auto"/>
          <w:sz w:val="24"/>
          <w:highlight w:val="none"/>
        </w:rPr>
        <w:t>g/m</w:t>
      </w:r>
      <w:r>
        <w:rPr>
          <w:color w:val="auto"/>
          <w:sz w:val="24"/>
          <w:highlight w:val="none"/>
          <w:vertAlign w:val="superscript"/>
        </w:rPr>
        <w:t>3</w:t>
      </w:r>
      <w:r>
        <w:rPr>
          <w:color w:val="auto"/>
          <w:sz w:val="24"/>
          <w:highlight w:val="none"/>
        </w:rPr>
        <w:t>，非甲烷总烃</w:t>
      </w:r>
      <w:r>
        <w:rPr>
          <w:rFonts w:hint="eastAsia"/>
          <w:color w:val="auto"/>
          <w:sz w:val="24"/>
          <w:highlight w:val="none"/>
          <w:lang w:val="en-US" w:eastAsia="zh-CN"/>
        </w:rPr>
        <w:t>达到</w:t>
      </w:r>
      <w:r>
        <w:rPr>
          <w:color w:val="auto"/>
          <w:sz w:val="24"/>
          <w:highlight w:val="none"/>
        </w:rPr>
        <w:t>《</w:t>
      </w:r>
      <w:r>
        <w:rPr>
          <w:rFonts w:hint="eastAsia"/>
          <w:color w:val="auto"/>
          <w:sz w:val="24"/>
          <w:highlight w:val="none"/>
          <w:lang w:val="en-US" w:eastAsia="zh-CN"/>
        </w:rPr>
        <w:t>合成树脂工业污染物排放标准</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GB31572-2015</w:t>
      </w:r>
      <w:r>
        <w:rPr>
          <w:rFonts w:hint="eastAsia"/>
          <w:color w:val="auto"/>
          <w:sz w:val="24"/>
          <w:highlight w:val="none"/>
          <w:lang w:eastAsia="zh-CN"/>
        </w:rPr>
        <w:t>）</w:t>
      </w:r>
      <w:r>
        <w:rPr>
          <w:rFonts w:hint="eastAsia"/>
          <w:color w:val="auto"/>
          <w:sz w:val="24"/>
          <w:highlight w:val="none"/>
          <w:lang w:val="en-US" w:eastAsia="zh-CN"/>
        </w:rPr>
        <w:t>中限值要求（非甲烷总烃排放浓度≤100m</w:t>
      </w:r>
      <w:r>
        <w:rPr>
          <w:color w:val="auto"/>
          <w:sz w:val="24"/>
          <w:highlight w:val="none"/>
        </w:rPr>
        <w:t>g/m</w:t>
      </w:r>
      <w:r>
        <w:rPr>
          <w:color w:val="auto"/>
          <w:sz w:val="24"/>
          <w:highlight w:val="none"/>
          <w:vertAlign w:val="superscript"/>
        </w:rPr>
        <w:t>3</w:t>
      </w:r>
      <w:r>
        <w:rPr>
          <w:rFonts w:hint="eastAsia"/>
          <w:color w:val="auto"/>
          <w:sz w:val="24"/>
          <w:highlight w:val="none"/>
          <w:lang w:val="en-US" w:eastAsia="zh-CN"/>
        </w:rPr>
        <w:t>）</w:t>
      </w:r>
      <w:r>
        <w:rPr>
          <w:color w:val="auto"/>
          <w:sz w:val="24"/>
          <w:highlight w:val="none"/>
        </w:rPr>
        <w:t>。</w:t>
      </w:r>
    </w:p>
    <w:p>
      <w:pPr>
        <w:tabs>
          <w:tab w:val="left" w:pos="1625"/>
        </w:tabs>
        <w:spacing w:line="360" w:lineRule="auto"/>
        <w:ind w:firstLine="480" w:firstLineChars="200"/>
        <w:rPr>
          <w:color w:val="auto"/>
          <w:sz w:val="24"/>
          <w:highlight w:val="none"/>
        </w:rPr>
      </w:pPr>
      <w:r>
        <w:rPr>
          <w:color w:val="auto"/>
          <w:sz w:val="24"/>
          <w:highlight w:val="none"/>
        </w:rPr>
        <w:t>厂房面源排放的有机废气（非甲烷总烃）</w:t>
      </w:r>
      <w:r>
        <w:rPr>
          <w:rFonts w:hint="eastAsia"/>
          <w:color w:val="auto"/>
          <w:sz w:val="24"/>
          <w:highlight w:val="none"/>
        </w:rPr>
        <w:t>、颗粒物</w:t>
      </w:r>
      <w:r>
        <w:rPr>
          <w:color w:val="auto"/>
          <w:sz w:val="24"/>
          <w:highlight w:val="none"/>
        </w:rPr>
        <w:t>最大落地浓度分别为</w:t>
      </w:r>
      <w:r>
        <w:rPr>
          <w:rFonts w:hint="eastAsia"/>
          <w:color w:val="auto"/>
          <w:sz w:val="24"/>
          <w:highlight w:val="none"/>
          <w:lang w:val="en-US" w:eastAsia="zh-CN"/>
        </w:rPr>
        <w:t>110.6956</w:t>
      </w:r>
      <w:r>
        <w:rPr>
          <w:color w:val="auto"/>
          <w:sz w:val="24"/>
          <w:highlight w:val="none"/>
        </w:rPr>
        <w:t>ug/m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21.6510</w:t>
      </w:r>
      <w:r>
        <w:rPr>
          <w:color w:val="auto"/>
          <w:sz w:val="24"/>
          <w:highlight w:val="none"/>
        </w:rPr>
        <w:t>ug/m</w:t>
      </w:r>
      <w:r>
        <w:rPr>
          <w:color w:val="auto"/>
          <w:sz w:val="24"/>
          <w:highlight w:val="none"/>
          <w:vertAlign w:val="superscript"/>
        </w:rPr>
        <w:t>3</w:t>
      </w:r>
      <w:r>
        <w:rPr>
          <w:color w:val="auto"/>
          <w:sz w:val="24"/>
          <w:highlight w:val="none"/>
        </w:rPr>
        <w:t>，最大浓度占标率分别为</w:t>
      </w:r>
      <w:r>
        <w:rPr>
          <w:rFonts w:hint="eastAsia"/>
          <w:color w:val="auto"/>
          <w:sz w:val="24"/>
          <w:highlight w:val="none"/>
          <w:lang w:val="en-US" w:eastAsia="zh-CN"/>
        </w:rPr>
        <w:t>5.53</w:t>
      </w:r>
      <w:r>
        <w:rPr>
          <w:color w:val="auto"/>
          <w:sz w:val="24"/>
          <w:highlight w:val="none"/>
        </w:rPr>
        <w:t>%，</w:t>
      </w:r>
      <w:r>
        <w:rPr>
          <w:rFonts w:hint="eastAsia"/>
          <w:color w:val="auto"/>
          <w:sz w:val="24"/>
          <w:highlight w:val="none"/>
          <w:lang w:val="en-US" w:eastAsia="zh-CN"/>
        </w:rPr>
        <w:t>2.41</w:t>
      </w:r>
      <w:r>
        <w:rPr>
          <w:color w:val="auto"/>
          <w:sz w:val="24"/>
          <w:highlight w:val="none"/>
        </w:rPr>
        <w:t>%，位于下风向</w:t>
      </w:r>
      <w:r>
        <w:rPr>
          <w:rFonts w:hint="eastAsia"/>
          <w:color w:val="auto"/>
          <w:sz w:val="24"/>
          <w:highlight w:val="none"/>
          <w:lang w:val="en-US" w:eastAsia="zh-CN"/>
        </w:rPr>
        <w:t>18</w:t>
      </w:r>
      <w:r>
        <w:rPr>
          <w:color w:val="auto"/>
          <w:sz w:val="24"/>
          <w:highlight w:val="none"/>
        </w:rPr>
        <w:t>m处</w:t>
      </w:r>
      <w:r>
        <w:rPr>
          <w:rFonts w:hint="eastAsia"/>
          <w:color w:val="auto"/>
          <w:sz w:val="24"/>
          <w:highlight w:val="none"/>
        </w:rPr>
        <w:t>。</w:t>
      </w:r>
      <w:r>
        <w:rPr>
          <w:color w:val="auto"/>
          <w:sz w:val="24"/>
          <w:highlight w:val="none"/>
        </w:rPr>
        <w:t>项目厂界非甲烷总烃、颗粒物能满足《合成树脂工业污染物排放标准》（GB31572-2015）表9规定的企业边界大气污染物浓度限值，对周围环境影响较小</w:t>
      </w:r>
      <w:r>
        <w:rPr>
          <w:rFonts w:hint="eastAsia"/>
          <w:color w:val="auto"/>
          <w:sz w:val="24"/>
          <w:highlight w:val="none"/>
        </w:rPr>
        <w:t>。</w:t>
      </w:r>
    </w:p>
    <w:p>
      <w:pPr>
        <w:tabs>
          <w:tab w:val="left" w:pos="1625"/>
        </w:tabs>
        <w:spacing w:line="360" w:lineRule="auto"/>
        <w:ind w:firstLine="480" w:firstLineChars="200"/>
        <w:rPr>
          <w:color w:val="auto"/>
          <w:sz w:val="24"/>
          <w:highlight w:val="none"/>
        </w:rPr>
      </w:pPr>
      <w:r>
        <w:rPr>
          <w:color w:val="auto"/>
          <w:sz w:val="24"/>
          <w:highlight w:val="none"/>
        </w:rPr>
        <w:t>项目无生产废水及生活污水外排，不会对周围地表水产生不利影响。</w:t>
      </w:r>
    </w:p>
    <w:p>
      <w:pPr>
        <w:tabs>
          <w:tab w:val="left" w:pos="1625"/>
        </w:tabs>
        <w:spacing w:line="360" w:lineRule="auto"/>
        <w:ind w:firstLine="480" w:firstLineChars="200"/>
        <w:rPr>
          <w:color w:val="auto"/>
          <w:sz w:val="24"/>
          <w:highlight w:val="none"/>
        </w:rPr>
      </w:pPr>
      <w:r>
        <w:rPr>
          <w:color w:val="auto"/>
          <w:sz w:val="24"/>
          <w:highlight w:val="none"/>
        </w:rPr>
        <w:t>项目</w:t>
      </w:r>
      <w:r>
        <w:rPr>
          <w:rFonts w:hint="eastAsia"/>
          <w:color w:val="auto"/>
          <w:sz w:val="24"/>
          <w:highlight w:val="none"/>
        </w:rPr>
        <w:t>对运营期噪声采取措施后，</w:t>
      </w:r>
      <w:r>
        <w:rPr>
          <w:color w:val="auto"/>
          <w:sz w:val="24"/>
          <w:highlight w:val="none"/>
        </w:rPr>
        <w:t>厂界噪声可达标排放</w:t>
      </w:r>
      <w:r>
        <w:rPr>
          <w:rFonts w:hint="eastAsia"/>
          <w:color w:val="auto"/>
          <w:sz w:val="24"/>
          <w:highlight w:val="none"/>
        </w:rPr>
        <w:t>。</w:t>
      </w:r>
    </w:p>
    <w:p>
      <w:pPr>
        <w:tabs>
          <w:tab w:val="left" w:pos="1625"/>
        </w:tabs>
        <w:spacing w:line="360" w:lineRule="auto"/>
        <w:ind w:firstLine="480" w:firstLineChars="200"/>
        <w:rPr>
          <w:color w:val="auto"/>
          <w:sz w:val="24"/>
          <w:highlight w:val="none"/>
        </w:rPr>
      </w:pPr>
      <w:r>
        <w:rPr>
          <w:color w:val="auto"/>
          <w:sz w:val="24"/>
          <w:highlight w:val="none"/>
        </w:rPr>
        <w:t>固体废物均得到综合利用或妥善处理处置；对</w:t>
      </w:r>
      <w:r>
        <w:rPr>
          <w:rFonts w:hint="eastAsia"/>
          <w:color w:val="auto"/>
          <w:sz w:val="24"/>
          <w:highlight w:val="none"/>
        </w:rPr>
        <w:t>危废暂存间</w:t>
      </w:r>
      <w:r>
        <w:rPr>
          <w:color w:val="auto"/>
          <w:sz w:val="24"/>
          <w:highlight w:val="none"/>
        </w:rPr>
        <w:t>、生产车间、</w:t>
      </w:r>
      <w:r>
        <w:rPr>
          <w:rFonts w:hint="eastAsia"/>
          <w:color w:val="auto"/>
          <w:sz w:val="24"/>
          <w:highlight w:val="none"/>
          <w:lang w:val="en-US" w:eastAsia="zh-CN"/>
        </w:rPr>
        <w:t>冷却水池</w:t>
      </w:r>
      <w:r>
        <w:rPr>
          <w:color w:val="auto"/>
          <w:sz w:val="24"/>
          <w:highlight w:val="none"/>
        </w:rPr>
        <w:t>等采取防渗等措施，避免对地下水和土壤产生不利影响。</w:t>
      </w:r>
    </w:p>
    <w:p>
      <w:pPr>
        <w:tabs>
          <w:tab w:val="left" w:pos="1625"/>
        </w:tabs>
        <w:spacing w:line="360" w:lineRule="auto"/>
        <w:ind w:firstLine="480" w:firstLineChars="200"/>
        <w:rPr>
          <w:color w:val="auto"/>
          <w:sz w:val="24"/>
          <w:highlight w:val="none"/>
        </w:rPr>
      </w:pPr>
      <w:r>
        <w:rPr>
          <w:color w:val="auto"/>
          <w:sz w:val="24"/>
          <w:highlight w:val="none"/>
        </w:rPr>
        <w:t>根据上述分析，项目选址符合环境功能区划要求。</w:t>
      </w:r>
    </w:p>
    <w:p>
      <w:pPr>
        <w:pStyle w:val="23"/>
        <w:spacing w:after="0" w:line="360" w:lineRule="auto"/>
        <w:ind w:left="0" w:leftChars="0" w:firstLine="482" w:firstLineChars="200"/>
        <w:rPr>
          <w:b/>
          <w:color w:val="auto"/>
          <w:sz w:val="24"/>
          <w:highlight w:val="none"/>
        </w:rPr>
      </w:pPr>
      <w:r>
        <w:rPr>
          <w:b/>
          <w:color w:val="auto"/>
          <w:sz w:val="24"/>
          <w:highlight w:val="none"/>
        </w:rPr>
        <w:t>（3）与周边环境保护目标及企业相容性分析</w:t>
      </w:r>
    </w:p>
    <w:p>
      <w:pPr>
        <w:pStyle w:val="23"/>
        <w:spacing w:after="0" w:line="360" w:lineRule="auto"/>
        <w:ind w:left="0" w:leftChars="0" w:firstLine="480" w:firstLineChars="200"/>
        <w:rPr>
          <w:color w:val="auto"/>
          <w:sz w:val="24"/>
          <w:highlight w:val="none"/>
        </w:rPr>
      </w:pPr>
      <w:r>
        <w:rPr>
          <w:rFonts w:hint="eastAsia"/>
          <w:color w:val="auto"/>
          <w:sz w:val="24"/>
          <w:highlight w:val="none"/>
        </w:rPr>
        <w:t>1）</w:t>
      </w:r>
      <w:r>
        <w:rPr>
          <w:color w:val="auto"/>
          <w:sz w:val="24"/>
          <w:highlight w:val="none"/>
        </w:rPr>
        <w:t>与周边企业相容性分析</w:t>
      </w:r>
    </w:p>
    <w:p>
      <w:pPr>
        <w:pStyle w:val="23"/>
        <w:spacing w:after="0" w:line="360" w:lineRule="auto"/>
        <w:ind w:left="0" w:leftChars="0" w:firstLine="480" w:firstLineChars="200"/>
        <w:rPr>
          <w:color w:val="auto"/>
          <w:sz w:val="24"/>
          <w:szCs w:val="22"/>
          <w:highlight w:val="none"/>
        </w:rPr>
      </w:pPr>
      <w:r>
        <w:rPr>
          <w:color w:val="auto"/>
          <w:sz w:val="24"/>
          <w:highlight w:val="none"/>
        </w:rPr>
        <w:t>项目周边企业及污染物排放情况见“章节</w:t>
      </w:r>
      <w:r>
        <w:rPr>
          <w:rFonts w:hint="eastAsia"/>
          <w:color w:val="auto"/>
          <w:sz w:val="24"/>
          <w:highlight w:val="none"/>
          <w:lang w:val="en-US" w:eastAsia="zh-CN"/>
        </w:rPr>
        <w:t>4</w:t>
      </w:r>
      <w:r>
        <w:rPr>
          <w:color w:val="auto"/>
          <w:sz w:val="24"/>
          <w:highlight w:val="none"/>
        </w:rPr>
        <w:t>.3”，</w:t>
      </w:r>
      <w:r>
        <w:rPr>
          <w:rFonts w:hint="eastAsia"/>
          <w:color w:val="auto"/>
          <w:sz w:val="24"/>
          <w:highlight w:val="none"/>
          <w:lang w:val="en-US" w:eastAsia="zh-CN"/>
        </w:rPr>
        <w:t>本项目周围不存在食品加工企业。</w:t>
      </w:r>
      <w:r>
        <w:rPr>
          <w:color w:val="auto"/>
          <w:sz w:val="24"/>
          <w:highlight w:val="none"/>
        </w:rPr>
        <w:t>本项目生产过程中排放的各类废气污染物在采取环评提出的治理措施后均能达标排放，不改变区域空气环境功能。项目运营期间产生的</w:t>
      </w:r>
      <w:r>
        <w:rPr>
          <w:rFonts w:hint="eastAsia"/>
          <w:color w:val="auto"/>
          <w:sz w:val="24"/>
          <w:highlight w:val="none"/>
          <w:lang w:val="en-US" w:eastAsia="zh-CN"/>
        </w:rPr>
        <w:t>生产废水及</w:t>
      </w:r>
      <w:r>
        <w:rPr>
          <w:color w:val="auto"/>
          <w:sz w:val="24"/>
          <w:highlight w:val="none"/>
        </w:rPr>
        <w:t>生活废水</w:t>
      </w:r>
      <w:r>
        <w:rPr>
          <w:rFonts w:hint="eastAsia"/>
          <w:color w:val="auto"/>
          <w:sz w:val="24"/>
          <w:highlight w:val="none"/>
          <w:lang w:val="en-US" w:eastAsia="zh-CN"/>
        </w:rPr>
        <w:t>均</w:t>
      </w:r>
      <w:r>
        <w:rPr>
          <w:color w:val="auto"/>
          <w:sz w:val="24"/>
          <w:highlight w:val="none"/>
        </w:rPr>
        <w:t>采取处理措施，不外排，减少了污染物的排放量，对地表水环境影响较小；项目的噪声在采取隔声，减振等措施的情况下厂界噪声可以达标；项目的固体废弃物可以实现综合利用和妥善处置，处置率达到100%；综合项目主要污染物排放对环境影响分析预测评价结果认为：</w:t>
      </w:r>
    </w:p>
    <w:p>
      <w:pPr>
        <w:spacing w:line="360" w:lineRule="auto"/>
        <w:ind w:firstLine="480" w:firstLineChars="200"/>
        <w:rPr>
          <w:color w:val="auto"/>
          <w:sz w:val="24"/>
          <w:highlight w:val="none"/>
        </w:rPr>
      </w:pPr>
      <w:r>
        <w:rPr>
          <w:color w:val="auto"/>
          <w:sz w:val="24"/>
          <w:highlight w:val="none"/>
        </w:rPr>
        <w:t>①项目所在区域大气环境为二类功能区，声环境为</w:t>
      </w:r>
      <w:r>
        <w:rPr>
          <w:rFonts w:hint="eastAsia"/>
          <w:color w:val="auto"/>
          <w:sz w:val="24"/>
          <w:highlight w:val="none"/>
          <w:lang w:val="en-US" w:eastAsia="zh-CN"/>
        </w:rPr>
        <w:t>2</w:t>
      </w:r>
      <w:r>
        <w:rPr>
          <w:color w:val="auto"/>
          <w:sz w:val="24"/>
          <w:highlight w:val="none"/>
        </w:rPr>
        <w:t>类</w:t>
      </w:r>
      <w:r>
        <w:rPr>
          <w:rFonts w:hint="eastAsia"/>
          <w:color w:val="auto"/>
          <w:sz w:val="24"/>
          <w:highlight w:val="none"/>
          <w:lang w:val="en-US" w:eastAsia="zh-CN"/>
        </w:rPr>
        <w:t>和4a类</w:t>
      </w:r>
      <w:r>
        <w:rPr>
          <w:color w:val="auto"/>
          <w:sz w:val="24"/>
          <w:highlight w:val="none"/>
        </w:rPr>
        <w:t>功能区，项目周边多为已经建好的工业企业，项目在运营</w:t>
      </w:r>
      <w:r>
        <w:rPr>
          <w:rFonts w:hint="eastAsia"/>
          <w:color w:val="auto"/>
          <w:sz w:val="24"/>
          <w:highlight w:val="none"/>
          <w:lang w:eastAsia="zh-CN"/>
        </w:rPr>
        <w:t>期间</w:t>
      </w:r>
      <w:r>
        <w:rPr>
          <w:color w:val="auto"/>
          <w:sz w:val="24"/>
          <w:highlight w:val="none"/>
        </w:rPr>
        <w:t>通过针对各种污染物分别采取防治措施，项目建设后不会改变功能区现状，因此项目选址符合环境功能区划要求。</w:t>
      </w:r>
    </w:p>
    <w:p>
      <w:pPr>
        <w:spacing w:line="360" w:lineRule="auto"/>
        <w:ind w:firstLine="480" w:firstLineChars="200"/>
        <w:rPr>
          <w:color w:val="auto"/>
          <w:sz w:val="24"/>
          <w:highlight w:val="none"/>
        </w:rPr>
      </w:pPr>
      <w:r>
        <w:rPr>
          <w:color w:val="auto"/>
          <w:sz w:val="24"/>
          <w:highlight w:val="none"/>
        </w:rPr>
        <w:t>②根据环境预测可知，项目建成投产后，评价区环境空气、水环境、声环境基本维持现状，不会改变环境质量的等级，对周围环境影响小。</w:t>
      </w:r>
    </w:p>
    <w:p>
      <w:pPr>
        <w:spacing w:line="360" w:lineRule="auto"/>
        <w:ind w:firstLine="480" w:firstLineChars="200"/>
        <w:rPr>
          <w:color w:val="auto"/>
          <w:sz w:val="24"/>
          <w:highlight w:val="none"/>
        </w:rPr>
      </w:pPr>
      <w:r>
        <w:rPr>
          <w:color w:val="auto"/>
          <w:sz w:val="24"/>
          <w:highlight w:val="none"/>
        </w:rPr>
        <w:t>③项目区及周边200m范围内，植被类型比较简单。拟建项目区及周边200m范围内无国家级或省级重点保护的野生植物、地区特有物种、名木古树分布。项目不涉及饮用水保护区、自然保护区、风景名胜区、文物保护单位、世界文化和自然遗产地，也无需要特殊保护的环境目标。</w:t>
      </w:r>
    </w:p>
    <w:p>
      <w:pPr>
        <w:spacing w:line="360" w:lineRule="auto"/>
        <w:ind w:firstLine="480" w:firstLineChars="200"/>
        <w:rPr>
          <w:color w:val="auto"/>
          <w:sz w:val="24"/>
          <w:highlight w:val="none"/>
        </w:rPr>
      </w:pPr>
      <w:r>
        <w:rPr>
          <w:color w:val="auto"/>
          <w:sz w:val="24"/>
          <w:highlight w:val="none"/>
        </w:rPr>
        <w:t>综上所述，项目与周边企业相容。</w:t>
      </w:r>
    </w:p>
    <w:p>
      <w:pPr>
        <w:pStyle w:val="23"/>
        <w:spacing w:after="0" w:line="360" w:lineRule="auto"/>
        <w:ind w:left="0" w:leftChars="0" w:firstLine="480" w:firstLineChars="200"/>
        <w:rPr>
          <w:color w:val="auto"/>
          <w:sz w:val="24"/>
          <w:highlight w:val="none"/>
        </w:rPr>
      </w:pPr>
      <w:r>
        <w:rPr>
          <w:rFonts w:hint="eastAsia"/>
          <w:color w:val="auto"/>
          <w:sz w:val="24"/>
          <w:highlight w:val="none"/>
        </w:rPr>
        <w:t>2）</w:t>
      </w:r>
      <w:r>
        <w:rPr>
          <w:color w:val="auto"/>
          <w:sz w:val="24"/>
          <w:highlight w:val="none"/>
        </w:rPr>
        <w:t>与周边保护目标相容性分析</w:t>
      </w:r>
    </w:p>
    <w:p>
      <w:pPr>
        <w:spacing w:line="360" w:lineRule="auto"/>
        <w:ind w:firstLine="480" w:firstLineChars="200"/>
        <w:rPr>
          <w:color w:val="auto"/>
          <w:sz w:val="24"/>
          <w:highlight w:val="none"/>
        </w:rPr>
      </w:pPr>
      <w:r>
        <w:rPr>
          <w:color w:val="auto"/>
          <w:sz w:val="24"/>
          <w:highlight w:val="none"/>
        </w:rPr>
        <w:t>项目周围环境保护目标详见“章节</w:t>
      </w:r>
      <w:r>
        <w:rPr>
          <w:rFonts w:hint="eastAsia"/>
          <w:color w:val="auto"/>
          <w:sz w:val="24"/>
          <w:highlight w:val="none"/>
          <w:lang w:val="en-US" w:eastAsia="zh-CN"/>
        </w:rPr>
        <w:t>1</w:t>
      </w:r>
      <w:r>
        <w:rPr>
          <w:color w:val="auto"/>
          <w:sz w:val="24"/>
          <w:highlight w:val="none"/>
        </w:rPr>
        <w:t>.8”，根据项目预测分析，项目排气筒排放的有机废气（非甲烷总烃）满足</w:t>
      </w:r>
      <w:r>
        <w:rPr>
          <w:rFonts w:hint="eastAsia"/>
          <w:color w:val="auto"/>
          <w:sz w:val="24"/>
          <w:highlight w:val="none"/>
          <w:lang w:eastAsia="zh-CN"/>
        </w:rPr>
        <w:t>《</w:t>
      </w:r>
      <w:r>
        <w:rPr>
          <w:color w:val="auto"/>
          <w:sz w:val="24"/>
          <w:highlight w:val="none"/>
        </w:rPr>
        <w:t>合成树脂工业污染物排放标准》（GB31572-2015）</w:t>
      </w:r>
      <w:r>
        <w:rPr>
          <w:rFonts w:hint="eastAsia"/>
          <w:color w:val="auto"/>
          <w:sz w:val="24"/>
          <w:highlight w:val="none"/>
          <w:lang w:val="en-US" w:eastAsia="zh-CN"/>
        </w:rPr>
        <w:t>表4限值要求；</w:t>
      </w:r>
      <w:r>
        <w:rPr>
          <w:color w:val="auto"/>
          <w:sz w:val="24"/>
          <w:highlight w:val="none"/>
        </w:rPr>
        <w:t>厂房面源排放的有机废气（非甲烷总烃）</w:t>
      </w:r>
      <w:r>
        <w:rPr>
          <w:rFonts w:hint="eastAsia"/>
          <w:color w:val="auto"/>
          <w:sz w:val="24"/>
          <w:highlight w:val="none"/>
          <w:lang w:val="en-US" w:eastAsia="zh-CN"/>
        </w:rPr>
        <w:t>和</w:t>
      </w:r>
      <w:r>
        <w:rPr>
          <w:color w:val="auto"/>
          <w:sz w:val="24"/>
          <w:highlight w:val="none"/>
        </w:rPr>
        <w:t>TSP满足《合成树脂工业污染物排放标准》（GB31572-2015）表9规定的企业边界大气污染物浓度限值。项目厂界噪声可达标排放；废水不外排，距离项目最近的保护目标为项目</w:t>
      </w:r>
      <w:r>
        <w:rPr>
          <w:rFonts w:hint="eastAsia"/>
          <w:color w:val="auto"/>
          <w:sz w:val="24"/>
          <w:highlight w:val="none"/>
          <w:lang w:val="en-US" w:eastAsia="zh-CN"/>
        </w:rPr>
        <w:t>东侧约70m处的三月三散户和</w:t>
      </w:r>
      <w:r>
        <w:rPr>
          <w:rFonts w:hint="eastAsia"/>
          <w:color w:val="auto"/>
          <w:sz w:val="24"/>
          <w:highlight w:val="none"/>
        </w:rPr>
        <w:t>东</w:t>
      </w:r>
      <w:r>
        <w:rPr>
          <w:color w:val="auto"/>
          <w:sz w:val="24"/>
          <w:highlight w:val="none"/>
        </w:rPr>
        <w:t>侧约</w:t>
      </w:r>
      <w:r>
        <w:rPr>
          <w:rFonts w:hint="eastAsia"/>
          <w:color w:val="auto"/>
          <w:sz w:val="24"/>
          <w:highlight w:val="none"/>
          <w:lang w:val="en-US" w:eastAsia="zh-CN"/>
        </w:rPr>
        <w:t>165</w:t>
      </w:r>
      <w:r>
        <w:rPr>
          <w:color w:val="auto"/>
          <w:sz w:val="24"/>
          <w:highlight w:val="none"/>
        </w:rPr>
        <w:t>m处的</w:t>
      </w:r>
      <w:r>
        <w:rPr>
          <w:rFonts w:hint="eastAsia"/>
          <w:color w:val="auto"/>
          <w:sz w:val="24"/>
          <w:highlight w:val="none"/>
          <w:lang w:val="en-US" w:eastAsia="zh-CN"/>
        </w:rPr>
        <w:t>三月三</w:t>
      </w:r>
      <w:r>
        <w:rPr>
          <w:rFonts w:hint="eastAsia"/>
          <w:color w:val="auto"/>
          <w:sz w:val="24"/>
          <w:highlight w:val="none"/>
        </w:rPr>
        <w:t>村</w:t>
      </w:r>
      <w:r>
        <w:rPr>
          <w:color w:val="auto"/>
          <w:sz w:val="24"/>
          <w:highlight w:val="none"/>
        </w:rPr>
        <w:t>，</w:t>
      </w:r>
      <w:r>
        <w:rPr>
          <w:rFonts w:hint="eastAsia" w:ascii="Times New Roman" w:hAnsi="Times New Roman" w:eastAsia="宋体" w:cs="Times New Roman"/>
          <w:color w:val="auto"/>
          <w:sz w:val="24"/>
          <w:highlight w:val="none"/>
          <w:lang w:val="en-US" w:eastAsia="zh-CN"/>
        </w:rPr>
        <w:t>均</w:t>
      </w:r>
      <w:r>
        <w:rPr>
          <w:rFonts w:ascii="Times New Roman" w:hAnsi="Times New Roman" w:eastAsia="宋体" w:cs="Times New Roman"/>
          <w:color w:val="auto"/>
          <w:sz w:val="24"/>
          <w:highlight w:val="none"/>
        </w:rPr>
        <w:t>位</w:t>
      </w:r>
      <w:r>
        <w:rPr>
          <w:color w:val="auto"/>
          <w:sz w:val="24"/>
          <w:highlight w:val="none"/>
        </w:rPr>
        <w:t>于项目区</w:t>
      </w:r>
      <w:r>
        <w:rPr>
          <w:rFonts w:hint="eastAsia"/>
          <w:color w:val="auto"/>
          <w:sz w:val="24"/>
          <w:highlight w:val="none"/>
          <w:lang w:val="en-US" w:eastAsia="zh-CN"/>
        </w:rPr>
        <w:t>侧风向</w:t>
      </w:r>
      <w:r>
        <w:rPr>
          <w:color w:val="auto"/>
          <w:sz w:val="24"/>
          <w:highlight w:val="none"/>
        </w:rPr>
        <w:t>，在严格采取环评提出的污染防治措施后，项目产生的污染物对敏感目标影响较小。</w:t>
      </w:r>
    </w:p>
    <w:p>
      <w:pPr>
        <w:spacing w:line="360" w:lineRule="auto"/>
        <w:ind w:firstLine="480" w:firstLineChars="200"/>
        <w:rPr>
          <w:color w:val="auto"/>
          <w:sz w:val="24"/>
          <w:highlight w:val="none"/>
        </w:rPr>
      </w:pPr>
      <w:r>
        <w:rPr>
          <w:color w:val="auto"/>
          <w:sz w:val="24"/>
          <w:highlight w:val="none"/>
        </w:rPr>
        <w:t>综上所述，本项目符合国家产业政策要求，符合各项相关规划要求，符合各项相关管理要求，选址合理。</w:t>
      </w:r>
    </w:p>
    <w:p>
      <w:pPr>
        <w:pStyle w:val="3"/>
        <w:spacing w:before="0" w:after="0" w:line="360" w:lineRule="auto"/>
        <w:ind w:left="0"/>
        <w:rPr>
          <w:rFonts w:ascii="Times New Roman" w:hAnsi="Times New Roman" w:eastAsia="宋体"/>
          <w:color w:val="auto"/>
          <w:highlight w:val="none"/>
        </w:rPr>
      </w:pPr>
      <w:bookmarkStart w:id="743" w:name="_Toc7354"/>
      <w:r>
        <w:rPr>
          <w:rFonts w:hint="eastAsia" w:ascii="Times New Roman" w:hAnsi="Times New Roman" w:eastAsia="宋体"/>
          <w:color w:val="auto"/>
          <w:highlight w:val="none"/>
        </w:rPr>
        <w:t>8.2</w:t>
      </w:r>
      <w:r>
        <w:rPr>
          <w:rFonts w:hint="eastAsia" w:ascii="Times New Roman" w:hAnsi="Times New Roman" w:eastAsia="宋体"/>
          <w:bCs w:val="0"/>
          <w:color w:val="auto"/>
          <w:highlight w:val="none"/>
        </w:rPr>
        <w:t>相关政策符合性</w:t>
      </w:r>
      <w:bookmarkEnd w:id="743"/>
    </w:p>
    <w:p>
      <w:pPr>
        <w:pStyle w:val="23"/>
        <w:spacing w:after="0" w:line="360" w:lineRule="auto"/>
        <w:ind w:left="0" w:leftChars="0"/>
        <w:rPr>
          <w:b/>
          <w:bCs/>
          <w:color w:val="auto"/>
          <w:sz w:val="24"/>
          <w:szCs w:val="24"/>
          <w:highlight w:val="none"/>
        </w:rPr>
      </w:pPr>
      <w:r>
        <w:rPr>
          <w:b/>
          <w:bCs/>
          <w:color w:val="auto"/>
          <w:sz w:val="24"/>
          <w:szCs w:val="24"/>
          <w:highlight w:val="none"/>
        </w:rPr>
        <w:t>1、产业政策符合性分析</w:t>
      </w:r>
      <w:bookmarkEnd w:id="742"/>
    </w:p>
    <w:p>
      <w:pPr>
        <w:spacing w:line="360" w:lineRule="auto"/>
        <w:ind w:firstLine="480" w:firstLineChars="200"/>
        <w:rPr>
          <w:rFonts w:hint="default"/>
          <w:color w:val="auto"/>
          <w:sz w:val="24"/>
          <w:highlight w:val="none"/>
          <w:lang w:val="en-US" w:eastAsia="zh-CN"/>
        </w:rPr>
      </w:pPr>
      <w:r>
        <w:rPr>
          <w:color w:val="auto"/>
          <w:sz w:val="24"/>
          <w:highlight w:val="none"/>
        </w:rPr>
        <w:t>根据《产业结构调整指导目录（</w:t>
      </w:r>
      <w:r>
        <w:rPr>
          <w:rFonts w:hint="eastAsia"/>
          <w:color w:val="auto"/>
          <w:sz w:val="24"/>
          <w:highlight w:val="none"/>
          <w:lang w:val="en-US" w:eastAsia="zh-CN"/>
        </w:rPr>
        <w:t>2024</w:t>
      </w:r>
      <w:r>
        <w:rPr>
          <w:color w:val="auto"/>
          <w:sz w:val="24"/>
          <w:highlight w:val="none"/>
        </w:rPr>
        <w:t>年本）》</w:t>
      </w:r>
      <w:r>
        <w:rPr>
          <w:rFonts w:hint="eastAsia"/>
          <w:color w:val="auto"/>
          <w:sz w:val="24"/>
          <w:highlight w:val="none"/>
          <w:lang w:val="en-US" w:eastAsia="zh-CN"/>
        </w:rPr>
        <w:t>中的相关规定</w:t>
      </w:r>
      <w:r>
        <w:rPr>
          <w:color w:val="auto"/>
          <w:sz w:val="24"/>
          <w:highlight w:val="none"/>
        </w:rPr>
        <w:t>，</w:t>
      </w:r>
      <w:r>
        <w:rPr>
          <w:rFonts w:hint="eastAsia"/>
          <w:color w:val="auto"/>
          <w:sz w:val="24"/>
          <w:highlight w:val="none"/>
          <w:lang w:val="en-US" w:eastAsia="zh-CN"/>
        </w:rPr>
        <w:t>项目为C2926塑料包装箱及容器制造项目，不属于产业结构调整政策内的鼓励类、限制类及淘汰类行业，视为允许类项目。建设单位已于2023年11月16日取得了寻甸回族彝族自治县发展和改革局核发的云南省固定资产投资项目备案证（项目代码：2311-530129-04-01-845291），故项目建设符合国家及地方产业政策的要求。</w:t>
      </w:r>
    </w:p>
    <w:p>
      <w:pPr>
        <w:keepNext/>
        <w:keepLines/>
        <w:spacing w:line="360" w:lineRule="auto"/>
        <w:rPr>
          <w:b/>
          <w:bCs/>
          <w:color w:val="auto"/>
          <w:sz w:val="24"/>
          <w:highlight w:val="none"/>
        </w:rPr>
      </w:pPr>
      <w:bookmarkStart w:id="744" w:name="_Toc75908584"/>
      <w:r>
        <w:rPr>
          <w:b/>
          <w:bCs/>
          <w:color w:val="auto"/>
          <w:sz w:val="24"/>
          <w:highlight w:val="none"/>
        </w:rPr>
        <w:t>2、与行业规范政策符合性分析</w:t>
      </w:r>
      <w:bookmarkEnd w:id="744"/>
    </w:p>
    <w:p>
      <w:pPr>
        <w:widowControl/>
        <w:spacing w:line="360" w:lineRule="auto"/>
        <w:ind w:firstLine="482" w:firstLineChars="200"/>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1</w:t>
      </w:r>
      <w:r>
        <w:rPr>
          <w:rFonts w:hint="eastAsia"/>
          <w:b/>
          <w:bCs/>
          <w:color w:val="auto"/>
          <w:sz w:val="24"/>
          <w:highlight w:val="none"/>
          <w:lang w:eastAsia="zh-CN"/>
        </w:rPr>
        <w:t>）</w:t>
      </w:r>
      <w:r>
        <w:rPr>
          <w:rFonts w:hint="eastAsia"/>
          <w:b/>
          <w:bCs/>
          <w:color w:val="auto"/>
          <w:sz w:val="24"/>
          <w:highlight w:val="none"/>
        </w:rPr>
        <w:t>项目与《云南省重点行业挥发性有机物综合治理实施方案》的符合性分析</w:t>
      </w:r>
    </w:p>
    <w:p>
      <w:pPr>
        <w:widowControl/>
        <w:adjustRightInd w:val="0"/>
        <w:snapToGrid w:val="0"/>
        <w:spacing w:line="360" w:lineRule="auto"/>
        <w:ind w:firstLine="480" w:firstLineChars="200"/>
        <w:jc w:val="left"/>
        <w:rPr>
          <w:rFonts w:hint="default" w:eastAsia="宋体"/>
          <w:color w:val="auto"/>
          <w:sz w:val="24"/>
          <w:highlight w:val="none"/>
          <w:lang w:val="en-US" w:eastAsia="zh-CN"/>
        </w:rPr>
      </w:pPr>
      <w:r>
        <w:rPr>
          <w:rFonts w:hint="eastAsia" w:cs="宋体"/>
          <w:color w:val="auto"/>
          <w:kern w:val="0"/>
          <w:sz w:val="24"/>
          <w:highlight w:val="none"/>
          <w:lang w:bidi="ar"/>
        </w:rPr>
        <w:t>根据《云南省重点行业挥发性有机物综合治理实施方案》（云环通〔</w:t>
      </w:r>
      <w:r>
        <w:rPr>
          <w:color w:val="auto"/>
          <w:kern w:val="0"/>
          <w:sz w:val="24"/>
          <w:highlight w:val="none"/>
          <w:lang w:bidi="ar"/>
        </w:rPr>
        <w:t>2019</w:t>
      </w:r>
      <w:r>
        <w:rPr>
          <w:rFonts w:hint="eastAsia" w:cs="宋体"/>
          <w:color w:val="auto"/>
          <w:kern w:val="0"/>
          <w:sz w:val="24"/>
          <w:highlight w:val="none"/>
          <w:lang w:bidi="ar"/>
        </w:rPr>
        <w:t>〕</w:t>
      </w:r>
      <w:r>
        <w:rPr>
          <w:color w:val="auto"/>
          <w:kern w:val="0"/>
          <w:sz w:val="24"/>
          <w:highlight w:val="none"/>
          <w:lang w:bidi="ar"/>
        </w:rPr>
        <w:t>125</w:t>
      </w:r>
      <w:r>
        <w:rPr>
          <w:rFonts w:hint="eastAsia" w:cs="宋体"/>
          <w:color w:val="auto"/>
          <w:kern w:val="0"/>
          <w:sz w:val="24"/>
          <w:highlight w:val="none"/>
          <w:lang w:bidi="ar"/>
        </w:rPr>
        <w:t>号）中相关要求，项目符合性分析见下表8.2-</w:t>
      </w:r>
      <w:r>
        <w:rPr>
          <w:rFonts w:hint="eastAsia" w:cs="宋体"/>
          <w:color w:val="auto"/>
          <w:kern w:val="0"/>
          <w:sz w:val="24"/>
          <w:highlight w:val="none"/>
          <w:lang w:val="en-US" w:eastAsia="zh-CN" w:bidi="ar"/>
        </w:rPr>
        <w:t>1。</w:t>
      </w:r>
    </w:p>
    <w:p>
      <w:pPr>
        <w:widowControl/>
        <w:spacing w:line="360" w:lineRule="auto"/>
        <w:jc w:val="center"/>
        <w:rPr>
          <w:b/>
          <w:bCs/>
          <w:color w:val="auto"/>
          <w:sz w:val="24"/>
          <w:highlight w:val="none"/>
        </w:rPr>
      </w:pPr>
      <w:r>
        <w:rPr>
          <w:rFonts w:hint="eastAsia"/>
          <w:b/>
          <w:bCs/>
          <w:color w:val="auto"/>
          <w:sz w:val="24"/>
          <w:highlight w:val="none"/>
        </w:rPr>
        <w:t>表8.2-</w:t>
      </w:r>
      <w:r>
        <w:rPr>
          <w:rFonts w:hint="eastAsia"/>
          <w:b/>
          <w:bCs/>
          <w:color w:val="auto"/>
          <w:sz w:val="24"/>
          <w:highlight w:val="none"/>
          <w:lang w:val="en-US" w:eastAsia="zh-CN"/>
        </w:rPr>
        <w:t xml:space="preserve">1 </w:t>
      </w:r>
      <w:r>
        <w:rPr>
          <w:rFonts w:hint="eastAsia"/>
          <w:b/>
          <w:bCs/>
          <w:color w:val="auto"/>
          <w:sz w:val="24"/>
          <w:highlight w:val="none"/>
        </w:rPr>
        <w:t xml:space="preserve"> 与《云南省重点行业挥发性有机物综合治理实施方案》的符合性分析</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4"/>
        <w:gridCol w:w="2759"/>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4924" w:type="dxa"/>
            <w:vAlign w:val="center"/>
          </w:tcPr>
          <w:p>
            <w:pPr>
              <w:widowControl/>
              <w:adjustRightInd w:val="0"/>
              <w:snapToGrid w:val="0"/>
              <w:jc w:val="center"/>
              <w:rPr>
                <w:b/>
                <w:bCs/>
                <w:color w:val="auto"/>
                <w:szCs w:val="21"/>
                <w:highlight w:val="none"/>
              </w:rPr>
            </w:pPr>
            <w:r>
              <w:rPr>
                <w:rFonts w:hint="eastAsia"/>
                <w:b/>
                <w:bCs/>
                <w:color w:val="auto"/>
                <w:szCs w:val="21"/>
                <w:highlight w:val="none"/>
              </w:rPr>
              <w:t>文件要求</w:t>
            </w:r>
          </w:p>
        </w:tc>
        <w:tc>
          <w:tcPr>
            <w:tcW w:w="2759" w:type="dxa"/>
            <w:vAlign w:val="center"/>
          </w:tcPr>
          <w:p>
            <w:pPr>
              <w:widowControl/>
              <w:adjustRightInd w:val="0"/>
              <w:snapToGrid w:val="0"/>
              <w:jc w:val="center"/>
              <w:rPr>
                <w:b/>
                <w:bCs/>
                <w:color w:val="auto"/>
                <w:szCs w:val="21"/>
                <w:highlight w:val="none"/>
              </w:rPr>
            </w:pPr>
            <w:r>
              <w:rPr>
                <w:b/>
                <w:bCs/>
                <w:color w:val="auto"/>
                <w:szCs w:val="21"/>
                <w:highlight w:val="none"/>
              </w:rPr>
              <w:t>本项目情况</w:t>
            </w:r>
          </w:p>
        </w:tc>
        <w:tc>
          <w:tcPr>
            <w:tcW w:w="866" w:type="dxa"/>
            <w:vAlign w:val="center"/>
          </w:tcPr>
          <w:p>
            <w:pPr>
              <w:widowControl/>
              <w:adjustRightInd w:val="0"/>
              <w:snapToGrid w:val="0"/>
              <w:jc w:val="center"/>
              <w:rPr>
                <w:b/>
                <w:bCs/>
                <w:color w:val="auto"/>
                <w:szCs w:val="21"/>
                <w:highlight w:val="none"/>
              </w:rPr>
            </w:pPr>
            <w:r>
              <w:rPr>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4924"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全面加强无组织排放控制。重点对含</w:t>
            </w:r>
            <w:r>
              <w:rPr>
                <w:color w:val="auto"/>
                <w:kern w:val="0"/>
                <w:szCs w:val="20"/>
                <w:highlight w:val="none"/>
                <w:lang w:bidi="ar"/>
              </w:rPr>
              <w:t>VOCs</w:t>
            </w:r>
            <w:r>
              <w:rPr>
                <w:rFonts w:hint="eastAsia" w:cs="楷体"/>
                <w:color w:val="auto"/>
                <w:kern w:val="0"/>
                <w:szCs w:val="20"/>
                <w:highlight w:val="none"/>
                <w:lang w:bidi="ar"/>
              </w:rPr>
              <w:t>物料（包括含</w:t>
            </w:r>
            <w:r>
              <w:rPr>
                <w:color w:val="auto"/>
                <w:kern w:val="0"/>
                <w:szCs w:val="20"/>
                <w:highlight w:val="none"/>
                <w:lang w:bidi="ar"/>
              </w:rPr>
              <w:t>VOCs</w:t>
            </w:r>
            <w:r>
              <w:rPr>
                <w:rFonts w:hint="eastAsia" w:cs="楷体"/>
                <w:color w:val="auto"/>
                <w:kern w:val="0"/>
                <w:szCs w:val="20"/>
                <w:highlight w:val="none"/>
                <w:lang w:bidi="ar"/>
              </w:rPr>
              <w:t>原辅材料、含</w:t>
            </w:r>
            <w:r>
              <w:rPr>
                <w:color w:val="auto"/>
                <w:kern w:val="0"/>
                <w:szCs w:val="20"/>
                <w:highlight w:val="none"/>
                <w:lang w:bidi="ar"/>
              </w:rPr>
              <w:t>VOCs</w:t>
            </w:r>
            <w:r>
              <w:rPr>
                <w:rFonts w:hint="eastAsia" w:cs="楷体"/>
                <w:color w:val="auto"/>
                <w:kern w:val="0"/>
                <w:szCs w:val="20"/>
                <w:highlight w:val="none"/>
                <w:lang w:bidi="ar"/>
              </w:rPr>
              <w:t>产品、含</w:t>
            </w:r>
            <w:r>
              <w:rPr>
                <w:color w:val="auto"/>
                <w:kern w:val="0"/>
                <w:szCs w:val="20"/>
                <w:highlight w:val="none"/>
                <w:lang w:bidi="ar"/>
              </w:rPr>
              <w:t>VOCs</w:t>
            </w:r>
            <w:r>
              <w:rPr>
                <w:rFonts w:hint="eastAsia" w:cs="楷体"/>
                <w:color w:val="auto"/>
                <w:kern w:val="0"/>
                <w:szCs w:val="20"/>
                <w:highlight w:val="none"/>
                <w:lang w:bidi="ar"/>
              </w:rPr>
              <w:t>废料以及有机聚合物材料等）储存、转移和输送、设备与管线组件泄漏、敞开液面逸散以及工艺过程等五类排放源实施管控，通过采取设备与场所密闭、工艺改进、废气有效收集等措施，削减</w:t>
            </w:r>
            <w:r>
              <w:rPr>
                <w:color w:val="auto"/>
                <w:kern w:val="0"/>
                <w:szCs w:val="20"/>
                <w:highlight w:val="none"/>
                <w:lang w:bidi="ar"/>
              </w:rPr>
              <w:t>VOCs</w:t>
            </w:r>
            <w:r>
              <w:rPr>
                <w:rFonts w:hint="eastAsia" w:cs="楷体"/>
                <w:color w:val="auto"/>
                <w:kern w:val="0"/>
                <w:szCs w:val="20"/>
                <w:highlight w:val="none"/>
                <w:lang w:bidi="ar"/>
              </w:rPr>
              <w:t>无组织排放。</w:t>
            </w:r>
          </w:p>
        </w:tc>
        <w:tc>
          <w:tcPr>
            <w:tcW w:w="2759"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企业生产工艺过程通过采</w:t>
            </w:r>
            <w:r>
              <w:rPr>
                <w:rFonts w:hint="eastAsia" w:cs="楷体"/>
                <w:color w:val="auto"/>
                <w:kern w:val="0"/>
                <w:szCs w:val="20"/>
                <w:highlight w:val="none"/>
                <w:lang w:bidi="ar"/>
              </w:rPr>
              <w:t>取生产车间封闭、工艺优化、废气有效收集处理等措施，削减</w:t>
            </w:r>
            <w:r>
              <w:rPr>
                <w:color w:val="auto"/>
                <w:kern w:val="0"/>
                <w:szCs w:val="20"/>
                <w:highlight w:val="none"/>
                <w:lang w:bidi="ar"/>
              </w:rPr>
              <w:t>VOCs</w:t>
            </w:r>
            <w:r>
              <w:rPr>
                <w:rFonts w:hint="eastAsia" w:cs="楷体"/>
                <w:color w:val="auto"/>
                <w:kern w:val="0"/>
                <w:szCs w:val="20"/>
                <w:highlight w:val="none"/>
                <w:lang w:bidi="ar"/>
              </w:rPr>
              <w:t>无组织排放。</w:t>
            </w:r>
          </w:p>
        </w:tc>
        <w:tc>
          <w:tcPr>
            <w:tcW w:w="866" w:type="dxa"/>
            <w:vAlign w:val="center"/>
          </w:tcPr>
          <w:p>
            <w:pPr>
              <w:widowControl/>
              <w:adjustRightInd w:val="0"/>
              <w:snapToGrid w:val="0"/>
              <w:jc w:val="center"/>
              <w:rPr>
                <w:b/>
                <w:bCs/>
                <w:color w:val="auto"/>
                <w:szCs w:val="21"/>
                <w:highlight w:val="none"/>
              </w:rPr>
            </w:pPr>
            <w:r>
              <w:rPr>
                <w:rFonts w:hint="eastAsia"/>
                <w:b/>
                <w:bCs/>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4924"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提高废气收集率。遵循</w:t>
            </w:r>
            <w:r>
              <w:rPr>
                <w:color w:val="auto"/>
                <w:kern w:val="0"/>
                <w:szCs w:val="20"/>
                <w:highlight w:val="none"/>
                <w:lang w:bidi="ar"/>
              </w:rPr>
              <w:t>“</w:t>
            </w:r>
            <w:r>
              <w:rPr>
                <w:rFonts w:hint="eastAsia" w:cs="楷体"/>
                <w:color w:val="auto"/>
                <w:kern w:val="0"/>
                <w:szCs w:val="20"/>
                <w:highlight w:val="none"/>
                <w:lang w:bidi="ar"/>
              </w:rPr>
              <w:t>应收尽收、分质收集</w:t>
            </w:r>
            <w:r>
              <w:rPr>
                <w:color w:val="auto"/>
                <w:kern w:val="0"/>
                <w:szCs w:val="20"/>
                <w:highlight w:val="none"/>
                <w:lang w:bidi="ar"/>
              </w:rPr>
              <w:t>”</w:t>
            </w:r>
            <w:r>
              <w:rPr>
                <w:rFonts w:hint="eastAsia" w:cs="楷体"/>
                <w:color w:val="auto"/>
                <w:kern w:val="0"/>
                <w:szCs w:val="20"/>
                <w:highlight w:val="none"/>
                <w:lang w:bidi="ar"/>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Pr>
                <w:color w:val="auto"/>
                <w:kern w:val="0"/>
                <w:szCs w:val="20"/>
                <w:highlight w:val="none"/>
                <w:lang w:bidi="ar"/>
              </w:rPr>
              <w:t>VOCs</w:t>
            </w:r>
            <w:r>
              <w:rPr>
                <w:rFonts w:hint="eastAsia" w:cs="楷体"/>
                <w:color w:val="auto"/>
                <w:kern w:val="0"/>
                <w:szCs w:val="20"/>
                <w:highlight w:val="none"/>
                <w:lang w:bidi="ar"/>
              </w:rPr>
              <w:t>无组织排放位置，控制风速应不低于</w:t>
            </w:r>
            <w:r>
              <w:rPr>
                <w:color w:val="auto"/>
                <w:kern w:val="0"/>
                <w:szCs w:val="20"/>
                <w:highlight w:val="none"/>
                <w:lang w:bidi="ar"/>
              </w:rPr>
              <w:t>0.3</w:t>
            </w:r>
            <w:r>
              <w:rPr>
                <w:rFonts w:hint="eastAsia" w:cs="楷体"/>
                <w:color w:val="auto"/>
                <w:kern w:val="0"/>
                <w:szCs w:val="20"/>
                <w:highlight w:val="none"/>
                <w:lang w:bidi="ar"/>
              </w:rPr>
              <w:t>米</w:t>
            </w:r>
            <w:r>
              <w:rPr>
                <w:color w:val="auto"/>
                <w:kern w:val="0"/>
                <w:szCs w:val="20"/>
                <w:highlight w:val="none"/>
                <w:lang w:bidi="ar"/>
              </w:rPr>
              <w:t>/</w:t>
            </w:r>
            <w:r>
              <w:rPr>
                <w:rFonts w:hint="eastAsia" w:cs="楷体"/>
                <w:color w:val="auto"/>
                <w:kern w:val="0"/>
                <w:szCs w:val="20"/>
                <w:highlight w:val="none"/>
                <w:lang w:bidi="ar"/>
              </w:rPr>
              <w:t>秒，有行业要求的按相关规定执行。</w:t>
            </w:r>
          </w:p>
        </w:tc>
        <w:tc>
          <w:tcPr>
            <w:tcW w:w="2759"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项目生产车间</w:t>
            </w:r>
            <w:r>
              <w:rPr>
                <w:rFonts w:hint="eastAsia" w:cs="楷体"/>
                <w:color w:val="auto"/>
                <w:kern w:val="0"/>
                <w:szCs w:val="20"/>
                <w:highlight w:val="none"/>
                <w:lang w:bidi="ar"/>
              </w:rPr>
              <w:t>为封闭车间，并保持微负压状态，并根据相关规范合理设置通风量。项目采用局部集气罩对</w:t>
            </w:r>
            <w:r>
              <w:rPr>
                <w:color w:val="auto"/>
                <w:kern w:val="0"/>
                <w:szCs w:val="20"/>
                <w:highlight w:val="none"/>
                <w:lang w:bidi="ar"/>
              </w:rPr>
              <w:t>VOCs</w:t>
            </w:r>
            <w:r>
              <w:rPr>
                <w:rFonts w:hint="eastAsia" w:cs="楷体"/>
                <w:color w:val="auto"/>
                <w:kern w:val="0"/>
                <w:szCs w:val="20"/>
                <w:highlight w:val="none"/>
                <w:lang w:bidi="ar"/>
              </w:rPr>
              <w:t>进行收集，并保证距集气罩开口面控制点的</w:t>
            </w:r>
            <w:r>
              <w:rPr>
                <w:color w:val="auto"/>
                <w:kern w:val="0"/>
                <w:szCs w:val="20"/>
                <w:highlight w:val="none"/>
                <w:lang w:bidi="ar"/>
              </w:rPr>
              <w:t>VOCs</w:t>
            </w:r>
            <w:r>
              <w:rPr>
                <w:rFonts w:hint="eastAsia" w:cs="楷体"/>
                <w:color w:val="auto"/>
                <w:kern w:val="0"/>
                <w:szCs w:val="20"/>
                <w:highlight w:val="none"/>
                <w:lang w:bidi="ar"/>
              </w:rPr>
              <w:t>无组织排放位置，控制风速不低于</w:t>
            </w:r>
            <w:r>
              <w:rPr>
                <w:color w:val="auto"/>
                <w:kern w:val="0"/>
                <w:szCs w:val="20"/>
                <w:highlight w:val="none"/>
                <w:lang w:bidi="ar"/>
              </w:rPr>
              <w:t>0.3</w:t>
            </w:r>
            <w:r>
              <w:rPr>
                <w:rFonts w:hint="eastAsia" w:cs="楷体"/>
                <w:color w:val="auto"/>
                <w:kern w:val="0"/>
                <w:szCs w:val="20"/>
                <w:highlight w:val="none"/>
                <w:lang w:bidi="ar"/>
              </w:rPr>
              <w:t>米</w:t>
            </w:r>
            <w:r>
              <w:rPr>
                <w:color w:val="auto"/>
                <w:kern w:val="0"/>
                <w:szCs w:val="20"/>
                <w:highlight w:val="none"/>
                <w:lang w:bidi="ar"/>
              </w:rPr>
              <w:t>/</w:t>
            </w:r>
            <w:r>
              <w:rPr>
                <w:rFonts w:hint="eastAsia" w:cs="楷体"/>
                <w:color w:val="auto"/>
                <w:kern w:val="0"/>
                <w:szCs w:val="20"/>
                <w:highlight w:val="none"/>
                <w:lang w:bidi="ar"/>
              </w:rPr>
              <w:t>秒</w:t>
            </w:r>
          </w:p>
        </w:tc>
        <w:tc>
          <w:tcPr>
            <w:tcW w:w="866" w:type="dxa"/>
            <w:vAlign w:val="center"/>
          </w:tcPr>
          <w:p>
            <w:pPr>
              <w:widowControl/>
              <w:adjustRightInd w:val="0"/>
              <w:snapToGrid w:val="0"/>
              <w:jc w:val="center"/>
              <w:rPr>
                <w:b/>
                <w:bCs/>
                <w:color w:val="auto"/>
                <w:szCs w:val="21"/>
                <w:highlight w:val="none"/>
              </w:rPr>
            </w:pPr>
            <w:r>
              <w:rPr>
                <w:rFonts w:hint="eastAsia"/>
                <w:b/>
                <w:bCs/>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4924"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推进建设适宜高效的治污设施。企业新建治污设施</w:t>
            </w:r>
            <w:r>
              <w:rPr>
                <w:rFonts w:hint="eastAsia" w:cs="楷体"/>
                <w:color w:val="auto"/>
                <w:kern w:val="0"/>
                <w:szCs w:val="20"/>
                <w:highlight w:val="none"/>
                <w:lang w:bidi="ar"/>
              </w:rPr>
              <w:t>或对现有治污设施实施改造，应依据排放废气的浓度、组分、风量，温度、湿度、压力，以及生产工况等，合理选择治理技术。鼓励企业采用多种技术的组合工艺，提高</w:t>
            </w:r>
            <w:r>
              <w:rPr>
                <w:color w:val="auto"/>
                <w:kern w:val="0"/>
                <w:szCs w:val="20"/>
                <w:highlight w:val="none"/>
                <w:lang w:bidi="ar"/>
              </w:rPr>
              <w:t>VOCs</w:t>
            </w:r>
            <w:r>
              <w:rPr>
                <w:rFonts w:hint="eastAsia" w:cs="楷体"/>
                <w:color w:val="auto"/>
                <w:kern w:val="0"/>
                <w:szCs w:val="20"/>
                <w:highlight w:val="none"/>
                <w:lang w:bidi="ar"/>
              </w:rPr>
              <w:t>治理效率。低浓度、大风量废气，宜采用沸石转轮吸附、活性炭吸附、减风增浓等浓缩技术，提高</w:t>
            </w:r>
            <w:r>
              <w:rPr>
                <w:color w:val="auto"/>
                <w:kern w:val="0"/>
                <w:szCs w:val="20"/>
                <w:highlight w:val="none"/>
                <w:lang w:bidi="ar"/>
              </w:rPr>
              <w:t>VOCs</w:t>
            </w:r>
            <w:r>
              <w:rPr>
                <w:rFonts w:hint="eastAsia" w:cs="楷体"/>
                <w:color w:val="auto"/>
                <w:kern w:val="0"/>
                <w:szCs w:val="20"/>
                <w:highlight w:val="none"/>
                <w:lang w:bidi="ar"/>
              </w:rPr>
              <w:t>浓度后净化处理；高浓度废气，优先进行溶剂回收，难以回收的，宜采用高温焚烧、催化燃烧等技术。油气（溶剂）回收宜采用冷凝</w:t>
            </w:r>
            <w:r>
              <w:rPr>
                <w:color w:val="auto"/>
                <w:kern w:val="0"/>
                <w:szCs w:val="20"/>
                <w:highlight w:val="none"/>
                <w:lang w:bidi="ar"/>
              </w:rPr>
              <w:t>+</w:t>
            </w:r>
            <w:r>
              <w:rPr>
                <w:rFonts w:hint="eastAsia" w:cs="楷体"/>
                <w:color w:val="auto"/>
                <w:kern w:val="0"/>
                <w:szCs w:val="20"/>
                <w:highlight w:val="none"/>
                <w:lang w:bidi="ar"/>
              </w:rPr>
              <w:t>吸附、吸附</w:t>
            </w:r>
            <w:r>
              <w:rPr>
                <w:color w:val="auto"/>
                <w:kern w:val="0"/>
                <w:szCs w:val="20"/>
                <w:highlight w:val="none"/>
                <w:lang w:bidi="ar"/>
              </w:rPr>
              <w:t>+</w:t>
            </w:r>
            <w:r>
              <w:rPr>
                <w:rFonts w:hint="eastAsia" w:cs="楷体"/>
                <w:color w:val="auto"/>
                <w:kern w:val="0"/>
                <w:szCs w:val="20"/>
                <w:highlight w:val="none"/>
                <w:lang w:bidi="ar"/>
              </w:rPr>
              <w:t>吸收、膜分离</w:t>
            </w:r>
            <w:r>
              <w:rPr>
                <w:color w:val="auto"/>
                <w:kern w:val="0"/>
                <w:szCs w:val="20"/>
                <w:highlight w:val="none"/>
                <w:lang w:bidi="ar"/>
              </w:rPr>
              <w:t>+</w:t>
            </w:r>
            <w:r>
              <w:rPr>
                <w:rFonts w:hint="eastAsia" w:cs="楷体"/>
                <w:color w:val="auto"/>
                <w:kern w:val="0"/>
                <w:szCs w:val="20"/>
                <w:highlight w:val="none"/>
                <w:lang w:bidi="ar"/>
              </w:rPr>
              <w:t>吸附等技术。低温等离子、光催化、光氧化技术主要适用于恶臭异味等治理；生物法主要适用于低浓度</w:t>
            </w:r>
            <w:r>
              <w:rPr>
                <w:color w:val="auto"/>
                <w:kern w:val="0"/>
                <w:szCs w:val="20"/>
                <w:highlight w:val="none"/>
                <w:lang w:bidi="ar"/>
              </w:rPr>
              <w:t>VOCs</w:t>
            </w:r>
            <w:r>
              <w:rPr>
                <w:rFonts w:hint="eastAsia" w:cs="楷体"/>
                <w:color w:val="auto"/>
                <w:kern w:val="0"/>
                <w:szCs w:val="20"/>
                <w:highlight w:val="none"/>
                <w:lang w:bidi="ar"/>
              </w:rPr>
              <w:t>废气治理和恶臭异味治理。非水溶性的</w:t>
            </w:r>
            <w:r>
              <w:rPr>
                <w:color w:val="auto"/>
                <w:kern w:val="0"/>
                <w:szCs w:val="20"/>
                <w:highlight w:val="none"/>
                <w:lang w:bidi="ar"/>
              </w:rPr>
              <w:t>VOCs</w:t>
            </w:r>
            <w:r>
              <w:rPr>
                <w:rFonts w:hint="eastAsia" w:cs="楷体"/>
                <w:color w:val="auto"/>
                <w:kern w:val="0"/>
                <w:szCs w:val="20"/>
                <w:highlight w:val="none"/>
                <w:lang w:bidi="ar"/>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Pr>
                <w:color w:val="auto"/>
                <w:kern w:val="0"/>
                <w:szCs w:val="20"/>
                <w:highlight w:val="none"/>
                <w:lang w:bidi="ar"/>
              </w:rPr>
              <w:t>VOCs</w:t>
            </w:r>
            <w:r>
              <w:rPr>
                <w:rFonts w:hint="eastAsia" w:cs="楷体"/>
                <w:color w:val="auto"/>
                <w:kern w:val="0"/>
                <w:szCs w:val="20"/>
                <w:highlight w:val="none"/>
                <w:lang w:bidi="ar"/>
              </w:rPr>
              <w:t>治理效率。</w:t>
            </w:r>
          </w:p>
        </w:tc>
        <w:tc>
          <w:tcPr>
            <w:tcW w:w="2759"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本项目排放废气属于大风</w:t>
            </w:r>
            <w:r>
              <w:rPr>
                <w:rFonts w:hint="eastAsia" w:cs="楷体"/>
                <w:color w:val="auto"/>
                <w:kern w:val="0"/>
                <w:szCs w:val="20"/>
                <w:highlight w:val="none"/>
                <w:lang w:bidi="ar"/>
              </w:rPr>
              <w:t>量、低浓度有机废气，设置</w:t>
            </w:r>
            <w:r>
              <w:rPr>
                <w:color w:val="auto"/>
                <w:szCs w:val="21"/>
                <w:highlight w:val="none"/>
              </w:rPr>
              <w:t>“</w:t>
            </w:r>
            <w:r>
              <w:rPr>
                <w:rFonts w:hint="eastAsia"/>
                <w:color w:val="auto"/>
                <w:szCs w:val="21"/>
                <w:highlight w:val="none"/>
                <w:lang w:val="en-US" w:eastAsia="zh-CN"/>
              </w:rPr>
              <w:t>三级活性炭吸附装置</w:t>
            </w:r>
            <w:r>
              <w:rPr>
                <w:color w:val="auto"/>
                <w:szCs w:val="21"/>
                <w:highlight w:val="none"/>
              </w:rPr>
              <w:t>”处理</w:t>
            </w:r>
            <w:r>
              <w:rPr>
                <w:rFonts w:hint="eastAsia"/>
                <w:color w:val="auto"/>
                <w:szCs w:val="21"/>
                <w:highlight w:val="none"/>
                <w:lang w:val="en-US" w:eastAsia="zh-CN"/>
              </w:rPr>
              <w:t>热熔注塑</w:t>
            </w:r>
            <w:r>
              <w:rPr>
                <w:color w:val="auto"/>
                <w:szCs w:val="21"/>
                <w:highlight w:val="none"/>
              </w:rPr>
              <w:t>过程中产生的废气</w:t>
            </w:r>
            <w:r>
              <w:rPr>
                <w:rFonts w:hint="eastAsia" w:cs="楷体"/>
                <w:color w:val="auto"/>
                <w:kern w:val="0"/>
                <w:szCs w:val="20"/>
                <w:highlight w:val="none"/>
                <w:lang w:bidi="ar"/>
              </w:rPr>
              <w:t>，满足低</w:t>
            </w:r>
            <w:r>
              <w:rPr>
                <w:rFonts w:hint="eastAsia" w:cs="楷体"/>
                <w:color w:val="auto"/>
                <w:kern w:val="0"/>
                <w:szCs w:val="20"/>
                <w:highlight w:val="none"/>
                <w:lang w:eastAsia="zh-CN" w:bidi="ar"/>
              </w:rPr>
              <w:t>浓度</w:t>
            </w:r>
            <w:r>
              <w:rPr>
                <w:rFonts w:hint="eastAsia" w:cs="楷体"/>
                <w:color w:val="auto"/>
                <w:kern w:val="0"/>
                <w:szCs w:val="20"/>
                <w:highlight w:val="none"/>
                <w:lang w:bidi="ar"/>
              </w:rPr>
              <w:t>大风量有机废气规定的技术要求，处理后废气能够达到《合成树脂工业污染物排放标准》</w:t>
            </w:r>
            <w:r>
              <w:rPr>
                <w:color w:val="auto"/>
                <w:kern w:val="0"/>
                <w:szCs w:val="20"/>
                <w:highlight w:val="none"/>
                <w:lang w:bidi="ar"/>
              </w:rPr>
              <w:t>(GB31572-2015)</w:t>
            </w:r>
            <w:r>
              <w:rPr>
                <w:rFonts w:hint="eastAsia" w:cs="楷体"/>
                <w:color w:val="auto"/>
                <w:kern w:val="0"/>
                <w:szCs w:val="20"/>
                <w:highlight w:val="none"/>
                <w:lang w:bidi="ar"/>
              </w:rPr>
              <w:t>；废气处理设施吸附剂活性炭定期更换。</w:t>
            </w:r>
          </w:p>
        </w:tc>
        <w:tc>
          <w:tcPr>
            <w:tcW w:w="866" w:type="dxa"/>
            <w:vAlign w:val="center"/>
          </w:tcPr>
          <w:p>
            <w:pPr>
              <w:widowControl/>
              <w:adjustRightInd w:val="0"/>
              <w:snapToGrid w:val="0"/>
              <w:jc w:val="center"/>
              <w:rPr>
                <w:b/>
                <w:bCs/>
                <w:color w:val="auto"/>
                <w:szCs w:val="21"/>
                <w:highlight w:val="none"/>
              </w:rPr>
            </w:pPr>
            <w:r>
              <w:rPr>
                <w:rFonts w:hint="eastAsia"/>
                <w:b/>
                <w:bCs/>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4924"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实行重点排放源排放浓度与去除效率双重控制。车</w:t>
            </w:r>
            <w:r>
              <w:rPr>
                <w:rFonts w:hint="eastAsia" w:cs="楷体"/>
                <w:color w:val="auto"/>
                <w:kern w:val="0"/>
                <w:szCs w:val="20"/>
                <w:highlight w:val="none"/>
                <w:lang w:bidi="ar"/>
              </w:rPr>
              <w:t>间或生产设施收集排放的废气，</w:t>
            </w:r>
            <w:r>
              <w:rPr>
                <w:color w:val="auto"/>
                <w:kern w:val="0"/>
                <w:szCs w:val="20"/>
                <w:highlight w:val="none"/>
                <w:lang w:bidi="ar"/>
              </w:rPr>
              <w:t>VOCs</w:t>
            </w:r>
            <w:r>
              <w:rPr>
                <w:rFonts w:hint="eastAsia" w:cs="楷体"/>
                <w:color w:val="auto"/>
                <w:kern w:val="0"/>
                <w:szCs w:val="20"/>
                <w:highlight w:val="none"/>
                <w:lang w:bidi="ar"/>
              </w:rPr>
              <w:t>初始排放速率大于等于</w:t>
            </w:r>
            <w:r>
              <w:rPr>
                <w:color w:val="auto"/>
                <w:kern w:val="0"/>
                <w:szCs w:val="20"/>
                <w:highlight w:val="none"/>
                <w:lang w:bidi="ar"/>
              </w:rPr>
              <w:t>3</w:t>
            </w:r>
            <w:r>
              <w:rPr>
                <w:rFonts w:hint="eastAsia" w:cs="楷体"/>
                <w:color w:val="auto"/>
                <w:kern w:val="0"/>
                <w:szCs w:val="20"/>
                <w:highlight w:val="none"/>
                <w:lang w:bidi="ar"/>
              </w:rPr>
              <w:t>千克</w:t>
            </w:r>
            <w:r>
              <w:rPr>
                <w:color w:val="auto"/>
                <w:kern w:val="0"/>
                <w:szCs w:val="20"/>
                <w:highlight w:val="none"/>
                <w:lang w:bidi="ar"/>
              </w:rPr>
              <w:t>/</w:t>
            </w:r>
            <w:r>
              <w:rPr>
                <w:rFonts w:hint="eastAsia" w:cs="楷体"/>
                <w:color w:val="auto"/>
                <w:kern w:val="0"/>
                <w:szCs w:val="20"/>
                <w:highlight w:val="none"/>
                <w:lang w:bidi="ar"/>
              </w:rPr>
              <w:t>小时、重点区域大于等于</w:t>
            </w:r>
            <w:r>
              <w:rPr>
                <w:color w:val="auto"/>
                <w:kern w:val="0"/>
                <w:szCs w:val="20"/>
                <w:highlight w:val="none"/>
                <w:lang w:bidi="ar"/>
              </w:rPr>
              <w:t>2</w:t>
            </w:r>
            <w:r>
              <w:rPr>
                <w:rFonts w:hint="eastAsia" w:cs="楷体"/>
                <w:color w:val="auto"/>
                <w:kern w:val="0"/>
                <w:szCs w:val="20"/>
                <w:highlight w:val="none"/>
                <w:lang w:bidi="ar"/>
              </w:rPr>
              <w:t>千克</w:t>
            </w:r>
            <w:r>
              <w:rPr>
                <w:color w:val="auto"/>
                <w:kern w:val="0"/>
                <w:szCs w:val="20"/>
                <w:highlight w:val="none"/>
                <w:lang w:bidi="ar"/>
              </w:rPr>
              <w:t>/</w:t>
            </w:r>
            <w:r>
              <w:rPr>
                <w:rFonts w:hint="eastAsia" w:cs="楷体"/>
                <w:color w:val="auto"/>
                <w:kern w:val="0"/>
                <w:szCs w:val="20"/>
                <w:highlight w:val="none"/>
                <w:lang w:bidi="ar"/>
              </w:rPr>
              <w:t>小时的，应加大控制力度，除确保排放浓度稳定达标外，还应实行去除效率控制，去除效率不低于</w:t>
            </w:r>
            <w:r>
              <w:rPr>
                <w:color w:val="auto"/>
                <w:kern w:val="0"/>
                <w:szCs w:val="20"/>
                <w:highlight w:val="none"/>
                <w:lang w:bidi="ar"/>
              </w:rPr>
              <w:t>80%</w:t>
            </w:r>
            <w:r>
              <w:rPr>
                <w:rFonts w:hint="eastAsia" w:cs="楷体"/>
                <w:color w:val="auto"/>
                <w:kern w:val="0"/>
                <w:szCs w:val="20"/>
                <w:highlight w:val="none"/>
                <w:lang w:bidi="ar"/>
              </w:rPr>
              <w:t>；采用的原辅材料符合国家有关低</w:t>
            </w:r>
            <w:r>
              <w:rPr>
                <w:color w:val="auto"/>
                <w:kern w:val="0"/>
                <w:szCs w:val="20"/>
                <w:highlight w:val="none"/>
                <w:lang w:bidi="ar"/>
              </w:rPr>
              <w:t>VOCs</w:t>
            </w:r>
            <w:r>
              <w:rPr>
                <w:rFonts w:hint="eastAsia" w:cs="楷体"/>
                <w:color w:val="auto"/>
                <w:kern w:val="0"/>
                <w:szCs w:val="20"/>
                <w:highlight w:val="none"/>
                <w:lang w:bidi="ar"/>
              </w:rPr>
              <w:t>含量产品规定的除外，有行业排放标准的按其相关规定执行</w:t>
            </w:r>
          </w:p>
        </w:tc>
        <w:tc>
          <w:tcPr>
            <w:tcW w:w="2759" w:type="dxa"/>
            <w:vAlign w:val="center"/>
          </w:tcPr>
          <w:p>
            <w:pPr>
              <w:widowControl/>
              <w:adjustRightInd w:val="0"/>
              <w:snapToGrid w:val="0"/>
              <w:jc w:val="center"/>
              <w:rPr>
                <w:b/>
                <w:bCs/>
                <w:color w:val="auto"/>
                <w:szCs w:val="21"/>
                <w:highlight w:val="none"/>
              </w:rPr>
            </w:pPr>
            <w:r>
              <w:rPr>
                <w:rFonts w:cs="楷体"/>
                <w:color w:val="auto"/>
                <w:kern w:val="0"/>
                <w:szCs w:val="20"/>
                <w:highlight w:val="none"/>
                <w:lang w:bidi="ar"/>
              </w:rPr>
              <w:t>项目集气罩收集非甲烷</w:t>
            </w:r>
            <w:r>
              <w:rPr>
                <w:rFonts w:hint="eastAsia" w:cs="楷体"/>
                <w:color w:val="auto"/>
                <w:kern w:val="0"/>
                <w:szCs w:val="20"/>
                <w:highlight w:val="none"/>
                <w:lang w:bidi="ar"/>
              </w:rPr>
              <w:t>总烃初始排放速率远低于</w:t>
            </w:r>
            <w:r>
              <w:rPr>
                <w:color w:val="auto"/>
                <w:kern w:val="0"/>
                <w:szCs w:val="20"/>
                <w:highlight w:val="none"/>
                <w:lang w:bidi="ar"/>
              </w:rPr>
              <w:t>3kg/h</w:t>
            </w:r>
            <w:r>
              <w:rPr>
                <w:rFonts w:hint="eastAsia" w:cs="楷体"/>
                <w:color w:val="auto"/>
                <w:kern w:val="0"/>
                <w:szCs w:val="20"/>
                <w:highlight w:val="none"/>
                <w:lang w:bidi="ar"/>
              </w:rPr>
              <w:t>，项目所属区域不在重点区域内。</w:t>
            </w:r>
          </w:p>
        </w:tc>
        <w:tc>
          <w:tcPr>
            <w:tcW w:w="866" w:type="dxa"/>
            <w:vAlign w:val="center"/>
          </w:tcPr>
          <w:p>
            <w:pPr>
              <w:widowControl/>
              <w:adjustRightInd w:val="0"/>
              <w:snapToGrid w:val="0"/>
              <w:jc w:val="center"/>
              <w:rPr>
                <w:b/>
                <w:bCs/>
                <w:color w:val="auto"/>
                <w:szCs w:val="21"/>
                <w:highlight w:val="none"/>
              </w:rPr>
            </w:pPr>
            <w:r>
              <w:rPr>
                <w:rFonts w:hint="eastAsia"/>
                <w:b/>
                <w:bCs/>
                <w:color w:val="auto"/>
                <w:szCs w:val="21"/>
                <w:highlight w:val="none"/>
              </w:rPr>
              <w:t>符合</w:t>
            </w:r>
          </w:p>
        </w:tc>
      </w:tr>
    </w:tbl>
    <w:p>
      <w:pPr>
        <w:widowControl/>
        <w:adjustRightInd w:val="0"/>
        <w:snapToGrid w:val="0"/>
        <w:spacing w:line="360" w:lineRule="auto"/>
        <w:ind w:firstLine="480" w:firstLineChars="200"/>
        <w:jc w:val="left"/>
        <w:rPr>
          <w:b/>
          <w:bCs/>
          <w:color w:val="auto"/>
          <w:sz w:val="24"/>
          <w:highlight w:val="none"/>
        </w:rPr>
      </w:pPr>
      <w:r>
        <w:rPr>
          <w:rFonts w:hint="eastAsia" w:cs="宋体"/>
          <w:color w:val="auto"/>
          <w:kern w:val="0"/>
          <w:sz w:val="24"/>
          <w:highlight w:val="none"/>
          <w:lang w:bidi="ar"/>
        </w:rPr>
        <w:t>由上表可知，项目的建设符合《云南省重点行业挥发性有机物综合治理实施方案》（云环通〔</w:t>
      </w:r>
      <w:r>
        <w:rPr>
          <w:color w:val="auto"/>
          <w:kern w:val="0"/>
          <w:sz w:val="24"/>
          <w:highlight w:val="none"/>
          <w:lang w:bidi="ar"/>
        </w:rPr>
        <w:t>2019</w:t>
      </w:r>
      <w:r>
        <w:rPr>
          <w:rFonts w:hint="eastAsia" w:cs="宋体"/>
          <w:color w:val="auto"/>
          <w:kern w:val="0"/>
          <w:sz w:val="24"/>
          <w:highlight w:val="none"/>
          <w:lang w:bidi="ar"/>
        </w:rPr>
        <w:t>〕</w:t>
      </w:r>
      <w:r>
        <w:rPr>
          <w:color w:val="auto"/>
          <w:kern w:val="0"/>
          <w:sz w:val="24"/>
          <w:highlight w:val="none"/>
          <w:lang w:bidi="ar"/>
        </w:rPr>
        <w:t>125</w:t>
      </w:r>
      <w:r>
        <w:rPr>
          <w:rFonts w:hint="eastAsia" w:cs="宋体"/>
          <w:color w:val="auto"/>
          <w:kern w:val="0"/>
          <w:sz w:val="24"/>
          <w:highlight w:val="none"/>
          <w:lang w:bidi="ar"/>
        </w:rPr>
        <w:t>号）的相关要求。</w:t>
      </w:r>
    </w:p>
    <w:p>
      <w:pPr>
        <w:pStyle w:val="18"/>
        <w:adjustRightInd w:val="0"/>
        <w:snapToGrid w:val="0"/>
        <w:spacing w:line="360" w:lineRule="auto"/>
        <w:ind w:firstLine="482" w:firstLineChars="200"/>
        <w:rPr>
          <w:b/>
          <w:bCs/>
          <w:color w:val="auto"/>
          <w:sz w:val="24"/>
          <w:highlight w:val="none"/>
        </w:rPr>
      </w:pPr>
      <w:r>
        <w:rPr>
          <w:rFonts w:hint="eastAsia"/>
          <w:b/>
          <w:bCs/>
          <w:color w:val="auto"/>
          <w:sz w:val="24"/>
          <w:highlight w:val="none"/>
        </w:rPr>
        <w:t>（</w:t>
      </w:r>
      <w:r>
        <w:rPr>
          <w:rFonts w:hint="eastAsia"/>
          <w:b/>
          <w:bCs/>
          <w:color w:val="auto"/>
          <w:sz w:val="24"/>
          <w:highlight w:val="none"/>
          <w:lang w:val="en-US" w:eastAsia="zh-CN"/>
        </w:rPr>
        <w:t>2</w:t>
      </w:r>
      <w:r>
        <w:rPr>
          <w:rFonts w:hint="eastAsia"/>
          <w:b/>
          <w:bCs/>
          <w:color w:val="auto"/>
          <w:sz w:val="24"/>
          <w:highlight w:val="none"/>
        </w:rPr>
        <w:t>）项目与《2020年挥发性有机物治理攻坚方案》符合性分析</w:t>
      </w:r>
    </w:p>
    <w:p>
      <w:pPr>
        <w:widowControl/>
        <w:adjustRightInd w:val="0"/>
        <w:snapToGrid w:val="0"/>
        <w:spacing w:line="360" w:lineRule="auto"/>
        <w:ind w:firstLine="480" w:firstLineChars="200"/>
        <w:rPr>
          <w:color w:val="auto"/>
          <w:sz w:val="24"/>
          <w:highlight w:val="none"/>
        </w:rPr>
      </w:pPr>
      <w:r>
        <w:rPr>
          <w:rFonts w:hint="eastAsia"/>
          <w:color w:val="auto"/>
          <w:sz w:val="24"/>
          <w:highlight w:val="none"/>
        </w:rPr>
        <w:t>根据生态环境部关于印发《2020年挥发性有机物治理攻坚方案》的通知（环大气[2020]33号）</w:t>
      </w:r>
      <w:r>
        <w:rPr>
          <w:color w:val="auto"/>
          <w:sz w:val="24"/>
          <w:highlight w:val="none"/>
        </w:rPr>
        <w:t>文件中第</w:t>
      </w:r>
      <w:r>
        <w:rPr>
          <w:rFonts w:hint="eastAsia"/>
          <w:color w:val="auto"/>
          <w:sz w:val="24"/>
          <w:highlight w:val="none"/>
        </w:rPr>
        <w:t>一</w:t>
      </w:r>
      <w:r>
        <w:rPr>
          <w:color w:val="auto"/>
          <w:sz w:val="24"/>
          <w:highlight w:val="none"/>
        </w:rPr>
        <w:t>条</w:t>
      </w:r>
      <w:r>
        <w:rPr>
          <w:rFonts w:hint="eastAsia"/>
          <w:color w:val="auto"/>
          <w:sz w:val="24"/>
          <w:highlight w:val="none"/>
        </w:rPr>
        <w:t>：“</w:t>
      </w:r>
      <w:r>
        <w:rPr>
          <w:rFonts w:cs="微软雅黑"/>
          <w:color w:val="auto"/>
          <w:sz w:val="24"/>
          <w:szCs w:val="19"/>
          <w:highlight w:val="none"/>
          <w:shd w:val="clear" w:color="auto" w:fill="FFFFFF"/>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w:t>
      </w:r>
      <w:r>
        <w:rPr>
          <w:rFonts w:hint="eastAsia"/>
          <w:color w:val="auto"/>
          <w:sz w:val="24"/>
          <w:highlight w:val="none"/>
        </w:rPr>
        <w:t>”</w:t>
      </w:r>
    </w:p>
    <w:p>
      <w:pPr>
        <w:widowControl/>
        <w:spacing w:line="360" w:lineRule="auto"/>
        <w:ind w:firstLine="480" w:firstLineChars="200"/>
        <w:rPr>
          <w:color w:val="auto"/>
          <w:sz w:val="24"/>
          <w:highlight w:val="none"/>
        </w:rPr>
      </w:pPr>
      <w:r>
        <w:rPr>
          <w:rFonts w:hint="eastAsia"/>
          <w:color w:val="auto"/>
          <w:sz w:val="24"/>
          <w:highlight w:val="none"/>
        </w:rPr>
        <w:t>本项</w:t>
      </w:r>
      <w:r>
        <w:rPr>
          <w:rFonts w:hint="eastAsia" w:ascii="Times New Roman" w:hAnsi="Times New Roman" w:eastAsia="宋体" w:cs="宋体"/>
          <w:color w:val="auto"/>
          <w:kern w:val="0"/>
          <w:sz w:val="24"/>
          <w:szCs w:val="21"/>
          <w:highlight w:val="none"/>
          <w:lang w:bidi="ar"/>
        </w:rPr>
        <w:t>目为</w:t>
      </w:r>
      <w:r>
        <w:rPr>
          <w:rFonts w:hint="eastAsia" w:ascii="Times New Roman" w:hAnsi="Times New Roman" w:eastAsia="宋体" w:cs="宋体"/>
          <w:color w:val="auto"/>
          <w:kern w:val="0"/>
          <w:sz w:val="24"/>
          <w:szCs w:val="21"/>
          <w:highlight w:val="none"/>
          <w:lang w:val="en-US" w:eastAsia="zh-CN" w:bidi="ar"/>
        </w:rPr>
        <w:t>塑料包装箱及容器制造</w:t>
      </w:r>
      <w:r>
        <w:rPr>
          <w:rFonts w:hint="eastAsia" w:ascii="Times New Roman" w:hAnsi="Times New Roman" w:eastAsia="宋体" w:cs="宋体"/>
          <w:color w:val="auto"/>
          <w:kern w:val="0"/>
          <w:sz w:val="24"/>
          <w:szCs w:val="21"/>
          <w:highlight w:val="none"/>
          <w:lang w:bidi="ar"/>
        </w:rPr>
        <w:t>项目。有机废气</w:t>
      </w:r>
      <w:r>
        <w:rPr>
          <w:rFonts w:hint="eastAsia" w:cs="宋体"/>
          <w:color w:val="auto"/>
          <w:kern w:val="0"/>
          <w:sz w:val="24"/>
          <w:szCs w:val="21"/>
          <w:highlight w:val="none"/>
          <w:lang w:bidi="ar"/>
        </w:rPr>
        <w:t>经</w:t>
      </w:r>
      <w:r>
        <w:rPr>
          <w:color w:val="auto"/>
          <w:sz w:val="24"/>
          <w:szCs w:val="21"/>
          <w:highlight w:val="none"/>
        </w:rPr>
        <w:t>“</w:t>
      </w:r>
      <w:r>
        <w:rPr>
          <w:rFonts w:hint="eastAsia"/>
          <w:color w:val="auto"/>
          <w:sz w:val="24"/>
          <w:szCs w:val="21"/>
          <w:highlight w:val="none"/>
          <w:lang w:val="en-US" w:eastAsia="zh-CN"/>
        </w:rPr>
        <w:t>三级活性炭吸附装置</w:t>
      </w:r>
      <w:r>
        <w:rPr>
          <w:color w:val="auto"/>
          <w:sz w:val="24"/>
          <w:szCs w:val="21"/>
          <w:highlight w:val="none"/>
        </w:rPr>
        <w:t>”处理</w:t>
      </w:r>
      <w:r>
        <w:rPr>
          <w:rFonts w:hint="eastAsia"/>
          <w:color w:val="auto"/>
          <w:sz w:val="24"/>
          <w:szCs w:val="21"/>
          <w:highlight w:val="none"/>
          <w:lang w:val="en-US" w:eastAsia="zh-CN"/>
        </w:rPr>
        <w:t>后</w:t>
      </w:r>
      <w:r>
        <w:rPr>
          <w:rFonts w:hint="eastAsia" w:cs="宋体"/>
          <w:color w:val="auto"/>
          <w:kern w:val="0"/>
          <w:sz w:val="24"/>
          <w:szCs w:val="21"/>
          <w:highlight w:val="none"/>
          <w:lang w:bidi="ar"/>
        </w:rPr>
        <w:t>，通过</w:t>
      </w:r>
      <w:r>
        <w:rPr>
          <w:rFonts w:hint="eastAsia"/>
          <w:color w:val="auto"/>
          <w:kern w:val="0"/>
          <w:sz w:val="24"/>
          <w:szCs w:val="21"/>
          <w:highlight w:val="none"/>
          <w:lang w:val="en-US" w:eastAsia="zh-CN" w:bidi="ar"/>
        </w:rPr>
        <w:t>15</w:t>
      </w:r>
      <w:r>
        <w:rPr>
          <w:color w:val="auto"/>
          <w:kern w:val="0"/>
          <w:sz w:val="24"/>
          <w:szCs w:val="21"/>
          <w:highlight w:val="none"/>
          <w:lang w:bidi="ar"/>
        </w:rPr>
        <w:t>m</w:t>
      </w:r>
      <w:r>
        <w:rPr>
          <w:rFonts w:hint="eastAsia" w:cs="宋体"/>
          <w:color w:val="auto"/>
          <w:kern w:val="0"/>
          <w:sz w:val="24"/>
          <w:szCs w:val="21"/>
          <w:highlight w:val="none"/>
          <w:lang w:bidi="ar"/>
        </w:rPr>
        <w:t>高排气筒有组织排放，</w:t>
      </w:r>
      <w:r>
        <w:rPr>
          <w:rFonts w:hint="eastAsia" w:cs="楷体"/>
          <w:color w:val="auto"/>
          <w:kern w:val="0"/>
          <w:sz w:val="24"/>
          <w:highlight w:val="none"/>
          <w:lang w:bidi="ar"/>
        </w:rPr>
        <w:t>处理后废气能够达到《合成树脂工业污染物排放标准》</w:t>
      </w:r>
      <w:r>
        <w:rPr>
          <w:color w:val="auto"/>
          <w:kern w:val="0"/>
          <w:sz w:val="24"/>
          <w:highlight w:val="none"/>
          <w:lang w:bidi="ar"/>
        </w:rPr>
        <w:t>(GB31572-2015)</w:t>
      </w:r>
      <w:r>
        <w:rPr>
          <w:rFonts w:hint="eastAsia" w:cs="宋体"/>
          <w:color w:val="auto"/>
          <w:kern w:val="0"/>
          <w:sz w:val="24"/>
          <w:highlight w:val="none"/>
          <w:lang w:bidi="ar"/>
        </w:rPr>
        <w:t>。</w:t>
      </w:r>
      <w:r>
        <w:rPr>
          <w:rFonts w:hint="eastAsia" w:cs="宋体"/>
          <w:color w:val="auto"/>
          <w:kern w:val="0"/>
          <w:sz w:val="24"/>
          <w:szCs w:val="21"/>
          <w:highlight w:val="none"/>
          <w:lang w:bidi="ar"/>
        </w:rPr>
        <w:t>项目投产后按照要求建立原辅材料台账。</w:t>
      </w:r>
      <w:r>
        <w:rPr>
          <w:color w:val="auto"/>
          <w:sz w:val="24"/>
          <w:highlight w:val="none"/>
        </w:rPr>
        <w:t>因此项目的建设符合</w:t>
      </w:r>
      <w:r>
        <w:rPr>
          <w:rFonts w:hint="eastAsia"/>
          <w:color w:val="auto"/>
          <w:sz w:val="24"/>
          <w:highlight w:val="none"/>
        </w:rPr>
        <w:t>生态环境部关于印发《2020年挥发性有机物治理攻坚方案》的通知（环大气[2020]33号）</w:t>
      </w:r>
      <w:r>
        <w:rPr>
          <w:color w:val="auto"/>
          <w:sz w:val="24"/>
          <w:highlight w:val="none"/>
        </w:rPr>
        <w:t>文件要求。</w:t>
      </w:r>
    </w:p>
    <w:p>
      <w:pPr>
        <w:keepNext/>
        <w:keepLines/>
        <w:spacing w:line="360" w:lineRule="auto"/>
        <w:rPr>
          <w:b/>
          <w:bCs/>
          <w:color w:val="auto"/>
          <w:sz w:val="24"/>
          <w:highlight w:val="none"/>
        </w:rPr>
      </w:pPr>
      <w:bookmarkStart w:id="745" w:name="_Toc3373041"/>
      <w:bookmarkStart w:id="746" w:name="_Toc3372331"/>
      <w:bookmarkStart w:id="747" w:name="_Toc3372884"/>
      <w:bookmarkStart w:id="748" w:name="_Toc6229865"/>
      <w:bookmarkStart w:id="749" w:name="_Toc75908585"/>
      <w:r>
        <w:rPr>
          <w:b/>
          <w:bCs/>
          <w:color w:val="auto"/>
          <w:sz w:val="24"/>
          <w:highlight w:val="none"/>
        </w:rPr>
        <w:t>3、与相关规划、环境管理政策符合性分析</w:t>
      </w:r>
      <w:bookmarkEnd w:id="745"/>
      <w:bookmarkEnd w:id="746"/>
      <w:bookmarkEnd w:id="747"/>
      <w:bookmarkEnd w:id="748"/>
      <w:bookmarkEnd w:id="749"/>
    </w:p>
    <w:p>
      <w:pPr>
        <w:tabs>
          <w:tab w:val="left" w:pos="3750"/>
        </w:tabs>
        <w:spacing w:line="360" w:lineRule="auto"/>
        <w:ind w:firstLine="482" w:firstLineChars="200"/>
        <w:rPr>
          <w:b/>
          <w:bCs/>
          <w:color w:val="auto"/>
          <w:sz w:val="24"/>
          <w:highlight w:val="none"/>
        </w:rPr>
      </w:pPr>
      <w:r>
        <w:rPr>
          <w:b/>
          <w:bCs/>
          <w:color w:val="auto"/>
          <w:sz w:val="24"/>
          <w:highlight w:val="none"/>
        </w:rPr>
        <w:t>1、与相关规划符合性分析</w:t>
      </w:r>
    </w:p>
    <w:p>
      <w:pPr>
        <w:spacing w:line="360" w:lineRule="auto"/>
        <w:ind w:firstLine="482" w:firstLineChars="200"/>
        <w:rPr>
          <w:b/>
          <w:bCs/>
          <w:color w:val="auto"/>
          <w:sz w:val="24"/>
          <w:highlight w:val="none"/>
        </w:rPr>
      </w:pPr>
      <w:r>
        <w:rPr>
          <w:b/>
          <w:bCs/>
          <w:color w:val="auto"/>
          <w:sz w:val="24"/>
          <w:highlight w:val="none"/>
        </w:rPr>
        <w:t>（1）项目与《</w:t>
      </w:r>
      <w:r>
        <w:rPr>
          <w:rFonts w:hint="eastAsia"/>
          <w:b/>
          <w:color w:val="auto"/>
          <w:sz w:val="24"/>
          <w:highlight w:val="none"/>
          <w:lang w:val="en-US" w:eastAsia="zh-CN"/>
        </w:rPr>
        <w:t>云南省主体功能区规划</w:t>
      </w:r>
      <w:r>
        <w:rPr>
          <w:b/>
          <w:bCs/>
          <w:color w:val="auto"/>
          <w:sz w:val="24"/>
          <w:highlight w:val="none"/>
        </w:rPr>
        <w:t>》</w:t>
      </w:r>
      <w:r>
        <w:rPr>
          <w:rFonts w:hint="eastAsia"/>
          <w:b/>
          <w:bCs/>
          <w:color w:val="auto"/>
          <w:sz w:val="24"/>
          <w:highlight w:val="none"/>
          <w:lang w:val="en-US" w:eastAsia="zh-CN"/>
        </w:rPr>
        <w:t>的</w:t>
      </w:r>
      <w:r>
        <w:rPr>
          <w:b/>
          <w:bCs/>
          <w:color w:val="auto"/>
          <w:sz w:val="24"/>
          <w:highlight w:val="none"/>
        </w:rPr>
        <w:t>符合性分析</w:t>
      </w:r>
    </w:p>
    <w:p>
      <w:pPr>
        <w:widowControl/>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根据云南省人民政府文件《云南省人民政府关于印发云南省主体功能区规划的通知》（云政发[2014]1号），项目所在地寻甸县属于国家层面重点开发区域（滇中地区）。该区域的功能定位为：我国面向西南开放</w:t>
      </w:r>
      <w:r>
        <w:rPr>
          <w:rFonts w:hint="eastAsia" w:cs="Times New Roman"/>
          <w:color w:val="auto"/>
          <w:sz w:val="24"/>
          <w:highlight w:val="none"/>
          <w:lang w:val="en-US" w:eastAsia="zh-CN"/>
        </w:rPr>
        <w:t>重要</w:t>
      </w:r>
      <w:r>
        <w:rPr>
          <w:rFonts w:hint="eastAsia" w:ascii="Times New Roman" w:hAnsi="Times New Roman" w:eastAsia="宋体" w:cs="Times New Roman"/>
          <w:color w:val="auto"/>
          <w:sz w:val="24"/>
          <w:highlight w:val="none"/>
          <w:lang w:val="en-US" w:eastAsia="zh-CN"/>
        </w:rPr>
        <w:t>桥头堡建设的核心区，连接东南亚、南亚国家的陆路交通枢纽，面向东南亚、南亚</w:t>
      </w:r>
      <w:r>
        <w:rPr>
          <w:rFonts w:hint="eastAsia" w:cs="Times New Roman"/>
          <w:color w:val="auto"/>
          <w:sz w:val="24"/>
          <w:highlight w:val="none"/>
          <w:lang w:val="en-US" w:eastAsia="zh-CN"/>
        </w:rPr>
        <w:t>对外开放</w:t>
      </w:r>
      <w:r>
        <w:rPr>
          <w:rFonts w:hint="eastAsia" w:ascii="Times New Roman" w:hAnsi="Times New Roman" w:eastAsia="宋体" w:cs="Times New Roman"/>
          <w:color w:val="auto"/>
          <w:sz w:val="24"/>
          <w:highlight w:val="none"/>
          <w:lang w:val="en-US" w:eastAsia="zh-CN"/>
        </w:rPr>
        <w:t>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我国西南地区重要的经济增长极。</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本项目为塑料制品制造项目，</w:t>
      </w:r>
      <w:r>
        <w:rPr>
          <w:rFonts w:hint="eastAsia" w:ascii="Times New Roman" w:hAnsi="Times New Roman" w:eastAsia="宋体" w:cs="Times New Roman"/>
          <w:color w:val="auto"/>
          <w:sz w:val="24"/>
          <w:highlight w:val="none"/>
          <w:lang w:val="en-US" w:eastAsia="zh-CN"/>
        </w:rPr>
        <w:t>有利于现代农业的发展，符合滇中地区功能定位，且项目运营期经配套相关环保设施后，废气、噪声、废水均能达标排放，固体废物处置率100%。因此，项目的建设与</w:t>
      </w:r>
      <w:r>
        <w:rPr>
          <w:rFonts w:hint="default" w:ascii="Times New Roman" w:hAnsi="Times New Roman" w:eastAsia="宋体" w:cs="Times New Roman"/>
          <w:color w:val="auto"/>
          <w:sz w:val="24"/>
          <w:highlight w:val="none"/>
        </w:rPr>
        <w:t>《云南省主体功能区规划》</w:t>
      </w:r>
      <w:r>
        <w:rPr>
          <w:rFonts w:hint="eastAsia" w:ascii="Times New Roman" w:hAnsi="Times New Roman" w:eastAsia="宋体" w:cs="Times New Roman"/>
          <w:color w:val="auto"/>
          <w:sz w:val="24"/>
          <w:highlight w:val="none"/>
          <w:lang w:val="en-US" w:eastAsia="zh-CN"/>
        </w:rPr>
        <w:t>相符合</w:t>
      </w:r>
      <w:r>
        <w:rPr>
          <w:rFonts w:hint="default" w:ascii="Times New Roman" w:hAnsi="Times New Roman" w:eastAsia="宋体" w:cs="Times New Roman"/>
          <w:color w:val="auto"/>
          <w:sz w:val="24"/>
          <w:highlight w:val="none"/>
        </w:rPr>
        <w:t>。</w:t>
      </w:r>
    </w:p>
    <w:p>
      <w:pPr>
        <w:widowControl/>
        <w:spacing w:line="360" w:lineRule="auto"/>
        <w:ind w:firstLine="480" w:firstLineChars="200"/>
        <w:rPr>
          <w:rFonts w:hint="eastAsia" w:ascii="Times New Roman" w:hAnsi="Times New Roman" w:eastAsia="宋体" w:cs="Times New Roman"/>
          <w:color w:val="auto"/>
          <w:sz w:val="24"/>
          <w:highlight w:val="none"/>
          <w:lang w:eastAsia="zh-CN"/>
        </w:rPr>
        <w:sectPr>
          <w:headerReference r:id="rId8" w:type="default"/>
          <w:footerReference r:id="rId9" w:type="default"/>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ascii="Times New Roman" w:hAnsi="Times New Roman" w:eastAsia="宋体" w:cs="Times New Roman"/>
          <w:b/>
          <w:bCs/>
          <w:color w:val="auto"/>
          <w:sz w:val="24"/>
          <w:highlight w:val="none"/>
        </w:rPr>
        <w:t>（2）</w:t>
      </w:r>
      <w:r>
        <w:rPr>
          <w:rFonts w:hint="eastAsia" w:ascii="Times New Roman" w:hAnsi="Times New Roman" w:eastAsia="宋体" w:cs="Times New Roman"/>
          <w:b/>
          <w:bCs/>
          <w:color w:val="auto"/>
          <w:sz w:val="24"/>
          <w:highlight w:val="none"/>
          <w:lang w:val="en-US" w:eastAsia="zh-CN"/>
        </w:rPr>
        <w:t>与《云南省生态功能区划》符合性分析</w:t>
      </w:r>
    </w:p>
    <w:p>
      <w:pPr>
        <w:widowControl/>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根据《云南省生态功能区划》，项目所在地</w:t>
      </w:r>
      <w:r>
        <w:rPr>
          <w:rFonts w:hint="eastAsia" w:ascii="Times New Roman" w:hAnsi="Times New Roman" w:eastAsia="宋体" w:cs="Times New Roman"/>
          <w:color w:val="auto"/>
          <w:sz w:val="24"/>
          <w:highlight w:val="none"/>
          <w:lang w:val="en-US" w:eastAsia="zh-CN"/>
        </w:rPr>
        <w:t>寻甸县</w:t>
      </w:r>
      <w:r>
        <w:rPr>
          <w:rFonts w:hint="default" w:ascii="Times New Roman" w:hAnsi="Times New Roman" w:eastAsia="宋体" w:cs="Times New Roman"/>
          <w:color w:val="auto"/>
          <w:sz w:val="24"/>
          <w:highlight w:val="none"/>
          <w:lang w:eastAsia="zh-CN"/>
        </w:rPr>
        <w:t>属于《云南省生态功能区划》中划定的Ⅲ</w:t>
      </w:r>
      <w:r>
        <w:rPr>
          <w:rFonts w:hint="eastAsia" w:ascii="Times New Roman" w:hAnsi="Times New Roman" w:eastAsia="宋体" w:cs="Times New Roman"/>
          <w:color w:val="auto"/>
          <w:sz w:val="24"/>
          <w:highlight w:val="none"/>
          <w:lang w:val="en-US" w:eastAsia="zh-CN"/>
        </w:rPr>
        <w:t>1-9普渡河干流、小江上游水土保持生态功能区</w:t>
      </w:r>
      <w:r>
        <w:rPr>
          <w:rFonts w:hint="default" w:ascii="Times New Roman" w:hAnsi="Times New Roman" w:eastAsia="宋体" w:cs="Times New Roman"/>
          <w:color w:val="auto"/>
          <w:sz w:val="24"/>
          <w:highlight w:val="none"/>
          <w:lang w:eastAsia="zh-CN"/>
        </w:rPr>
        <w:t>。区内主要生态特征</w:t>
      </w:r>
      <w:r>
        <w:rPr>
          <w:rFonts w:hint="eastAsia" w:ascii="Times New Roman" w:hAnsi="Times New Roman" w:eastAsia="宋体" w:cs="Times New Roman"/>
          <w:color w:val="auto"/>
          <w:sz w:val="24"/>
          <w:highlight w:val="none"/>
          <w:lang w:eastAsia="zh-CN"/>
        </w:rPr>
        <w:t>以中山峡谷地貌为主。年降雨量在普渡河河谷为800毫米，高原面上为1200-1500 毫米，植被垂直地带性分布明显，现存植被以云南松林为主，土壤以红壤和紫色土为主。</w:t>
      </w:r>
      <w:r>
        <w:rPr>
          <w:rFonts w:hint="eastAsia" w:ascii="Times New Roman" w:hAnsi="Times New Roman" w:eastAsia="宋体" w:cs="Times New Roman"/>
          <w:color w:val="auto"/>
          <w:sz w:val="24"/>
          <w:highlight w:val="none"/>
          <w:lang w:val="en-US" w:eastAsia="zh-CN"/>
        </w:rPr>
        <w:t>以</w:t>
      </w:r>
      <w:r>
        <w:rPr>
          <w:rFonts w:hint="eastAsia" w:ascii="Times New Roman" w:hAnsi="Times New Roman" w:eastAsia="宋体" w:cs="Times New Roman"/>
          <w:color w:val="auto"/>
          <w:sz w:val="24"/>
          <w:highlight w:val="none"/>
          <w:lang w:eastAsia="zh-CN"/>
        </w:rPr>
        <w:t>普渡河和小江上游的水土保持</w:t>
      </w:r>
      <w:r>
        <w:rPr>
          <w:rFonts w:hint="eastAsia" w:ascii="Times New Roman" w:hAnsi="Times New Roman" w:eastAsia="宋体" w:cs="Times New Roman"/>
          <w:color w:val="auto"/>
          <w:sz w:val="24"/>
          <w:highlight w:val="none"/>
          <w:lang w:val="en-US" w:eastAsia="zh-CN"/>
        </w:rPr>
        <w:t>为主要生态系统服务功能。该生态功能区的保护措施与发展方向为：“</w:t>
      </w:r>
      <w:r>
        <w:rPr>
          <w:rFonts w:hint="default" w:ascii="Times New Roman" w:hAnsi="Times New Roman" w:eastAsia="宋体" w:cs="Times New Roman"/>
          <w:color w:val="auto"/>
          <w:sz w:val="24"/>
          <w:highlight w:val="none"/>
          <w:lang w:eastAsia="zh-CN"/>
        </w:rPr>
        <w:t>保护现有植被，加大封山育林的强度，营造水土保护林，严格退耕还林，提高区域的森林数量及质量</w:t>
      </w:r>
      <w:r>
        <w:rPr>
          <w:rFonts w:hint="eastAsia" w:ascii="Times New Roman" w:hAnsi="Times New Roman" w:eastAsia="宋体" w:cs="Times New Roman"/>
          <w:color w:val="auto"/>
          <w:sz w:val="24"/>
          <w:highlight w:val="none"/>
          <w:lang w:val="en-US" w:eastAsia="zh-CN"/>
        </w:rPr>
        <w:t>”。</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本项目建设</w:t>
      </w:r>
      <w:r>
        <w:rPr>
          <w:rFonts w:hint="eastAsia" w:ascii="Times New Roman" w:hAnsi="Times New Roman" w:eastAsia="宋体" w:cs="Times New Roman"/>
          <w:color w:val="auto"/>
          <w:sz w:val="24"/>
          <w:highlight w:val="none"/>
          <w:lang w:val="en-US" w:eastAsia="zh-CN"/>
        </w:rPr>
        <w:t>利用再生塑料颗粒</w:t>
      </w:r>
      <w:r>
        <w:rPr>
          <w:rFonts w:hint="eastAsia" w:cs="Times New Roman"/>
          <w:color w:val="auto"/>
          <w:sz w:val="24"/>
          <w:highlight w:val="none"/>
          <w:lang w:val="en-US" w:eastAsia="zh-CN"/>
        </w:rPr>
        <w:t>生产塑料框</w:t>
      </w:r>
      <w:r>
        <w:rPr>
          <w:rFonts w:hint="default" w:ascii="Times New Roman" w:hAnsi="Times New Roman" w:eastAsia="宋体" w:cs="Times New Roman"/>
          <w:color w:val="auto"/>
          <w:sz w:val="24"/>
          <w:highlight w:val="none"/>
        </w:rPr>
        <w:t>，项目建设用地租用已建厂房，不新增建设用地，未占用基本农田和公益林，项目建设与《云南省生态功能区划》不冲突。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highlight w:val="none"/>
        </w:rPr>
      </w:pPr>
      <w:r>
        <w:rPr>
          <w:rFonts w:hint="eastAsia"/>
          <w:b/>
          <w:color w:val="auto"/>
          <w:sz w:val="24"/>
          <w:highlight w:val="none"/>
          <w:lang w:eastAsia="zh-CN"/>
        </w:rPr>
        <w:t>（</w:t>
      </w:r>
      <w:r>
        <w:rPr>
          <w:rFonts w:hint="eastAsia"/>
          <w:b/>
          <w:color w:val="auto"/>
          <w:sz w:val="24"/>
          <w:highlight w:val="none"/>
          <w:lang w:val="en-US" w:eastAsia="zh-CN"/>
        </w:rPr>
        <w:t>3</w:t>
      </w:r>
      <w:r>
        <w:rPr>
          <w:rFonts w:hint="eastAsia"/>
          <w:b/>
          <w:color w:val="auto"/>
          <w:sz w:val="24"/>
          <w:highlight w:val="none"/>
          <w:lang w:eastAsia="zh-CN"/>
        </w:rPr>
        <w:t>）</w:t>
      </w:r>
      <w:r>
        <w:rPr>
          <w:b/>
          <w:color w:val="auto"/>
          <w:sz w:val="24"/>
          <w:highlight w:val="none"/>
        </w:rPr>
        <w:t>与《云南省牛栏江保护条例》符合性分析</w:t>
      </w:r>
    </w:p>
    <w:p>
      <w:pPr>
        <w:spacing w:line="360" w:lineRule="auto"/>
        <w:ind w:firstLine="480" w:firstLineChars="200"/>
        <w:rPr>
          <w:color w:val="auto"/>
          <w:sz w:val="24"/>
          <w:highlight w:val="none"/>
        </w:rPr>
      </w:pPr>
      <w:r>
        <w:rPr>
          <w:color w:val="auto"/>
          <w:sz w:val="24"/>
          <w:highlight w:val="none"/>
        </w:rPr>
        <w:t>根据2012年9月28日云南省第十一届人民代表大会常务委员会第三十四次会议通过的《云南省牛栏江保护条例》，规定中第一章第五条内容规定：牛栏江流域上游保护区划分为水源保护核心区、重点污染控制区和重点水源涵养区。</w:t>
      </w:r>
    </w:p>
    <w:p>
      <w:pPr>
        <w:spacing w:line="360" w:lineRule="auto"/>
        <w:ind w:firstLine="480" w:firstLineChars="200"/>
        <w:rPr>
          <w:color w:val="auto"/>
          <w:sz w:val="24"/>
          <w:highlight w:val="none"/>
        </w:rPr>
      </w:pPr>
      <w:r>
        <w:rPr>
          <w:color w:val="auto"/>
          <w:sz w:val="24"/>
          <w:highlight w:val="none"/>
        </w:rPr>
        <w:t>（一）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pPr>
        <w:spacing w:line="360" w:lineRule="auto"/>
        <w:ind w:firstLine="480" w:firstLineChars="200"/>
        <w:rPr>
          <w:color w:val="auto"/>
          <w:sz w:val="24"/>
          <w:highlight w:val="none"/>
        </w:rPr>
      </w:pPr>
      <w:r>
        <w:rPr>
          <w:color w:val="auto"/>
          <w:sz w:val="24"/>
          <w:highlight w:val="none"/>
        </w:rPr>
        <w:t>（二）重点污染控制区为水源保护核心区以外，流域范围内的坝区以及花庄河、果马河、普沙河、弥良河、对龙河、杨林河、匡郎河、前进河、马龙河水域及两岸外延3000米的区域，区域范围超过一级山脊线的，按照一级山脊线划定。</w:t>
      </w:r>
    </w:p>
    <w:p>
      <w:pPr>
        <w:spacing w:line="360" w:lineRule="auto"/>
        <w:ind w:firstLine="480" w:firstLineChars="200"/>
        <w:rPr>
          <w:color w:val="auto"/>
          <w:sz w:val="24"/>
          <w:highlight w:val="none"/>
        </w:rPr>
      </w:pPr>
      <w:r>
        <w:rPr>
          <w:color w:val="auto"/>
          <w:sz w:val="24"/>
          <w:highlight w:val="none"/>
        </w:rPr>
        <w:t>（三）重点水源涵养区为流域范围内除水源保护核心区、重点污染控制区以外的集水区域。</w:t>
      </w:r>
    </w:p>
    <w:p>
      <w:pPr>
        <w:spacing w:line="360" w:lineRule="auto"/>
        <w:ind w:firstLine="480" w:firstLineChars="200"/>
        <w:rPr>
          <w:color w:val="auto"/>
          <w:sz w:val="24"/>
          <w:highlight w:val="none"/>
        </w:rPr>
      </w:pPr>
      <w:r>
        <w:rPr>
          <w:color w:val="auto"/>
          <w:sz w:val="24"/>
          <w:highlight w:val="none"/>
        </w:rPr>
        <w:t>各区域禁止的行为分别为：</w:t>
      </w:r>
    </w:p>
    <w:p>
      <w:pPr>
        <w:spacing w:line="360" w:lineRule="auto"/>
        <w:ind w:firstLine="480" w:firstLineChars="200"/>
        <w:rPr>
          <w:color w:val="auto"/>
          <w:sz w:val="24"/>
          <w:highlight w:val="none"/>
        </w:rPr>
      </w:pPr>
      <w:r>
        <w:rPr>
          <w:color w:val="auto"/>
          <w:sz w:val="24"/>
          <w:highlight w:val="none"/>
        </w:rPr>
        <w:t>第三十二条  重点水源涵养区内禁止下列行为：</w:t>
      </w:r>
    </w:p>
    <w:p>
      <w:pPr>
        <w:spacing w:line="360" w:lineRule="auto"/>
        <w:ind w:firstLine="480" w:firstLineChars="200"/>
        <w:rPr>
          <w:color w:val="auto"/>
          <w:sz w:val="24"/>
          <w:highlight w:val="none"/>
        </w:rPr>
      </w:pPr>
      <w:r>
        <w:rPr>
          <w:color w:val="auto"/>
          <w:sz w:val="24"/>
          <w:highlight w:val="none"/>
        </w:rPr>
        <w:t>（一）盗伐、滥伐林木和破坏草地；</w:t>
      </w:r>
    </w:p>
    <w:p>
      <w:pPr>
        <w:spacing w:line="360" w:lineRule="auto"/>
        <w:ind w:firstLine="480" w:firstLineChars="200"/>
        <w:rPr>
          <w:color w:val="auto"/>
          <w:sz w:val="24"/>
          <w:highlight w:val="none"/>
        </w:rPr>
      </w:pPr>
      <w:r>
        <w:rPr>
          <w:color w:val="auto"/>
          <w:sz w:val="24"/>
          <w:highlight w:val="none"/>
        </w:rPr>
        <w:t>（二）使用高毒、高残留农药；</w:t>
      </w:r>
    </w:p>
    <w:p>
      <w:pPr>
        <w:spacing w:line="360" w:lineRule="auto"/>
        <w:ind w:firstLine="480" w:firstLineChars="200"/>
        <w:rPr>
          <w:color w:val="auto"/>
          <w:sz w:val="24"/>
          <w:highlight w:val="none"/>
        </w:rPr>
      </w:pPr>
      <w:r>
        <w:rPr>
          <w:color w:val="auto"/>
          <w:sz w:val="24"/>
          <w:highlight w:val="none"/>
        </w:rPr>
        <w:t>（三）利用溶洞、渗井、渗坑、裂隙排放、倾倒含有毒有害物质的废水、废渣；</w:t>
      </w:r>
    </w:p>
    <w:p>
      <w:pPr>
        <w:spacing w:line="360" w:lineRule="auto"/>
        <w:ind w:firstLine="480" w:firstLineChars="200"/>
        <w:rPr>
          <w:color w:val="auto"/>
          <w:sz w:val="24"/>
          <w:highlight w:val="none"/>
        </w:rPr>
      </w:pPr>
      <w:r>
        <w:rPr>
          <w:color w:val="auto"/>
          <w:sz w:val="24"/>
          <w:highlight w:val="none"/>
        </w:rPr>
        <w:t>（四）向水体排放废水、倾倒工业废渣、城镇垃圾或者其他废弃物；</w:t>
      </w:r>
    </w:p>
    <w:p>
      <w:pPr>
        <w:spacing w:line="360" w:lineRule="auto"/>
        <w:ind w:firstLine="480" w:firstLineChars="200"/>
        <w:rPr>
          <w:color w:val="auto"/>
          <w:sz w:val="24"/>
          <w:highlight w:val="none"/>
        </w:rPr>
      </w:pPr>
      <w:r>
        <w:rPr>
          <w:color w:val="auto"/>
          <w:sz w:val="24"/>
          <w:highlight w:val="none"/>
        </w:rPr>
        <w:t>（五）在江河、渠道、水库最高水位线以下的滩地、岸坡堆放、存贮固体废弃物或者其他污染物；</w:t>
      </w:r>
    </w:p>
    <w:p>
      <w:pPr>
        <w:spacing w:line="360" w:lineRule="auto"/>
        <w:ind w:firstLine="480" w:firstLineChars="200"/>
        <w:rPr>
          <w:color w:val="auto"/>
          <w:sz w:val="24"/>
          <w:highlight w:val="none"/>
        </w:rPr>
      </w:pPr>
      <w:r>
        <w:rPr>
          <w:color w:val="auto"/>
          <w:sz w:val="24"/>
          <w:highlight w:val="none"/>
        </w:rPr>
        <w:t>（六）利用无防渗漏措施的沟渠、坑塘等输送或者存贮含有毒污染物的废水、含病原体的污水或者其他废弃物。</w:t>
      </w:r>
    </w:p>
    <w:p>
      <w:pPr>
        <w:spacing w:line="360" w:lineRule="auto"/>
        <w:ind w:firstLine="480" w:firstLineChars="200"/>
        <w:rPr>
          <w:color w:val="auto"/>
          <w:sz w:val="24"/>
          <w:highlight w:val="none"/>
        </w:rPr>
      </w:pPr>
      <w:r>
        <w:rPr>
          <w:color w:val="auto"/>
          <w:sz w:val="24"/>
          <w:highlight w:val="none"/>
        </w:rPr>
        <w:t>第三十三条  重点污染控制区内除重点水源涵养区禁止的行为外，还禁止下列行为：</w:t>
      </w:r>
    </w:p>
    <w:p>
      <w:pPr>
        <w:spacing w:line="360" w:lineRule="auto"/>
        <w:ind w:firstLine="480" w:firstLineChars="200"/>
        <w:rPr>
          <w:color w:val="auto"/>
          <w:sz w:val="24"/>
          <w:highlight w:val="none"/>
        </w:rPr>
      </w:pPr>
      <w:r>
        <w:rPr>
          <w:color w:val="auto"/>
          <w:sz w:val="24"/>
          <w:highlight w:val="none"/>
        </w:rPr>
        <w:t>（一）新建、扩建工业园区；</w:t>
      </w:r>
    </w:p>
    <w:p>
      <w:pPr>
        <w:spacing w:line="360" w:lineRule="auto"/>
        <w:ind w:firstLine="480" w:firstLineChars="200"/>
        <w:rPr>
          <w:color w:val="auto"/>
          <w:sz w:val="24"/>
          <w:highlight w:val="none"/>
        </w:rPr>
      </w:pPr>
      <w:r>
        <w:rPr>
          <w:color w:val="auto"/>
          <w:sz w:val="24"/>
          <w:highlight w:val="none"/>
        </w:rPr>
        <w:t>（二）新建、扩建重点水污染物排放的工业项目；</w:t>
      </w:r>
    </w:p>
    <w:p>
      <w:pPr>
        <w:spacing w:line="360" w:lineRule="auto"/>
        <w:ind w:firstLine="480" w:firstLineChars="200"/>
        <w:rPr>
          <w:color w:val="auto"/>
          <w:sz w:val="24"/>
          <w:highlight w:val="none"/>
        </w:rPr>
      </w:pPr>
      <w:r>
        <w:rPr>
          <w:color w:val="auto"/>
          <w:sz w:val="24"/>
          <w:highlight w:val="none"/>
        </w:rPr>
        <w:t>（三）新建、改建、扩建经营性陵园、公墓。</w:t>
      </w:r>
    </w:p>
    <w:p>
      <w:pPr>
        <w:spacing w:line="360" w:lineRule="auto"/>
        <w:ind w:firstLine="480" w:firstLineChars="200"/>
        <w:rPr>
          <w:color w:val="auto"/>
          <w:sz w:val="24"/>
          <w:highlight w:val="none"/>
        </w:rPr>
      </w:pPr>
      <w:r>
        <w:rPr>
          <w:color w:val="auto"/>
          <w:sz w:val="24"/>
          <w:highlight w:val="none"/>
        </w:rPr>
        <w:t>第三十四条  水源保护核心区内除重点污染控制区、重点水源涵养区禁止的行为外，还禁止下列行为：</w:t>
      </w:r>
    </w:p>
    <w:p>
      <w:pPr>
        <w:spacing w:line="360" w:lineRule="auto"/>
        <w:ind w:firstLine="480" w:firstLineChars="200"/>
        <w:rPr>
          <w:color w:val="auto"/>
          <w:sz w:val="24"/>
          <w:highlight w:val="none"/>
        </w:rPr>
      </w:pPr>
      <w:r>
        <w:rPr>
          <w:color w:val="auto"/>
          <w:sz w:val="24"/>
          <w:highlight w:val="none"/>
        </w:rPr>
        <w:t>（一）新建、改建、扩建排污口；</w:t>
      </w:r>
    </w:p>
    <w:p>
      <w:pPr>
        <w:spacing w:line="360" w:lineRule="auto"/>
        <w:ind w:firstLine="480" w:firstLineChars="200"/>
        <w:rPr>
          <w:color w:val="auto"/>
          <w:sz w:val="24"/>
          <w:highlight w:val="none"/>
        </w:rPr>
      </w:pPr>
      <w:r>
        <w:rPr>
          <w:color w:val="auto"/>
          <w:sz w:val="24"/>
          <w:highlight w:val="none"/>
        </w:rPr>
        <w:t>（二）围河造地、围垦河道；</w:t>
      </w:r>
    </w:p>
    <w:p>
      <w:pPr>
        <w:spacing w:line="360" w:lineRule="auto"/>
        <w:ind w:firstLine="480" w:firstLineChars="200"/>
        <w:rPr>
          <w:color w:val="auto"/>
          <w:sz w:val="24"/>
          <w:highlight w:val="none"/>
        </w:rPr>
      </w:pPr>
      <w:r>
        <w:rPr>
          <w:color w:val="auto"/>
          <w:sz w:val="24"/>
          <w:highlight w:val="none"/>
        </w:rPr>
        <w:t>（三）围堰、围网、网箱养殖；</w:t>
      </w:r>
    </w:p>
    <w:p>
      <w:pPr>
        <w:spacing w:line="360" w:lineRule="auto"/>
        <w:ind w:firstLine="480" w:firstLineChars="200"/>
        <w:rPr>
          <w:color w:val="auto"/>
          <w:sz w:val="24"/>
          <w:highlight w:val="none"/>
        </w:rPr>
      </w:pPr>
      <w:r>
        <w:rPr>
          <w:color w:val="auto"/>
          <w:sz w:val="24"/>
          <w:highlight w:val="none"/>
        </w:rPr>
        <w:t>（四）规模化畜禽养殖；</w:t>
      </w:r>
    </w:p>
    <w:p>
      <w:pPr>
        <w:spacing w:line="360" w:lineRule="auto"/>
        <w:ind w:firstLine="480" w:firstLineChars="200"/>
        <w:rPr>
          <w:color w:val="auto"/>
          <w:sz w:val="24"/>
          <w:highlight w:val="none"/>
        </w:rPr>
      </w:pPr>
      <w:r>
        <w:rPr>
          <w:color w:val="auto"/>
          <w:sz w:val="24"/>
          <w:highlight w:val="none"/>
        </w:rPr>
        <w:t>（五）损毁水利、水文、科研、气象、测量、环境监测等设施设备；</w:t>
      </w:r>
    </w:p>
    <w:p>
      <w:pPr>
        <w:spacing w:line="360" w:lineRule="auto"/>
        <w:ind w:firstLine="480" w:firstLineChars="200"/>
        <w:rPr>
          <w:color w:val="auto"/>
          <w:sz w:val="24"/>
          <w:highlight w:val="none"/>
        </w:rPr>
      </w:pPr>
      <w:r>
        <w:rPr>
          <w:color w:val="auto"/>
          <w:sz w:val="24"/>
          <w:highlight w:val="none"/>
        </w:rPr>
        <w:t>（六）挖砂、采石、取土、采矿。</w:t>
      </w:r>
    </w:p>
    <w:p>
      <w:pPr>
        <w:spacing w:line="360" w:lineRule="auto"/>
        <w:ind w:firstLine="480" w:firstLineChars="200"/>
        <w:rPr>
          <w:color w:val="auto"/>
          <w:sz w:val="24"/>
          <w:highlight w:val="none"/>
        </w:rPr>
      </w:pPr>
      <w:r>
        <w:rPr>
          <w:color w:val="auto"/>
          <w:sz w:val="24"/>
          <w:highlight w:val="none"/>
        </w:rPr>
        <w:t>根据与牛栏江水环境规划图对比，项目区位于牛栏江支流前进河流域，属于牛栏江重点污染控制区，项目与《云南省牛栏江保护条例》重点污染控制区内禁止行为对比情况如下表所示。</w:t>
      </w:r>
    </w:p>
    <w:p>
      <w:pPr>
        <w:widowControl/>
        <w:spacing w:line="360" w:lineRule="auto"/>
        <w:jc w:val="center"/>
        <w:rPr>
          <w:b/>
          <w:color w:val="auto"/>
          <w:sz w:val="24"/>
          <w:highlight w:val="none"/>
        </w:rPr>
      </w:pPr>
      <w:r>
        <w:rPr>
          <w:b/>
          <w:color w:val="auto"/>
          <w:sz w:val="24"/>
          <w:highlight w:val="none"/>
        </w:rPr>
        <w:t>表</w:t>
      </w:r>
      <w:r>
        <w:rPr>
          <w:rFonts w:hint="eastAsia"/>
          <w:b/>
          <w:color w:val="auto"/>
          <w:sz w:val="24"/>
          <w:highlight w:val="none"/>
        </w:rPr>
        <w:t>8.2</w:t>
      </w:r>
      <w:r>
        <w:rPr>
          <w:b/>
          <w:color w:val="auto"/>
          <w:sz w:val="24"/>
          <w:highlight w:val="none"/>
        </w:rPr>
        <w:t>-</w:t>
      </w:r>
      <w:r>
        <w:rPr>
          <w:rFonts w:hint="eastAsia"/>
          <w:b/>
          <w:color w:val="auto"/>
          <w:sz w:val="24"/>
          <w:highlight w:val="none"/>
          <w:lang w:val="en-US" w:eastAsia="zh-CN"/>
        </w:rPr>
        <w:t>2</w:t>
      </w:r>
      <w:r>
        <w:rPr>
          <w:b/>
          <w:color w:val="auto"/>
          <w:sz w:val="24"/>
          <w:highlight w:val="none"/>
        </w:rPr>
        <w:t xml:space="preserve">  项目选址与《云南省牛栏江保护条例》对照分析</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3179"/>
        <w:gridCol w:w="3662"/>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Align w:val="center"/>
          </w:tcPr>
          <w:p>
            <w:pPr>
              <w:jc w:val="center"/>
              <w:rPr>
                <w:b/>
                <w:bCs/>
                <w:color w:val="auto"/>
                <w:szCs w:val="21"/>
                <w:highlight w:val="none"/>
              </w:rPr>
            </w:pPr>
            <w:r>
              <w:rPr>
                <w:b/>
                <w:bCs/>
                <w:color w:val="auto"/>
                <w:szCs w:val="21"/>
                <w:highlight w:val="none"/>
              </w:rPr>
              <w:t>保护区划分</w:t>
            </w:r>
          </w:p>
        </w:tc>
        <w:tc>
          <w:tcPr>
            <w:tcW w:w="3179" w:type="dxa"/>
            <w:vAlign w:val="center"/>
          </w:tcPr>
          <w:p>
            <w:pPr>
              <w:jc w:val="center"/>
              <w:rPr>
                <w:b/>
                <w:bCs/>
                <w:color w:val="auto"/>
                <w:szCs w:val="21"/>
                <w:highlight w:val="none"/>
              </w:rPr>
            </w:pPr>
            <w:r>
              <w:rPr>
                <w:b/>
                <w:bCs/>
                <w:color w:val="auto"/>
                <w:szCs w:val="21"/>
                <w:highlight w:val="none"/>
              </w:rPr>
              <w:t>禁止行为</w:t>
            </w:r>
          </w:p>
        </w:tc>
        <w:tc>
          <w:tcPr>
            <w:tcW w:w="3662" w:type="dxa"/>
            <w:vAlign w:val="center"/>
          </w:tcPr>
          <w:p>
            <w:pPr>
              <w:jc w:val="center"/>
              <w:rPr>
                <w:b/>
                <w:bCs/>
                <w:color w:val="auto"/>
                <w:szCs w:val="21"/>
                <w:highlight w:val="none"/>
              </w:rPr>
            </w:pPr>
            <w:r>
              <w:rPr>
                <w:b/>
                <w:bCs/>
                <w:color w:val="auto"/>
                <w:szCs w:val="21"/>
                <w:highlight w:val="none"/>
              </w:rPr>
              <w:t>建设内容</w:t>
            </w:r>
          </w:p>
        </w:tc>
        <w:tc>
          <w:tcPr>
            <w:tcW w:w="816" w:type="dxa"/>
            <w:vAlign w:val="center"/>
          </w:tcPr>
          <w:p>
            <w:pPr>
              <w:jc w:val="center"/>
              <w:rPr>
                <w:b/>
                <w:bCs/>
                <w:color w:val="auto"/>
                <w:szCs w:val="21"/>
                <w:highlight w:val="none"/>
              </w:rPr>
            </w:pPr>
            <w:r>
              <w:rPr>
                <w:b/>
                <w:bCs/>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restart"/>
            <w:vAlign w:val="center"/>
          </w:tcPr>
          <w:p>
            <w:pPr>
              <w:jc w:val="center"/>
              <w:rPr>
                <w:color w:val="auto"/>
                <w:szCs w:val="21"/>
                <w:highlight w:val="none"/>
              </w:rPr>
            </w:pPr>
            <w:r>
              <w:rPr>
                <w:color w:val="auto"/>
                <w:szCs w:val="21"/>
                <w:highlight w:val="none"/>
              </w:rPr>
              <w:t>重点污染控制区</w:t>
            </w:r>
          </w:p>
        </w:tc>
        <w:tc>
          <w:tcPr>
            <w:tcW w:w="3179" w:type="dxa"/>
            <w:vAlign w:val="center"/>
          </w:tcPr>
          <w:p>
            <w:pPr>
              <w:jc w:val="center"/>
              <w:rPr>
                <w:color w:val="auto"/>
                <w:szCs w:val="21"/>
                <w:highlight w:val="none"/>
              </w:rPr>
            </w:pPr>
            <w:r>
              <w:rPr>
                <w:color w:val="auto"/>
                <w:szCs w:val="21"/>
                <w:highlight w:val="none"/>
              </w:rPr>
              <w:t>（一）盗伐、滥伐林木和破坏草地；</w:t>
            </w:r>
          </w:p>
        </w:tc>
        <w:tc>
          <w:tcPr>
            <w:tcW w:w="3662" w:type="dxa"/>
            <w:vAlign w:val="center"/>
          </w:tcPr>
          <w:p>
            <w:pPr>
              <w:jc w:val="center"/>
              <w:rPr>
                <w:color w:val="auto"/>
                <w:szCs w:val="21"/>
                <w:highlight w:val="none"/>
              </w:rPr>
            </w:pPr>
            <w:r>
              <w:rPr>
                <w:color w:val="auto"/>
                <w:szCs w:val="21"/>
                <w:highlight w:val="none"/>
              </w:rPr>
              <w:t>项目</w:t>
            </w:r>
            <w:r>
              <w:rPr>
                <w:rFonts w:hint="eastAsia"/>
                <w:color w:val="auto"/>
                <w:szCs w:val="21"/>
                <w:highlight w:val="none"/>
                <w:lang w:val="en-US" w:eastAsia="zh-CN"/>
              </w:rPr>
              <w:t>位于寻甸县原三月三铸造厂</w:t>
            </w:r>
            <w:r>
              <w:rPr>
                <w:color w:val="auto"/>
                <w:szCs w:val="21"/>
                <w:highlight w:val="none"/>
              </w:rPr>
              <w:t>，</w:t>
            </w:r>
            <w:r>
              <w:rPr>
                <w:rFonts w:hint="eastAsia"/>
                <w:color w:val="auto"/>
                <w:szCs w:val="21"/>
                <w:highlight w:val="none"/>
                <w:lang w:val="en-US" w:eastAsia="zh-CN"/>
              </w:rPr>
              <w:t>厂房为原铸造厂已建厂房，</w:t>
            </w:r>
            <w:r>
              <w:rPr>
                <w:color w:val="auto"/>
                <w:szCs w:val="21"/>
                <w:highlight w:val="none"/>
              </w:rPr>
              <w:t>不涉及盗伐、滥伐林木和破坏草地。</w:t>
            </w: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jc w:val="center"/>
              <w:rPr>
                <w:color w:val="auto"/>
                <w:szCs w:val="21"/>
                <w:highlight w:val="none"/>
              </w:rPr>
            </w:pPr>
            <w:r>
              <w:rPr>
                <w:color w:val="auto"/>
                <w:szCs w:val="21"/>
                <w:highlight w:val="none"/>
              </w:rPr>
              <w:t>（二）使用高毒、高残留农药；</w:t>
            </w:r>
          </w:p>
        </w:tc>
        <w:tc>
          <w:tcPr>
            <w:tcW w:w="366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项目</w:t>
            </w:r>
            <w:r>
              <w:rPr>
                <w:color w:val="auto"/>
                <w:szCs w:val="21"/>
                <w:highlight w:val="none"/>
              </w:rPr>
              <w:t>不涉及</w:t>
            </w:r>
            <w:r>
              <w:rPr>
                <w:rFonts w:hint="eastAsia"/>
                <w:color w:val="auto"/>
                <w:szCs w:val="21"/>
                <w:highlight w:val="none"/>
                <w:lang w:val="en-US" w:eastAsia="zh-CN"/>
              </w:rPr>
              <w:t>高毒、高残留农药</w:t>
            </w: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jc w:val="center"/>
              <w:rPr>
                <w:color w:val="auto"/>
                <w:szCs w:val="21"/>
                <w:highlight w:val="none"/>
              </w:rPr>
            </w:pPr>
            <w:r>
              <w:rPr>
                <w:color w:val="auto"/>
                <w:szCs w:val="21"/>
                <w:highlight w:val="none"/>
              </w:rPr>
              <w:t>（三）利用溶洞、渗井、渗坑、裂隙排放、倾倒含有毒有害物质的废水、废渣；</w:t>
            </w:r>
          </w:p>
        </w:tc>
        <w:tc>
          <w:tcPr>
            <w:tcW w:w="3662" w:type="dxa"/>
            <w:vMerge w:val="restart"/>
            <w:vAlign w:val="center"/>
          </w:tcPr>
          <w:p>
            <w:pPr>
              <w:jc w:val="center"/>
              <w:rPr>
                <w:color w:val="auto"/>
                <w:szCs w:val="21"/>
                <w:highlight w:val="none"/>
              </w:rPr>
            </w:pPr>
            <w:r>
              <w:rPr>
                <w:color w:val="auto"/>
                <w:szCs w:val="21"/>
                <w:highlight w:val="none"/>
              </w:rPr>
              <w:t>1.项目无废水外排。</w:t>
            </w:r>
          </w:p>
          <w:p>
            <w:pPr>
              <w:jc w:val="center"/>
              <w:rPr>
                <w:color w:val="auto"/>
                <w:szCs w:val="21"/>
                <w:highlight w:val="none"/>
              </w:rPr>
            </w:pPr>
            <w:r>
              <w:rPr>
                <w:color w:val="auto"/>
                <w:szCs w:val="21"/>
                <w:highlight w:val="none"/>
              </w:rPr>
              <w:t>2.项目所有固体废弃物均得到合理有效的利用和处置，处置率为100%，</w:t>
            </w: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jc w:val="center"/>
              <w:rPr>
                <w:color w:val="auto"/>
                <w:szCs w:val="21"/>
                <w:highlight w:val="none"/>
              </w:rPr>
            </w:pPr>
            <w:r>
              <w:rPr>
                <w:color w:val="auto"/>
                <w:szCs w:val="21"/>
                <w:highlight w:val="none"/>
              </w:rPr>
              <w:t>（四）向水体排放废水、倾倒工业废渣、城镇垃圾或者其他废弃物；</w:t>
            </w:r>
          </w:p>
        </w:tc>
        <w:tc>
          <w:tcPr>
            <w:tcW w:w="3662" w:type="dxa"/>
            <w:vMerge w:val="continue"/>
            <w:vAlign w:val="center"/>
          </w:tcPr>
          <w:p>
            <w:pPr>
              <w:jc w:val="center"/>
              <w:rPr>
                <w:color w:val="auto"/>
                <w:szCs w:val="21"/>
                <w:highlight w:val="none"/>
              </w:rPr>
            </w:pP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jc w:val="center"/>
              <w:rPr>
                <w:color w:val="auto"/>
                <w:szCs w:val="21"/>
                <w:highlight w:val="none"/>
              </w:rPr>
            </w:pPr>
            <w:r>
              <w:rPr>
                <w:color w:val="auto"/>
                <w:szCs w:val="21"/>
                <w:highlight w:val="none"/>
              </w:rPr>
              <w:t>（五）在江河、渠道、水库最高水位线以下的滩地、岸坡堆放、存贮固体废弃物或者其他污染物；</w:t>
            </w:r>
          </w:p>
        </w:tc>
        <w:tc>
          <w:tcPr>
            <w:tcW w:w="3662" w:type="dxa"/>
            <w:vAlign w:val="center"/>
          </w:tcPr>
          <w:p>
            <w:pPr>
              <w:jc w:val="center"/>
              <w:rPr>
                <w:color w:val="auto"/>
                <w:szCs w:val="21"/>
                <w:highlight w:val="none"/>
              </w:rPr>
            </w:pPr>
            <w:r>
              <w:rPr>
                <w:color w:val="auto"/>
                <w:szCs w:val="21"/>
                <w:highlight w:val="none"/>
              </w:rPr>
              <w:t>项目设置</w:t>
            </w:r>
            <w:r>
              <w:rPr>
                <w:rFonts w:hint="eastAsia"/>
                <w:color w:val="auto"/>
                <w:szCs w:val="21"/>
                <w:highlight w:val="none"/>
              </w:rPr>
              <w:t>危废暂存间</w:t>
            </w:r>
            <w:r>
              <w:rPr>
                <w:color w:val="auto"/>
                <w:szCs w:val="21"/>
                <w:highlight w:val="none"/>
              </w:rPr>
              <w:t>暂存危险废物并委托有资质单位进行处置危险废物，危险废物的贮存设施的选址与设计、运行与管理、安全防护、环境监测及应急措施以及关闭等遵循《危险废物贮存污染控制标准》（GB18597-20</w:t>
            </w:r>
            <w:r>
              <w:rPr>
                <w:rFonts w:hint="eastAsia"/>
                <w:color w:val="auto"/>
                <w:szCs w:val="21"/>
                <w:highlight w:val="none"/>
                <w:lang w:val="en-US" w:eastAsia="zh-CN"/>
              </w:rPr>
              <w:t>23</w:t>
            </w:r>
            <w:r>
              <w:rPr>
                <w:color w:val="auto"/>
                <w:szCs w:val="21"/>
                <w:highlight w:val="none"/>
              </w:rPr>
              <w:t>）</w:t>
            </w:r>
            <w:r>
              <w:rPr>
                <w:rFonts w:hint="eastAsia"/>
                <w:color w:val="auto"/>
                <w:szCs w:val="21"/>
                <w:highlight w:val="none"/>
                <w:lang w:val="en-US" w:eastAsia="zh-CN"/>
              </w:rPr>
              <w:t>要求</w:t>
            </w:r>
            <w:r>
              <w:rPr>
                <w:color w:val="auto"/>
                <w:szCs w:val="21"/>
                <w:highlight w:val="none"/>
              </w:rPr>
              <w:t>。</w:t>
            </w: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jc w:val="center"/>
              <w:rPr>
                <w:color w:val="auto"/>
                <w:szCs w:val="21"/>
                <w:highlight w:val="none"/>
              </w:rPr>
            </w:pPr>
            <w:r>
              <w:rPr>
                <w:color w:val="auto"/>
                <w:szCs w:val="21"/>
                <w:highlight w:val="none"/>
              </w:rPr>
              <w:t>（六）利用无防渗漏措施的沟渠、坑塘等输送或者存贮含有毒污染物的废水、含病原体的污水或者其他废弃物。</w:t>
            </w:r>
          </w:p>
        </w:tc>
        <w:tc>
          <w:tcPr>
            <w:tcW w:w="3662" w:type="dxa"/>
            <w:vAlign w:val="center"/>
          </w:tcPr>
          <w:p>
            <w:pPr>
              <w:jc w:val="center"/>
              <w:rPr>
                <w:color w:val="auto"/>
                <w:szCs w:val="21"/>
                <w:highlight w:val="none"/>
              </w:rPr>
            </w:pPr>
            <w:r>
              <w:rPr>
                <w:color w:val="auto"/>
                <w:szCs w:val="21"/>
                <w:highlight w:val="none"/>
              </w:rPr>
              <w:t>项目不产生含有毒、病原体的污水，项目各污染物均得到妥善处置，无此行为</w:t>
            </w: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rPr>
                <w:color w:val="auto"/>
                <w:szCs w:val="21"/>
                <w:highlight w:val="none"/>
              </w:rPr>
            </w:pPr>
            <w:r>
              <w:rPr>
                <w:color w:val="auto"/>
                <w:szCs w:val="21"/>
                <w:highlight w:val="none"/>
              </w:rPr>
              <w:t>（七）新建、扩建工业园区；</w:t>
            </w:r>
          </w:p>
        </w:tc>
        <w:tc>
          <w:tcPr>
            <w:tcW w:w="3662" w:type="dxa"/>
            <w:vAlign w:val="center"/>
          </w:tcPr>
          <w:p>
            <w:pPr>
              <w:jc w:val="center"/>
              <w:rPr>
                <w:color w:val="auto"/>
                <w:szCs w:val="21"/>
                <w:highlight w:val="none"/>
              </w:rPr>
            </w:pPr>
            <w:r>
              <w:rPr>
                <w:color w:val="auto"/>
                <w:szCs w:val="21"/>
                <w:highlight w:val="none"/>
              </w:rPr>
              <w:t>无此行为。</w:t>
            </w: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jc w:val="center"/>
              <w:rPr>
                <w:color w:val="auto"/>
                <w:szCs w:val="21"/>
                <w:highlight w:val="none"/>
              </w:rPr>
            </w:pPr>
            <w:r>
              <w:rPr>
                <w:color w:val="auto"/>
                <w:szCs w:val="21"/>
                <w:highlight w:val="none"/>
              </w:rPr>
              <w:t>（八）新建、扩建重点水污染物排放的工业项目；</w:t>
            </w:r>
          </w:p>
        </w:tc>
        <w:tc>
          <w:tcPr>
            <w:tcW w:w="3662" w:type="dxa"/>
            <w:vAlign w:val="center"/>
          </w:tcPr>
          <w:p>
            <w:pPr>
              <w:jc w:val="center"/>
              <w:rPr>
                <w:color w:val="auto"/>
                <w:szCs w:val="21"/>
                <w:highlight w:val="none"/>
              </w:rPr>
            </w:pPr>
            <w:r>
              <w:rPr>
                <w:color w:val="auto"/>
                <w:szCs w:val="21"/>
                <w:highlight w:val="none"/>
              </w:rPr>
              <w:t>项目不是重点水污染物排放的工业项目。</w:t>
            </w:r>
          </w:p>
        </w:tc>
        <w:tc>
          <w:tcPr>
            <w:tcW w:w="816"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jc w:val="center"/>
              <w:rPr>
                <w:color w:val="auto"/>
                <w:szCs w:val="21"/>
                <w:highlight w:val="none"/>
              </w:rPr>
            </w:pPr>
          </w:p>
        </w:tc>
        <w:tc>
          <w:tcPr>
            <w:tcW w:w="3179" w:type="dxa"/>
            <w:vAlign w:val="center"/>
          </w:tcPr>
          <w:p>
            <w:pPr>
              <w:jc w:val="center"/>
              <w:rPr>
                <w:color w:val="auto"/>
                <w:szCs w:val="21"/>
                <w:highlight w:val="none"/>
              </w:rPr>
            </w:pPr>
            <w:r>
              <w:rPr>
                <w:color w:val="auto"/>
                <w:szCs w:val="21"/>
                <w:highlight w:val="none"/>
              </w:rPr>
              <w:t>（九）新建、改建、扩建经营性陵园、公墓。</w:t>
            </w:r>
          </w:p>
        </w:tc>
        <w:tc>
          <w:tcPr>
            <w:tcW w:w="3662" w:type="dxa"/>
            <w:vAlign w:val="center"/>
          </w:tcPr>
          <w:p>
            <w:pPr>
              <w:jc w:val="center"/>
              <w:rPr>
                <w:color w:val="auto"/>
                <w:szCs w:val="21"/>
                <w:highlight w:val="none"/>
              </w:rPr>
            </w:pPr>
            <w:r>
              <w:rPr>
                <w:color w:val="auto"/>
                <w:szCs w:val="21"/>
                <w:highlight w:val="none"/>
              </w:rPr>
              <w:t>无此行为。</w:t>
            </w:r>
          </w:p>
        </w:tc>
        <w:tc>
          <w:tcPr>
            <w:tcW w:w="816" w:type="dxa"/>
            <w:vAlign w:val="center"/>
          </w:tcPr>
          <w:p>
            <w:pPr>
              <w:jc w:val="center"/>
              <w:rPr>
                <w:color w:val="auto"/>
                <w:szCs w:val="21"/>
                <w:highlight w:val="none"/>
              </w:rPr>
            </w:pPr>
            <w:r>
              <w:rPr>
                <w:color w:val="auto"/>
                <w:szCs w:val="21"/>
                <w:highlight w:val="none"/>
              </w:rPr>
              <w:t>符合</w:t>
            </w:r>
          </w:p>
        </w:tc>
      </w:tr>
    </w:tbl>
    <w:p>
      <w:pPr>
        <w:spacing w:line="360" w:lineRule="auto"/>
        <w:ind w:firstLine="480" w:firstLineChars="200"/>
        <w:jc w:val="left"/>
        <w:rPr>
          <w:color w:val="auto"/>
          <w:sz w:val="24"/>
          <w:highlight w:val="none"/>
        </w:rPr>
      </w:pPr>
      <w:r>
        <w:rPr>
          <w:color w:val="auto"/>
          <w:sz w:val="24"/>
          <w:highlight w:val="none"/>
        </w:rPr>
        <w:t>综上所述，项目选址符合《云南省牛栏江保护条例》中的选址要求。</w:t>
      </w:r>
    </w:p>
    <w:p>
      <w:pPr>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lang w:val="en-US" w:eastAsia="zh-CN"/>
        </w:rPr>
        <w:t>4</w:t>
      </w:r>
      <w:r>
        <w:rPr>
          <w:b/>
          <w:color w:val="auto"/>
          <w:sz w:val="24"/>
          <w:highlight w:val="none"/>
        </w:rPr>
        <w:t>）与《牛栏江流域（云南部分）水环境保护规划（2009~2030）》的相符性分析</w:t>
      </w:r>
    </w:p>
    <w:p>
      <w:pPr>
        <w:autoSpaceDE w:val="0"/>
        <w:autoSpaceDN w:val="0"/>
        <w:spacing w:line="360" w:lineRule="auto"/>
        <w:ind w:firstLine="480" w:firstLineChars="200"/>
        <w:rPr>
          <w:color w:val="auto"/>
          <w:sz w:val="24"/>
          <w:highlight w:val="none"/>
        </w:rPr>
      </w:pPr>
      <w:r>
        <w:rPr>
          <w:color w:val="auto"/>
          <w:sz w:val="24"/>
          <w:highlight w:val="none"/>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color w:val="auto"/>
          <w:sz w:val="24"/>
          <w:highlight w:val="none"/>
          <w:vertAlign w:val="superscript"/>
        </w:rPr>
        <w:t>2</w:t>
      </w:r>
      <w:r>
        <w:rPr>
          <w:color w:val="auto"/>
          <w:sz w:val="24"/>
          <w:highlight w:val="none"/>
        </w:rPr>
        <w:t>，属于重点保护区。重点污染控制区主要是水源保护核心区边界外的坝区。涉及小哨乡、嵩阳镇、小街镇、杨桥乡、羊街镇、金所乡、月望乡、大坡乡、菱角乡、田坝乡十个乡镇，面积1892.56km</w:t>
      </w:r>
      <w:r>
        <w:rPr>
          <w:color w:val="auto"/>
          <w:sz w:val="24"/>
          <w:highlight w:val="none"/>
          <w:vertAlign w:val="superscript"/>
        </w:rPr>
        <w:t>2</w:t>
      </w:r>
      <w:r>
        <w:rPr>
          <w:color w:val="auto"/>
          <w:sz w:val="24"/>
          <w:highlight w:val="none"/>
        </w:rPr>
        <w:t>，属于污染重点治理区。水源涵养区包括除水源保护核心区、重点污染控制区以外的山地。涉及杨林镇、仁德镇、通泉镇、王家庄镇、马过河镇、旧县镇六个乡镇，面积1764.16km</w:t>
      </w:r>
      <w:r>
        <w:rPr>
          <w:color w:val="auto"/>
          <w:sz w:val="24"/>
          <w:highlight w:val="none"/>
          <w:vertAlign w:val="superscript"/>
        </w:rPr>
        <w:t>2</w:t>
      </w:r>
      <w:r>
        <w:rPr>
          <w:color w:val="auto"/>
          <w:sz w:val="24"/>
          <w:highlight w:val="none"/>
        </w:rPr>
        <w:t>。</w:t>
      </w:r>
    </w:p>
    <w:p>
      <w:pPr>
        <w:autoSpaceDE w:val="0"/>
        <w:autoSpaceDN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highlight w:val="none"/>
        </w:rPr>
        <w:t>项目位于云南省昆明市</w:t>
      </w:r>
      <w:r>
        <w:rPr>
          <w:rFonts w:hint="eastAsia" w:ascii="Times New Roman" w:hAnsi="Times New Roman" w:eastAsia="宋体" w:cs="Times New Roman"/>
          <w:color w:val="auto"/>
          <w:sz w:val="24"/>
          <w:highlight w:val="none"/>
          <w:lang w:val="en-US" w:eastAsia="zh-CN"/>
        </w:rPr>
        <w:t>寻甸县仁德街道三月三村</w:t>
      </w:r>
      <w:r>
        <w:rPr>
          <w:rFonts w:ascii="Times New Roman" w:hAnsi="Times New Roman" w:eastAsia="宋体" w:cs="Times New Roman"/>
          <w:color w:val="auto"/>
          <w:sz w:val="24"/>
          <w:highlight w:val="none"/>
        </w:rPr>
        <w:t>，根据牛栏江水系功能规划图可知，项目区属于重点污染控制区。</w:t>
      </w:r>
      <w:r>
        <w:rPr>
          <w:rFonts w:hint="default" w:ascii="Times New Roman" w:hAnsi="Times New Roman" w:eastAsia="宋体" w:cs="Times New Roman"/>
          <w:color w:val="auto"/>
          <w:sz w:val="24"/>
          <w:highlight w:val="none"/>
          <w:lang w:val="en-US" w:eastAsia="zh-CN"/>
        </w:rPr>
        <w:t>项目与《牛栏江流域（云南部分）水环境保护规划（2009-2030年》的符合性分析见。</w:t>
      </w:r>
    </w:p>
    <w:p>
      <w:pPr>
        <w:widowControl/>
        <w:spacing w:line="360" w:lineRule="auto"/>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w:t>
      </w:r>
      <w:r>
        <w:rPr>
          <w:rFonts w:hint="eastAsia" w:ascii="Times New Roman" w:hAnsi="Times New Roman" w:eastAsia="宋体" w:cs="Times New Roman"/>
          <w:b/>
          <w:color w:val="auto"/>
          <w:sz w:val="24"/>
          <w:highlight w:val="none"/>
          <w:lang w:val="en-US" w:eastAsia="zh-CN"/>
        </w:rPr>
        <w:t>8.2-</w:t>
      </w:r>
      <w:r>
        <w:rPr>
          <w:rFonts w:hint="eastAsia" w:cs="Times New Roman"/>
          <w:b/>
          <w:color w:val="auto"/>
          <w:sz w:val="24"/>
          <w:highlight w:val="none"/>
          <w:lang w:val="en-US" w:eastAsia="zh-CN"/>
        </w:rPr>
        <w:t>3</w:t>
      </w:r>
      <w:r>
        <w:rPr>
          <w:rFonts w:hint="eastAsia"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lang w:val="en-US" w:eastAsia="zh-CN"/>
        </w:rPr>
        <w:t>与《牛栏江流域（云南部分）水环境保护规划（2009-2030 年）》符合性分析</w:t>
      </w:r>
    </w:p>
    <w:tbl>
      <w:tblPr>
        <w:tblStyle w:val="527"/>
        <w:tblW w:w="833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22"/>
        <w:gridCol w:w="3353"/>
        <w:gridCol w:w="10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3922" w:type="dxa"/>
            <w:tcBorders>
              <w:top w:val="single" w:color="auto" w:sz="2"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en-US"/>
              </w:rPr>
            </w:pPr>
            <w:r>
              <w:rPr>
                <w:rFonts w:hint="default" w:ascii="Times New Roman" w:hAnsi="Times New Roman" w:eastAsia="宋体" w:cs="Times New Roman"/>
                <w:color w:val="auto"/>
                <w:szCs w:val="21"/>
                <w:highlight w:val="none"/>
                <w:lang w:val="en-US" w:eastAsia="zh-CN"/>
              </w:rPr>
              <w:t>规划</w:t>
            </w:r>
            <w:r>
              <w:rPr>
                <w:rFonts w:hint="default" w:ascii="Times New Roman" w:hAnsi="Times New Roman" w:eastAsia="宋体" w:cs="Times New Roman"/>
                <w:color w:val="auto"/>
                <w:szCs w:val="21"/>
                <w:highlight w:val="none"/>
                <w:lang w:eastAsia="en-US"/>
              </w:rPr>
              <w:t>要求</w:t>
            </w:r>
          </w:p>
        </w:tc>
        <w:tc>
          <w:tcPr>
            <w:tcW w:w="3353" w:type="dxa"/>
            <w:tcBorders>
              <w:top w:val="single" w:color="auto" w:sz="2"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en-US"/>
              </w:rPr>
            </w:pPr>
            <w:r>
              <w:rPr>
                <w:rFonts w:hint="default" w:ascii="Times New Roman" w:hAnsi="Times New Roman" w:eastAsia="宋体" w:cs="Times New Roman"/>
                <w:color w:val="auto"/>
                <w:szCs w:val="21"/>
                <w:highlight w:val="none"/>
                <w:lang w:eastAsia="en-US"/>
              </w:rPr>
              <w:t>项目情况</w:t>
            </w:r>
          </w:p>
        </w:tc>
        <w:tc>
          <w:tcPr>
            <w:tcW w:w="1063" w:type="dxa"/>
            <w:tcBorders>
              <w:top w:val="single" w:color="auto" w:sz="2" w:space="0"/>
              <w:left w:val="single" w:color="000000" w:sz="4" w:space="0"/>
              <w:bottom w:val="single" w:color="000000" w:sz="4"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en-US"/>
              </w:rPr>
            </w:pPr>
            <w:r>
              <w:rPr>
                <w:rFonts w:hint="default" w:ascii="Times New Roman" w:hAnsi="Times New Roman" w:eastAsia="宋体" w:cs="Times New Roman"/>
                <w:color w:val="auto"/>
                <w:szCs w:val="21"/>
                <w:highlight w:val="none"/>
                <w:lang w:eastAsia="en-US"/>
              </w:rPr>
              <w:t>符合情况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392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 xml:space="preserve">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 </w:t>
            </w:r>
          </w:p>
        </w:tc>
        <w:tc>
          <w:tcPr>
            <w:tcW w:w="335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项目运营期产生的循环冷却水经循环冷却水池冷却后循环使用，不外排；车间地面清洗废水</w:t>
            </w:r>
            <w:r>
              <w:rPr>
                <w:rFonts w:hint="eastAsia" w:ascii="Times New Roman" w:hAnsi="Times New Roman" w:eastAsia="宋体" w:cs="Times New Roman"/>
                <w:color w:val="auto"/>
                <w:szCs w:val="21"/>
                <w:highlight w:val="none"/>
                <w:lang w:val="en-US" w:eastAsia="zh-CN"/>
              </w:rPr>
              <w:t>和员工洗手产生的</w:t>
            </w:r>
            <w:r>
              <w:rPr>
                <w:rFonts w:hint="default" w:ascii="Times New Roman" w:hAnsi="Times New Roman" w:eastAsia="宋体" w:cs="Times New Roman"/>
                <w:color w:val="auto"/>
                <w:szCs w:val="21"/>
                <w:highlight w:val="none"/>
              </w:rPr>
              <w:t>生活污水</w:t>
            </w:r>
            <w:r>
              <w:rPr>
                <w:rFonts w:hint="eastAsia" w:ascii="Times New Roman" w:hAnsi="Times New Roman" w:eastAsia="宋体" w:cs="Times New Roman"/>
                <w:color w:val="auto"/>
                <w:szCs w:val="21"/>
                <w:highlight w:val="none"/>
                <w:lang w:val="en-US" w:eastAsia="zh-CN"/>
              </w:rPr>
              <w:t>经化粪池收集处理后，由</w:t>
            </w:r>
            <w:r>
              <w:rPr>
                <w:rFonts w:hint="eastAsia"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val="en-US" w:eastAsia="zh-CN"/>
              </w:rPr>
              <w:t>单位定期清运至寻甸县</w:t>
            </w:r>
            <w:r>
              <w:rPr>
                <w:rFonts w:hint="eastAsia" w:cs="Times New Roman"/>
                <w:color w:val="auto"/>
                <w:szCs w:val="21"/>
                <w:highlight w:val="none"/>
                <w:lang w:val="en-US" w:eastAsia="zh-CN"/>
              </w:rPr>
              <w:t>水质净化厂</w:t>
            </w:r>
            <w:r>
              <w:rPr>
                <w:rFonts w:hint="eastAsia" w:ascii="Times New Roman" w:hAnsi="Times New Roman" w:eastAsia="宋体" w:cs="Times New Roman"/>
                <w:color w:val="auto"/>
                <w:szCs w:val="21"/>
                <w:highlight w:val="none"/>
                <w:lang w:val="en-US" w:eastAsia="zh-CN"/>
              </w:rPr>
              <w:t>处理</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因此，项目不向外环境直接排放废水。</w:t>
            </w:r>
          </w:p>
        </w:tc>
        <w:tc>
          <w:tcPr>
            <w:tcW w:w="1063" w:type="dxa"/>
            <w:tcBorders>
              <w:top w:val="single" w:color="000000" w:sz="4" w:space="0"/>
              <w:left w:val="single" w:color="000000" w:sz="4" w:space="0"/>
              <w:bottom w:val="single" w:color="000000" w:sz="4"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392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严格工业企业环境管理，严格环境准入政策，避免新污染物输入。</w:t>
            </w:r>
          </w:p>
        </w:tc>
        <w:tc>
          <w:tcPr>
            <w:tcW w:w="335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本项目为塑料</w:t>
            </w:r>
            <w:r>
              <w:rPr>
                <w:rFonts w:hint="eastAsia" w:cs="Times New Roman"/>
                <w:color w:val="auto"/>
                <w:szCs w:val="21"/>
                <w:highlight w:val="none"/>
                <w:lang w:val="en-US" w:eastAsia="zh-CN"/>
              </w:rPr>
              <w:t>框</w:t>
            </w:r>
            <w:r>
              <w:rPr>
                <w:rFonts w:hint="default" w:ascii="Times New Roman" w:hAnsi="Times New Roman" w:eastAsia="宋体" w:cs="Times New Roman"/>
                <w:color w:val="auto"/>
                <w:szCs w:val="21"/>
                <w:highlight w:val="none"/>
                <w:lang w:val="en-US" w:eastAsia="zh-CN"/>
              </w:rPr>
              <w:t>生产项目</w:t>
            </w:r>
            <w:r>
              <w:rPr>
                <w:rFonts w:hint="default" w:ascii="Times New Roman" w:hAnsi="Times New Roman" w:eastAsia="宋体" w:cs="Times New Roman"/>
                <w:color w:val="auto"/>
                <w:szCs w:val="21"/>
                <w:highlight w:val="none"/>
                <w:lang w:eastAsia="en-US"/>
              </w:rPr>
              <w:t>，</w:t>
            </w:r>
            <w:r>
              <w:rPr>
                <w:rFonts w:hint="default" w:ascii="Times New Roman" w:hAnsi="Times New Roman" w:eastAsia="宋体" w:cs="Times New Roman"/>
                <w:color w:val="auto"/>
                <w:szCs w:val="21"/>
                <w:highlight w:val="none"/>
                <w:lang w:val="en-US" w:eastAsia="zh-CN"/>
              </w:rPr>
              <w:t>属于C2926塑料包装箱及容器制造项目，</w:t>
            </w:r>
            <w:r>
              <w:rPr>
                <w:rFonts w:hint="default" w:ascii="Times New Roman" w:hAnsi="Times New Roman" w:eastAsia="宋体" w:cs="Times New Roman"/>
                <w:color w:val="auto"/>
                <w:szCs w:val="21"/>
                <w:highlight w:val="none"/>
                <w:lang w:eastAsia="en-US"/>
              </w:rPr>
              <w:t>根据国家发改委《产业结构调整指导目录（</w:t>
            </w:r>
            <w:r>
              <w:rPr>
                <w:rFonts w:hint="eastAsia" w:ascii="Times New Roman" w:hAnsi="Times New Roman" w:eastAsia="宋体" w:cs="Times New Roman"/>
                <w:color w:val="auto"/>
                <w:szCs w:val="21"/>
                <w:highlight w:val="none"/>
                <w:lang w:val="en-US" w:eastAsia="zh-CN"/>
              </w:rPr>
              <w:t>2024</w:t>
            </w:r>
            <w:r>
              <w:rPr>
                <w:rFonts w:hint="default" w:ascii="Times New Roman" w:hAnsi="Times New Roman" w:eastAsia="宋体" w:cs="Times New Roman"/>
                <w:color w:val="auto"/>
                <w:szCs w:val="21"/>
                <w:highlight w:val="none"/>
                <w:lang w:eastAsia="zh-CN"/>
              </w:rPr>
              <w:t>年本</w:t>
            </w:r>
            <w:r>
              <w:rPr>
                <w:rFonts w:hint="default" w:ascii="Times New Roman" w:hAnsi="Times New Roman" w:eastAsia="宋体" w:cs="Times New Roman"/>
                <w:color w:val="auto"/>
                <w:szCs w:val="21"/>
                <w:highlight w:val="none"/>
                <w:lang w:eastAsia="en-US"/>
              </w:rPr>
              <w:t>）》</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不属于</w:t>
            </w:r>
            <w:r>
              <w:rPr>
                <w:rFonts w:hint="default" w:ascii="Times New Roman" w:hAnsi="Times New Roman" w:eastAsia="宋体" w:cs="Times New Roman"/>
                <w:color w:val="auto"/>
                <w:szCs w:val="21"/>
                <w:highlight w:val="none"/>
                <w:lang w:val="en-US" w:eastAsia="zh-CN"/>
              </w:rPr>
              <w:t>鼓励类、限制类和淘汰类项目，为允许建设项目</w:t>
            </w:r>
            <w:r>
              <w:rPr>
                <w:rFonts w:hint="default" w:ascii="Times New Roman" w:hAnsi="Times New Roman" w:eastAsia="宋体" w:cs="Times New Roman"/>
                <w:color w:val="auto"/>
                <w:szCs w:val="21"/>
                <w:highlight w:val="none"/>
                <w:lang w:eastAsia="en-US"/>
              </w:rPr>
              <w:t>，</w:t>
            </w:r>
            <w:r>
              <w:rPr>
                <w:rFonts w:hint="default" w:ascii="Times New Roman" w:hAnsi="Times New Roman" w:eastAsia="宋体" w:cs="Times New Roman"/>
                <w:color w:val="auto"/>
                <w:szCs w:val="21"/>
                <w:highlight w:val="none"/>
                <w:lang w:val="en-US" w:eastAsia="zh-CN"/>
              </w:rPr>
              <w:t>项目的建设符合国家现行产业政策。项目生产过程中废水</w:t>
            </w:r>
            <w:r>
              <w:rPr>
                <w:rFonts w:hint="eastAsia" w:ascii="Times New Roman" w:hAnsi="Times New Roman" w:eastAsia="宋体" w:cs="Times New Roman"/>
                <w:color w:val="auto"/>
                <w:szCs w:val="21"/>
                <w:highlight w:val="none"/>
                <w:lang w:val="en-US" w:eastAsia="zh-CN"/>
              </w:rPr>
              <w:t>经化粪池收集处理后，由</w:t>
            </w:r>
            <w:r>
              <w:rPr>
                <w:rFonts w:hint="eastAsia"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val="en-US" w:eastAsia="zh-CN"/>
              </w:rPr>
              <w:t>单位定期清运至寻甸县</w:t>
            </w:r>
            <w:r>
              <w:rPr>
                <w:rFonts w:hint="eastAsia" w:cs="Times New Roman"/>
                <w:color w:val="auto"/>
                <w:szCs w:val="21"/>
                <w:highlight w:val="none"/>
                <w:lang w:val="en-US" w:eastAsia="zh-CN"/>
              </w:rPr>
              <w:t>水质净化厂</w:t>
            </w:r>
            <w:r>
              <w:rPr>
                <w:rFonts w:hint="eastAsia" w:ascii="Times New Roman" w:hAnsi="Times New Roman" w:eastAsia="宋体" w:cs="Times New Roman"/>
                <w:color w:val="auto"/>
                <w:szCs w:val="21"/>
                <w:highlight w:val="none"/>
                <w:lang w:val="en-US" w:eastAsia="zh-CN"/>
              </w:rPr>
              <w:t>处理</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因此，项目不向外环境直接排放新的废水污染物。</w:t>
            </w:r>
          </w:p>
        </w:tc>
        <w:tc>
          <w:tcPr>
            <w:tcW w:w="1063" w:type="dxa"/>
            <w:tcBorders>
              <w:top w:val="single" w:color="000000" w:sz="4" w:space="0"/>
              <w:left w:val="single" w:color="000000" w:sz="4" w:space="0"/>
              <w:bottom w:val="single" w:color="000000" w:sz="4"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392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调水水源区不得建设不符合国家产业政策的工业项目及高污染工业项目，包括污染严重的钢铁、有色冶金、基础化工、农药、电镀、造纸制浆、制革、印染、石棉制品、土</w:t>
            </w:r>
            <w:r>
              <w:rPr>
                <w:rFonts w:hint="eastAsia" w:cs="Times New Roman"/>
                <w:color w:val="auto"/>
                <w:szCs w:val="21"/>
                <w:highlight w:val="none"/>
                <w:lang w:val="en-US" w:eastAsia="zh-CN"/>
              </w:rPr>
              <w:t>硫黄</w:t>
            </w:r>
            <w:r>
              <w:rPr>
                <w:rFonts w:hint="default" w:ascii="Times New Roman" w:hAnsi="Times New Roman" w:eastAsia="宋体" w:cs="Times New Roman"/>
                <w:color w:val="auto"/>
                <w:szCs w:val="21"/>
                <w:highlight w:val="none"/>
                <w:lang w:val="en-US" w:eastAsia="zh-CN"/>
              </w:rPr>
              <w:t>、土磷肥和染料等企业和项目。</w:t>
            </w:r>
          </w:p>
        </w:tc>
        <w:tc>
          <w:tcPr>
            <w:tcW w:w="335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项目的建设符合国家现行产业政策。项目不属于规划中提及的高污染工业项目。</w:t>
            </w:r>
          </w:p>
          <w:p>
            <w:pPr>
              <w:autoSpaceDE w:val="0"/>
              <w:autoSpaceDN w:val="0"/>
              <w:jc w:val="center"/>
              <w:rPr>
                <w:rFonts w:hint="default" w:ascii="Times New Roman" w:hAnsi="Times New Roman" w:eastAsia="宋体" w:cs="Times New Roman"/>
                <w:color w:val="auto"/>
                <w:szCs w:val="21"/>
                <w:highlight w:val="none"/>
                <w:lang w:val="en-US" w:eastAsia="zh-CN"/>
              </w:rPr>
            </w:pPr>
          </w:p>
        </w:tc>
        <w:tc>
          <w:tcPr>
            <w:tcW w:w="1063" w:type="dxa"/>
            <w:tcBorders>
              <w:top w:val="single" w:color="000000" w:sz="4" w:space="0"/>
              <w:left w:val="single" w:color="000000" w:sz="4" w:space="0"/>
              <w:bottom w:val="single" w:color="000000" w:sz="4"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392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严格工业固体废弃物管理，实现固体废弃物安全处置。调水水源区内所有排放固体废弃物的企业，按国家有关固体废弃物安全处置的要求，对现有固体废弃物堆场进行安全处置。 </w:t>
            </w:r>
          </w:p>
        </w:tc>
        <w:tc>
          <w:tcPr>
            <w:tcW w:w="335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项目产生的固废100%处置，不外排，实现固体废弃物安全处置。</w:t>
            </w:r>
          </w:p>
        </w:tc>
        <w:tc>
          <w:tcPr>
            <w:tcW w:w="1063" w:type="dxa"/>
            <w:tcBorders>
              <w:top w:val="single" w:color="000000" w:sz="4" w:space="0"/>
              <w:left w:val="single" w:color="000000" w:sz="4" w:space="0"/>
              <w:bottom w:val="single" w:color="000000" w:sz="4"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392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企业实现“雨污分流”，</w:t>
            </w:r>
            <w:r>
              <w:rPr>
                <w:rFonts w:hint="eastAsia" w:cs="Times New Roman"/>
                <w:color w:val="auto"/>
                <w:szCs w:val="21"/>
                <w:highlight w:val="none"/>
                <w:lang w:val="en-US" w:eastAsia="zh-CN"/>
              </w:rPr>
              <w:t>水质净化厂</w:t>
            </w:r>
            <w:r>
              <w:rPr>
                <w:rFonts w:hint="default" w:ascii="Times New Roman" w:hAnsi="Times New Roman" w:eastAsia="宋体" w:cs="Times New Roman"/>
                <w:color w:val="auto"/>
                <w:szCs w:val="21"/>
                <w:highlight w:val="none"/>
                <w:lang w:val="en-US" w:eastAsia="zh-CN"/>
              </w:rPr>
              <w:t>出水水质达到园区</w:t>
            </w:r>
            <w:r>
              <w:rPr>
                <w:rFonts w:hint="eastAsia" w:cs="Times New Roman"/>
                <w:color w:val="auto"/>
                <w:szCs w:val="21"/>
                <w:highlight w:val="none"/>
                <w:lang w:val="en-US" w:eastAsia="zh-CN"/>
              </w:rPr>
              <w:t>水质净化厂</w:t>
            </w:r>
            <w:r>
              <w:rPr>
                <w:rFonts w:hint="default" w:ascii="Times New Roman" w:hAnsi="Times New Roman" w:eastAsia="宋体" w:cs="Times New Roman"/>
                <w:color w:val="auto"/>
                <w:szCs w:val="21"/>
                <w:highlight w:val="none"/>
                <w:lang w:val="en-US" w:eastAsia="zh-CN"/>
              </w:rPr>
              <w:t>的进水水质要求，园区</w:t>
            </w:r>
            <w:r>
              <w:rPr>
                <w:rFonts w:hint="eastAsia" w:cs="Times New Roman"/>
                <w:color w:val="auto"/>
                <w:szCs w:val="21"/>
                <w:highlight w:val="none"/>
                <w:lang w:val="en-US" w:eastAsia="zh-CN"/>
              </w:rPr>
              <w:t>水质净化厂</w:t>
            </w:r>
            <w:r>
              <w:rPr>
                <w:rFonts w:hint="default" w:ascii="Times New Roman" w:hAnsi="Times New Roman" w:eastAsia="宋体" w:cs="Times New Roman"/>
                <w:color w:val="auto"/>
                <w:szCs w:val="21"/>
                <w:highlight w:val="none"/>
                <w:lang w:val="en-US" w:eastAsia="zh-CN"/>
              </w:rPr>
              <w:t xml:space="preserve">的出水水质必须达到再生水处理系统的进水水质，再生水处理系统出水水质必须达到回用水水质。 </w:t>
            </w:r>
          </w:p>
        </w:tc>
        <w:tc>
          <w:tcPr>
            <w:tcW w:w="335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项</w:t>
            </w:r>
            <w:r>
              <w:rPr>
                <w:rFonts w:hint="default" w:ascii="Times New Roman" w:hAnsi="Times New Roman" w:eastAsia="宋体" w:cs="Times New Roman"/>
                <w:color w:val="auto"/>
                <w:szCs w:val="21"/>
                <w:highlight w:val="none"/>
                <w:lang w:eastAsia="zh-CN"/>
              </w:rPr>
              <w:t>目</w:t>
            </w:r>
            <w:r>
              <w:rPr>
                <w:rFonts w:hint="default" w:ascii="Times New Roman" w:hAnsi="Times New Roman" w:eastAsia="宋体" w:cs="Times New Roman"/>
                <w:color w:val="auto"/>
                <w:szCs w:val="21"/>
                <w:highlight w:val="none"/>
                <w:lang w:val="en-US" w:eastAsia="zh-CN"/>
              </w:rPr>
              <w:t>采取“雨污分流”制，雨水</w:t>
            </w:r>
            <w:r>
              <w:rPr>
                <w:rFonts w:hint="eastAsia" w:ascii="Times New Roman" w:hAnsi="Times New Roman" w:eastAsia="宋体" w:cs="Times New Roman"/>
                <w:color w:val="auto"/>
                <w:szCs w:val="21"/>
                <w:highlight w:val="none"/>
                <w:lang w:val="en-US" w:eastAsia="zh-CN"/>
              </w:rPr>
              <w:t>经雨水沟收集后排入</w:t>
            </w:r>
            <w:r>
              <w:rPr>
                <w:rFonts w:hint="eastAsia" w:cs="Times New Roman"/>
                <w:color w:val="auto"/>
                <w:szCs w:val="21"/>
                <w:highlight w:val="none"/>
                <w:lang w:val="en-US" w:eastAsia="zh-CN"/>
              </w:rPr>
              <w:t>附近自然排水沟</w:t>
            </w:r>
            <w:r>
              <w:rPr>
                <w:rFonts w:hint="default" w:ascii="Times New Roman" w:hAnsi="Times New Roman" w:eastAsia="宋体" w:cs="Times New Roman"/>
                <w:color w:val="auto"/>
                <w:szCs w:val="21"/>
                <w:highlight w:val="none"/>
                <w:lang w:val="en-US" w:eastAsia="zh-CN"/>
              </w:rPr>
              <w:t>；项目运营期产生的循环冷却水经循环冷却水池冷却后循环使用，不外排；车间地面清洗废水</w:t>
            </w:r>
            <w:r>
              <w:rPr>
                <w:rFonts w:hint="eastAsia" w:ascii="Times New Roman" w:hAnsi="Times New Roman" w:eastAsia="宋体" w:cs="Times New Roman"/>
                <w:color w:val="auto"/>
                <w:szCs w:val="21"/>
                <w:highlight w:val="none"/>
                <w:lang w:val="en-US" w:eastAsia="zh-CN"/>
              </w:rPr>
              <w:t>和员工洗手产生的</w:t>
            </w:r>
            <w:r>
              <w:rPr>
                <w:rFonts w:hint="default" w:ascii="Times New Roman" w:hAnsi="Times New Roman" w:eastAsia="宋体" w:cs="Times New Roman"/>
                <w:color w:val="auto"/>
                <w:szCs w:val="21"/>
                <w:highlight w:val="none"/>
              </w:rPr>
              <w:t>生活污水</w:t>
            </w:r>
            <w:r>
              <w:rPr>
                <w:rFonts w:hint="eastAsia" w:ascii="Times New Roman" w:hAnsi="Times New Roman" w:eastAsia="宋体" w:cs="Times New Roman"/>
                <w:color w:val="auto"/>
                <w:szCs w:val="21"/>
                <w:highlight w:val="none"/>
                <w:lang w:val="en-US" w:eastAsia="zh-CN"/>
              </w:rPr>
              <w:t>经化粪池收集处理后，由</w:t>
            </w:r>
            <w:r>
              <w:rPr>
                <w:rFonts w:hint="eastAsia"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val="en-US" w:eastAsia="zh-CN"/>
              </w:rPr>
              <w:t>单位定期清运至寻甸县</w:t>
            </w:r>
            <w:r>
              <w:rPr>
                <w:rFonts w:hint="eastAsia" w:cs="Times New Roman"/>
                <w:color w:val="auto"/>
                <w:szCs w:val="21"/>
                <w:highlight w:val="none"/>
                <w:lang w:val="en-US" w:eastAsia="zh-CN"/>
              </w:rPr>
              <w:t>水质净化厂</w:t>
            </w:r>
            <w:r>
              <w:rPr>
                <w:rFonts w:hint="eastAsia" w:ascii="Times New Roman" w:hAnsi="Times New Roman" w:eastAsia="宋体" w:cs="Times New Roman"/>
                <w:color w:val="auto"/>
                <w:szCs w:val="21"/>
                <w:highlight w:val="none"/>
                <w:lang w:val="en-US" w:eastAsia="zh-CN"/>
              </w:rPr>
              <w:t>处理，不外排</w:t>
            </w:r>
            <w:r>
              <w:rPr>
                <w:rFonts w:hint="default" w:ascii="Times New Roman" w:hAnsi="Times New Roman" w:eastAsia="宋体" w:cs="Times New Roman"/>
                <w:color w:val="auto"/>
                <w:szCs w:val="21"/>
                <w:highlight w:val="none"/>
              </w:rPr>
              <w:t>。</w:t>
            </w:r>
          </w:p>
        </w:tc>
        <w:tc>
          <w:tcPr>
            <w:tcW w:w="1063" w:type="dxa"/>
            <w:tcBorders>
              <w:top w:val="single" w:color="000000" w:sz="4" w:space="0"/>
              <w:left w:val="single" w:color="000000" w:sz="4" w:space="0"/>
              <w:bottom w:val="single" w:color="000000" w:sz="4"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en-US"/>
              </w:rPr>
            </w:pPr>
            <w:r>
              <w:rPr>
                <w:rFonts w:hint="default" w:ascii="Times New Roman" w:hAnsi="Times New Roman" w:eastAsia="宋体" w:cs="Times New Roman"/>
                <w:color w:val="auto"/>
                <w:szCs w:val="21"/>
                <w:highlight w:val="none"/>
                <w:lang w:eastAsia="en-US"/>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392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强企业执法监督力度，增加对产污企业的执法监督频次，对污水处理设施运行、应急处理设施等重点环节要严把监督关，杜绝偷排漏排现象。对有偷排漏排等行为的企业，加大处罚力度，直至停产、关闭。对造成环境危害的单位要依法追究责任，依法进行环境损害赔偿。</w:t>
            </w:r>
          </w:p>
        </w:tc>
        <w:tc>
          <w:tcPr>
            <w:tcW w:w="335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本次评价已制定自行监测方案，确保水质达标，确保大气污染物达标排放。 </w:t>
            </w:r>
          </w:p>
          <w:p>
            <w:pPr>
              <w:autoSpaceDE w:val="0"/>
              <w:autoSpaceDN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项目所产生的固体废弃物均得到妥善处置，无排放。</w:t>
            </w:r>
          </w:p>
        </w:tc>
        <w:tc>
          <w:tcPr>
            <w:tcW w:w="1063" w:type="dxa"/>
            <w:tcBorders>
              <w:top w:val="single" w:color="000000" w:sz="4" w:space="0"/>
              <w:left w:val="single" w:color="000000" w:sz="4" w:space="0"/>
              <w:bottom w:val="single" w:color="000000" w:sz="4"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szCs w:val="21"/>
                <w:highlight w:val="none"/>
                <w:lang w:eastAsia="en-US"/>
              </w:rPr>
            </w:pPr>
            <w:r>
              <w:rPr>
                <w:rFonts w:hint="default" w:ascii="Times New Roman" w:hAnsi="Times New Roman" w:eastAsia="宋体" w:cs="Times New Roman"/>
                <w:color w:val="auto"/>
                <w:szCs w:val="21"/>
                <w:highlight w:val="none"/>
                <w:lang w:val="en-US" w:eastAsia="zh-CN"/>
              </w:rPr>
              <w:t>符合</w:t>
            </w:r>
          </w:p>
        </w:tc>
      </w:tr>
    </w:tbl>
    <w:p>
      <w:pPr>
        <w:autoSpaceDE w:val="0"/>
        <w:autoSpaceDN w:val="0"/>
        <w:spacing w:line="360" w:lineRule="auto"/>
        <w:ind w:firstLine="480" w:firstLineChars="200"/>
        <w:rPr>
          <w:color w:val="auto"/>
          <w:sz w:val="24"/>
          <w:highlight w:val="none"/>
        </w:rPr>
      </w:pPr>
      <w:r>
        <w:rPr>
          <w:color w:val="auto"/>
          <w:sz w:val="24"/>
          <w:highlight w:val="none"/>
        </w:rPr>
        <w:t>根据表</w:t>
      </w:r>
      <w:r>
        <w:rPr>
          <w:rFonts w:hint="eastAsia"/>
          <w:color w:val="auto"/>
          <w:sz w:val="24"/>
          <w:highlight w:val="none"/>
        </w:rPr>
        <w:t>8.2-</w:t>
      </w:r>
      <w:r>
        <w:rPr>
          <w:rFonts w:hint="eastAsia"/>
          <w:color w:val="auto"/>
          <w:sz w:val="24"/>
          <w:highlight w:val="none"/>
          <w:lang w:val="en-US" w:eastAsia="zh-CN"/>
        </w:rPr>
        <w:t>5</w:t>
      </w:r>
      <w:r>
        <w:rPr>
          <w:color w:val="auto"/>
          <w:sz w:val="24"/>
          <w:highlight w:val="none"/>
        </w:rPr>
        <w:t>可知，项目选址符合《云南省牛栏江保护条例》中的选址要求。</w:t>
      </w:r>
    </w:p>
    <w:p>
      <w:pPr>
        <w:autoSpaceDE w:val="0"/>
        <w:autoSpaceDN w:val="0"/>
        <w:spacing w:line="360" w:lineRule="auto"/>
        <w:ind w:firstLine="480" w:firstLineChars="200"/>
        <w:rPr>
          <w:color w:val="auto"/>
          <w:sz w:val="24"/>
          <w:highlight w:val="none"/>
        </w:rPr>
      </w:pPr>
      <w:r>
        <w:rPr>
          <w:color w:val="auto"/>
          <w:sz w:val="24"/>
          <w:highlight w:val="none"/>
        </w:rPr>
        <w:t>综上所述，项目选址符合《牛栏江流域（云南部分）水环境保护规划（2009~2030）》对重点污染控制区的水环境保护要求。</w:t>
      </w:r>
    </w:p>
    <w:p>
      <w:pPr>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lang w:val="en-US" w:eastAsia="zh-CN"/>
        </w:rPr>
        <w:t>5</w:t>
      </w:r>
      <w:r>
        <w:rPr>
          <w:b/>
          <w:color w:val="auto"/>
          <w:sz w:val="24"/>
          <w:highlight w:val="none"/>
        </w:rPr>
        <w:t>）与《牛栏江流域（寻甸段）水环境保护规划》的相符性分析</w:t>
      </w:r>
    </w:p>
    <w:p>
      <w:pPr>
        <w:autoSpaceDE w:val="0"/>
        <w:autoSpaceDN w:val="0"/>
        <w:spacing w:line="360" w:lineRule="auto"/>
        <w:ind w:firstLine="480" w:firstLineChars="200"/>
        <w:rPr>
          <w:color w:val="auto"/>
          <w:sz w:val="24"/>
          <w:highlight w:val="none"/>
        </w:rPr>
      </w:pPr>
      <w:r>
        <w:rPr>
          <w:color w:val="auto"/>
          <w:sz w:val="24"/>
          <w:highlight w:val="none"/>
        </w:rPr>
        <w:t>项目位于云南省昆明市</w:t>
      </w:r>
      <w:r>
        <w:rPr>
          <w:rFonts w:hint="eastAsia"/>
          <w:color w:val="auto"/>
          <w:sz w:val="24"/>
          <w:highlight w:val="none"/>
          <w:lang w:val="en-US" w:eastAsia="zh-CN"/>
        </w:rPr>
        <w:t>寻甸县仁德街道三月三村</w:t>
      </w:r>
      <w:r>
        <w:rPr>
          <w:color w:val="auto"/>
          <w:sz w:val="24"/>
          <w:highlight w:val="none"/>
        </w:rPr>
        <w:t>，属于《云南省牛栏江保护条例》中</w:t>
      </w:r>
      <w:r>
        <w:rPr>
          <w:rFonts w:hint="eastAsia"/>
          <w:color w:val="auto"/>
          <w:sz w:val="24"/>
          <w:highlight w:val="none"/>
          <w:lang w:eastAsia="zh-CN"/>
        </w:rPr>
        <w:t>的</w:t>
      </w:r>
      <w:r>
        <w:rPr>
          <w:color w:val="auto"/>
          <w:sz w:val="24"/>
          <w:highlight w:val="none"/>
        </w:rPr>
        <w:t>重点污染控制区。根据《牛栏江（寻甸段）水环境保护规划（2011~2030）》对重点污染控制区的水环境保护策略分析项目选址符合性。</w:t>
      </w:r>
    </w:p>
    <w:p>
      <w:pPr>
        <w:widowControl/>
        <w:spacing w:line="360" w:lineRule="auto"/>
        <w:jc w:val="center"/>
        <w:rPr>
          <w:b/>
          <w:color w:val="auto"/>
          <w:sz w:val="24"/>
          <w:highlight w:val="none"/>
        </w:rPr>
      </w:pPr>
      <w:r>
        <w:rPr>
          <w:b/>
          <w:color w:val="auto"/>
          <w:sz w:val="24"/>
          <w:highlight w:val="none"/>
        </w:rPr>
        <w:t>表</w:t>
      </w:r>
      <w:r>
        <w:rPr>
          <w:rFonts w:hint="eastAsia"/>
          <w:b/>
          <w:color w:val="auto"/>
          <w:sz w:val="24"/>
          <w:highlight w:val="none"/>
        </w:rPr>
        <w:t>8.2</w:t>
      </w:r>
      <w:r>
        <w:rPr>
          <w:b/>
          <w:color w:val="auto"/>
          <w:sz w:val="24"/>
          <w:highlight w:val="none"/>
        </w:rPr>
        <w:t>-</w:t>
      </w:r>
      <w:r>
        <w:rPr>
          <w:rFonts w:hint="eastAsia"/>
          <w:b/>
          <w:color w:val="auto"/>
          <w:sz w:val="24"/>
          <w:highlight w:val="none"/>
          <w:lang w:val="en-US" w:eastAsia="zh-CN"/>
        </w:rPr>
        <w:t>4</w:t>
      </w:r>
      <w:r>
        <w:rPr>
          <w:b/>
          <w:color w:val="auto"/>
          <w:sz w:val="24"/>
          <w:highlight w:val="none"/>
        </w:rPr>
        <w:t xml:space="preserve">  项目选址与《牛栏江流域（寻甸段）水环境保护规划》对照分析</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693"/>
        <w:gridCol w:w="3727"/>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0" w:type="dxa"/>
            <w:vAlign w:val="center"/>
          </w:tcPr>
          <w:p>
            <w:pPr>
              <w:jc w:val="center"/>
              <w:rPr>
                <w:b/>
                <w:bCs/>
                <w:color w:val="auto"/>
                <w:szCs w:val="21"/>
                <w:highlight w:val="none"/>
              </w:rPr>
            </w:pPr>
            <w:r>
              <w:rPr>
                <w:b/>
                <w:bCs/>
                <w:color w:val="auto"/>
                <w:szCs w:val="21"/>
                <w:highlight w:val="none"/>
              </w:rPr>
              <w:t>序号</w:t>
            </w:r>
          </w:p>
        </w:tc>
        <w:tc>
          <w:tcPr>
            <w:tcW w:w="3693" w:type="dxa"/>
            <w:vAlign w:val="center"/>
          </w:tcPr>
          <w:p>
            <w:pPr>
              <w:jc w:val="center"/>
              <w:rPr>
                <w:b/>
                <w:bCs/>
                <w:color w:val="auto"/>
                <w:szCs w:val="21"/>
                <w:highlight w:val="none"/>
              </w:rPr>
            </w:pPr>
            <w:r>
              <w:rPr>
                <w:b/>
                <w:bCs/>
                <w:color w:val="auto"/>
                <w:szCs w:val="21"/>
                <w:highlight w:val="none"/>
              </w:rPr>
              <w:t>《牛栏江流域（寻甸段）水环境保护规划》选址条件</w:t>
            </w:r>
          </w:p>
        </w:tc>
        <w:tc>
          <w:tcPr>
            <w:tcW w:w="3727" w:type="dxa"/>
            <w:vAlign w:val="center"/>
          </w:tcPr>
          <w:p>
            <w:pPr>
              <w:jc w:val="center"/>
              <w:rPr>
                <w:b/>
                <w:bCs/>
                <w:color w:val="auto"/>
                <w:szCs w:val="21"/>
                <w:highlight w:val="none"/>
              </w:rPr>
            </w:pPr>
            <w:r>
              <w:rPr>
                <w:b/>
                <w:bCs/>
                <w:color w:val="auto"/>
                <w:szCs w:val="21"/>
                <w:highlight w:val="none"/>
              </w:rPr>
              <w:t>本项目实际情况</w:t>
            </w:r>
          </w:p>
        </w:tc>
        <w:tc>
          <w:tcPr>
            <w:tcW w:w="589" w:type="dxa"/>
            <w:vAlign w:val="center"/>
          </w:tcPr>
          <w:p>
            <w:pPr>
              <w:jc w:val="center"/>
              <w:rPr>
                <w:b/>
                <w:bCs/>
                <w:color w:val="auto"/>
                <w:szCs w:val="21"/>
                <w:highlight w:val="none"/>
              </w:rPr>
            </w:pPr>
            <w:r>
              <w:rPr>
                <w:b/>
                <w:bCs/>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vMerge w:val="restart"/>
            <w:vAlign w:val="center"/>
          </w:tcPr>
          <w:p>
            <w:pPr>
              <w:jc w:val="center"/>
              <w:rPr>
                <w:color w:val="auto"/>
                <w:szCs w:val="21"/>
                <w:highlight w:val="none"/>
              </w:rPr>
            </w:pPr>
            <w:r>
              <w:rPr>
                <w:color w:val="auto"/>
                <w:szCs w:val="21"/>
                <w:highlight w:val="none"/>
              </w:rPr>
              <w:t>1</w:t>
            </w:r>
          </w:p>
        </w:tc>
        <w:tc>
          <w:tcPr>
            <w:tcW w:w="3693" w:type="dxa"/>
            <w:vAlign w:val="center"/>
          </w:tcPr>
          <w:p>
            <w:pPr>
              <w:rPr>
                <w:color w:val="auto"/>
                <w:szCs w:val="21"/>
                <w:highlight w:val="none"/>
              </w:rPr>
            </w:pPr>
            <w:r>
              <w:rPr>
                <w:color w:val="auto"/>
                <w:szCs w:val="21"/>
                <w:highlight w:val="none"/>
              </w:rPr>
              <w:t>加强对重点工业污染源的监督，确保牛栏江流域（寻甸段）内重点企业污水稳定达标排放并实现“零排放”。</w:t>
            </w:r>
          </w:p>
        </w:tc>
        <w:tc>
          <w:tcPr>
            <w:tcW w:w="3727" w:type="dxa"/>
            <w:vAlign w:val="center"/>
          </w:tcPr>
          <w:p>
            <w:pPr>
              <w:rPr>
                <w:color w:val="auto"/>
                <w:szCs w:val="21"/>
                <w:highlight w:val="none"/>
              </w:rPr>
            </w:pPr>
            <w:r>
              <w:rPr>
                <w:rFonts w:hint="default" w:ascii="Times New Roman" w:hAnsi="Times New Roman" w:cs="Times New Roman"/>
                <w:color w:val="auto"/>
                <w:kern w:val="0"/>
                <w:highlight w:val="none"/>
                <w:lang w:val="en-US" w:eastAsia="zh-CN"/>
              </w:rPr>
              <w:t>项目运营期产生的循环冷却水经循环冷却水池冷却后循环使用，不外排；车间地面清洗废水</w:t>
            </w:r>
            <w:r>
              <w:rPr>
                <w:rFonts w:hint="eastAsia" w:ascii="Times New Roman" w:hAnsi="Times New Roman" w:eastAsia="宋体" w:cs="Times New Roman"/>
                <w:color w:val="auto"/>
                <w:szCs w:val="21"/>
                <w:highlight w:val="none"/>
                <w:lang w:val="en-US" w:eastAsia="zh-CN"/>
              </w:rPr>
              <w:t>和员工洗手产生的</w:t>
            </w:r>
            <w:r>
              <w:rPr>
                <w:rFonts w:hint="default" w:ascii="Times New Roman" w:hAnsi="Times New Roman" w:eastAsia="宋体" w:cs="Times New Roman"/>
                <w:color w:val="auto"/>
                <w:szCs w:val="21"/>
                <w:highlight w:val="none"/>
              </w:rPr>
              <w:t>生活污水</w:t>
            </w:r>
            <w:r>
              <w:rPr>
                <w:rFonts w:hint="eastAsia" w:ascii="Times New Roman" w:hAnsi="Times New Roman" w:eastAsia="宋体" w:cs="Times New Roman"/>
                <w:color w:val="auto"/>
                <w:szCs w:val="21"/>
                <w:highlight w:val="none"/>
                <w:lang w:val="en-US" w:eastAsia="zh-CN"/>
              </w:rPr>
              <w:t>经化粪池收集处理后，由</w:t>
            </w:r>
            <w:r>
              <w:rPr>
                <w:rFonts w:hint="eastAsia"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val="en-US" w:eastAsia="zh-CN"/>
              </w:rPr>
              <w:t>单位定期清运至寻甸县</w:t>
            </w:r>
            <w:r>
              <w:rPr>
                <w:rFonts w:hint="eastAsia" w:cs="Times New Roman"/>
                <w:color w:val="auto"/>
                <w:szCs w:val="21"/>
                <w:highlight w:val="none"/>
                <w:lang w:val="en-US" w:eastAsia="zh-CN"/>
              </w:rPr>
              <w:t>水质净化厂</w:t>
            </w:r>
            <w:r>
              <w:rPr>
                <w:rFonts w:hint="eastAsia" w:ascii="Times New Roman" w:hAnsi="Times New Roman" w:eastAsia="宋体" w:cs="Times New Roman"/>
                <w:color w:val="auto"/>
                <w:szCs w:val="21"/>
                <w:highlight w:val="none"/>
                <w:lang w:val="en-US" w:eastAsia="zh-CN"/>
              </w:rPr>
              <w:t>处理，不外排</w:t>
            </w:r>
          </w:p>
        </w:tc>
        <w:tc>
          <w:tcPr>
            <w:tcW w:w="589"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vMerge w:val="continue"/>
            <w:vAlign w:val="center"/>
          </w:tcPr>
          <w:p>
            <w:pPr>
              <w:jc w:val="center"/>
              <w:rPr>
                <w:color w:val="auto"/>
                <w:szCs w:val="21"/>
                <w:highlight w:val="none"/>
              </w:rPr>
            </w:pPr>
          </w:p>
        </w:tc>
        <w:tc>
          <w:tcPr>
            <w:tcW w:w="3693" w:type="dxa"/>
            <w:vAlign w:val="center"/>
          </w:tcPr>
          <w:p>
            <w:pPr>
              <w:rPr>
                <w:color w:val="auto"/>
                <w:szCs w:val="21"/>
                <w:highlight w:val="none"/>
              </w:rPr>
            </w:pPr>
            <w:r>
              <w:rPr>
                <w:color w:val="auto"/>
                <w:szCs w:val="21"/>
                <w:highlight w:val="none"/>
              </w:rPr>
              <w:t>固体废弃物最大程度重复利用和安全处置，消除工业企业的环境安全隐患，确保环保设施的正常运行，杜绝工业企业偷排、漏排污染物的现象。</w:t>
            </w:r>
          </w:p>
        </w:tc>
        <w:tc>
          <w:tcPr>
            <w:tcW w:w="3727" w:type="dxa"/>
            <w:vAlign w:val="center"/>
          </w:tcPr>
          <w:p>
            <w:pPr>
              <w:rPr>
                <w:color w:val="auto"/>
                <w:kern w:val="0"/>
                <w:szCs w:val="21"/>
                <w:highlight w:val="none"/>
              </w:rPr>
            </w:pPr>
            <w:r>
              <w:rPr>
                <w:color w:val="auto"/>
                <w:kern w:val="0"/>
                <w:szCs w:val="21"/>
                <w:highlight w:val="none"/>
              </w:rPr>
              <w:t>项目所有固体废弃物均得到合理有效的利用和处置，处置率为100%。</w:t>
            </w:r>
          </w:p>
        </w:tc>
        <w:tc>
          <w:tcPr>
            <w:tcW w:w="589" w:type="dxa"/>
            <w:vAlign w:val="center"/>
          </w:tcPr>
          <w:p>
            <w:pPr>
              <w:jc w:val="center"/>
              <w:rPr>
                <w:color w:val="auto"/>
                <w:szCs w:val="21"/>
                <w:highlight w:val="none"/>
              </w:rPr>
            </w:pPr>
            <w:r>
              <w:rPr>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540" w:type="dxa"/>
            <w:vAlign w:val="center"/>
          </w:tcPr>
          <w:p>
            <w:pPr>
              <w:jc w:val="center"/>
              <w:rPr>
                <w:color w:val="auto"/>
                <w:szCs w:val="21"/>
                <w:highlight w:val="none"/>
              </w:rPr>
            </w:pPr>
            <w:r>
              <w:rPr>
                <w:color w:val="auto"/>
                <w:szCs w:val="21"/>
                <w:highlight w:val="none"/>
              </w:rPr>
              <w:t>2</w:t>
            </w:r>
          </w:p>
        </w:tc>
        <w:tc>
          <w:tcPr>
            <w:tcW w:w="3693" w:type="dxa"/>
            <w:vAlign w:val="center"/>
          </w:tcPr>
          <w:p>
            <w:pPr>
              <w:rPr>
                <w:color w:val="auto"/>
                <w:szCs w:val="21"/>
                <w:highlight w:val="none"/>
              </w:rPr>
            </w:pPr>
            <w:r>
              <w:rPr>
                <w:color w:val="auto"/>
                <w:szCs w:val="21"/>
                <w:highlight w:val="none"/>
              </w:rPr>
              <w:t>建设再生水回用系统，污染控制区内不得建设不符合国家产业政策的工业项目及高污染工业项目；</w:t>
            </w:r>
          </w:p>
        </w:tc>
        <w:tc>
          <w:tcPr>
            <w:tcW w:w="3727" w:type="dxa"/>
            <w:vAlign w:val="center"/>
          </w:tcPr>
          <w:p>
            <w:pPr>
              <w:rPr>
                <w:color w:val="auto"/>
                <w:szCs w:val="21"/>
                <w:highlight w:val="none"/>
              </w:rPr>
            </w:pPr>
            <w:r>
              <w:rPr>
                <w:color w:val="auto"/>
                <w:szCs w:val="21"/>
                <w:highlight w:val="none"/>
              </w:rPr>
              <w:t>项目不属于高污染工业项目，不属于限制类和淘汰类项目，符合国家产业政策。</w:t>
            </w:r>
          </w:p>
        </w:tc>
        <w:tc>
          <w:tcPr>
            <w:tcW w:w="589" w:type="dxa"/>
            <w:vAlign w:val="center"/>
          </w:tcPr>
          <w:p>
            <w:pPr>
              <w:jc w:val="center"/>
              <w:rPr>
                <w:color w:val="auto"/>
                <w:szCs w:val="21"/>
                <w:highlight w:val="none"/>
              </w:rPr>
            </w:pPr>
            <w:r>
              <w:rPr>
                <w:color w:val="auto"/>
                <w:szCs w:val="21"/>
                <w:highlight w:val="none"/>
              </w:rPr>
              <w:t>符合</w:t>
            </w:r>
          </w:p>
        </w:tc>
      </w:tr>
    </w:tbl>
    <w:p>
      <w:pPr>
        <w:autoSpaceDE w:val="0"/>
        <w:autoSpaceDN w:val="0"/>
        <w:spacing w:line="360" w:lineRule="auto"/>
        <w:ind w:firstLine="480" w:firstLineChars="200"/>
        <w:rPr>
          <w:color w:val="auto"/>
          <w:sz w:val="24"/>
          <w:highlight w:val="none"/>
        </w:rPr>
      </w:pPr>
      <w:r>
        <w:rPr>
          <w:color w:val="auto"/>
          <w:sz w:val="24"/>
          <w:highlight w:val="none"/>
        </w:rPr>
        <w:t>综上所述，本项目选址符合《牛栏江（寻甸段）水环境保护规划（2011~2030）》相关要求。</w:t>
      </w:r>
    </w:p>
    <w:p>
      <w:pPr>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lang w:val="en-US" w:eastAsia="zh-CN"/>
        </w:rPr>
        <w:t>6</w:t>
      </w:r>
      <w:r>
        <w:rPr>
          <w:b/>
          <w:color w:val="auto"/>
          <w:sz w:val="24"/>
          <w:highlight w:val="none"/>
        </w:rPr>
        <w:t>）“三线一单”符合性分析</w:t>
      </w:r>
    </w:p>
    <w:p>
      <w:pPr>
        <w:spacing w:line="360" w:lineRule="auto"/>
        <w:ind w:firstLine="480" w:firstLineChars="200"/>
        <w:rPr>
          <w:b/>
          <w:color w:val="auto"/>
          <w:sz w:val="24"/>
          <w:highlight w:val="none"/>
        </w:rPr>
      </w:pPr>
      <w:r>
        <w:rPr>
          <w:color w:val="auto"/>
          <w:kern w:val="0"/>
          <w:sz w:val="24"/>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w:t>
      </w:r>
      <w:r>
        <w:rPr>
          <w:rFonts w:hint="eastAsia"/>
          <w:color w:val="auto"/>
          <w:kern w:val="0"/>
          <w:sz w:val="24"/>
          <w:highlight w:val="none"/>
          <w:lang w:eastAsia="zh-CN"/>
        </w:rPr>
        <w:t>环境</w:t>
      </w:r>
      <w:r>
        <w:rPr>
          <w:color w:val="auto"/>
          <w:kern w:val="0"/>
          <w:sz w:val="24"/>
          <w:highlight w:val="none"/>
        </w:rPr>
        <w:t>质量。</w:t>
      </w:r>
    </w:p>
    <w:p>
      <w:pPr>
        <w:spacing w:line="360" w:lineRule="auto"/>
        <w:ind w:firstLine="482" w:firstLineChars="200"/>
        <w:rPr>
          <w:b/>
          <w:color w:val="auto"/>
          <w:sz w:val="24"/>
          <w:highlight w:val="none"/>
        </w:rPr>
      </w:pPr>
      <w:r>
        <w:rPr>
          <w:b/>
          <w:color w:val="auto"/>
          <w:sz w:val="24"/>
          <w:highlight w:val="none"/>
        </w:rPr>
        <w:t>①生态保护红线</w:t>
      </w:r>
      <w:r>
        <w:rPr>
          <w:rFonts w:hint="eastAsia"/>
          <w:b/>
          <w:color w:val="auto"/>
          <w:sz w:val="24"/>
          <w:highlight w:val="none"/>
        </w:rPr>
        <w:t>和一般生态空间红线</w:t>
      </w:r>
    </w:p>
    <w:p>
      <w:pPr>
        <w:adjustRightInd w:val="0"/>
        <w:snapToGrid w:val="0"/>
        <w:spacing w:line="360" w:lineRule="auto"/>
        <w:ind w:firstLine="480" w:firstLineChars="200"/>
        <w:jc w:val="left"/>
        <w:rPr>
          <w:color w:val="auto"/>
          <w:sz w:val="24"/>
          <w:szCs w:val="21"/>
          <w:highlight w:val="none"/>
        </w:rPr>
      </w:pPr>
      <w:r>
        <w:rPr>
          <w:rFonts w:hint="eastAsia"/>
          <w:color w:val="auto"/>
          <w:sz w:val="24"/>
          <w:szCs w:val="21"/>
          <w:highlight w:val="none"/>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adjustRightInd w:val="0"/>
        <w:snapToGrid w:val="0"/>
        <w:spacing w:line="360" w:lineRule="auto"/>
        <w:ind w:firstLine="480" w:firstLineChars="200"/>
        <w:jc w:val="left"/>
        <w:rPr>
          <w:color w:val="auto"/>
          <w:sz w:val="24"/>
          <w:szCs w:val="21"/>
          <w:highlight w:val="none"/>
        </w:rPr>
      </w:pPr>
      <w:r>
        <w:rPr>
          <w:rFonts w:hint="eastAsia"/>
          <w:color w:val="auto"/>
          <w:sz w:val="24"/>
          <w:szCs w:val="21"/>
          <w:highlight w:val="none"/>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p>
      <w:pPr>
        <w:adjustRightInd w:val="0"/>
        <w:snapToGrid w:val="0"/>
        <w:spacing w:line="360" w:lineRule="auto"/>
        <w:ind w:firstLine="480" w:firstLineChars="200"/>
        <w:rPr>
          <w:color w:val="auto"/>
          <w:sz w:val="24"/>
          <w:highlight w:val="none"/>
        </w:rPr>
      </w:pPr>
      <w:r>
        <w:rPr>
          <w:color w:val="auto"/>
          <w:sz w:val="24"/>
          <w:highlight w:val="none"/>
        </w:rPr>
        <w:t>项目位于</w:t>
      </w:r>
      <w:r>
        <w:rPr>
          <w:rFonts w:hint="eastAsia"/>
          <w:color w:val="auto"/>
          <w:sz w:val="24"/>
          <w:highlight w:val="none"/>
          <w:lang w:val="en-US" w:eastAsia="zh-CN"/>
        </w:rPr>
        <w:t>寻甸县仁德街道三月三村</w:t>
      </w:r>
      <w:r>
        <w:rPr>
          <w:color w:val="auto"/>
          <w:sz w:val="24"/>
          <w:highlight w:val="none"/>
        </w:rPr>
        <w:t>。</w:t>
      </w:r>
      <w:r>
        <w:rPr>
          <w:rFonts w:hint="eastAsia"/>
          <w:color w:val="auto"/>
          <w:sz w:val="24"/>
          <w:highlight w:val="none"/>
        </w:rPr>
        <w:t>项目选址于</w:t>
      </w:r>
      <w:r>
        <w:rPr>
          <w:rFonts w:hint="eastAsia"/>
          <w:color w:val="auto"/>
          <w:sz w:val="24"/>
          <w:highlight w:val="none"/>
          <w:lang w:val="en-US" w:eastAsia="zh-CN"/>
        </w:rPr>
        <w:t>原三月三铸造厂</w:t>
      </w:r>
      <w:r>
        <w:rPr>
          <w:rFonts w:hint="eastAsia"/>
          <w:color w:val="auto"/>
          <w:sz w:val="24"/>
          <w:highlight w:val="none"/>
        </w:rPr>
        <w:t>范围内，项目不新增占地，</w:t>
      </w:r>
      <w:r>
        <w:rPr>
          <w:color w:val="auto"/>
          <w:sz w:val="24"/>
          <w:highlight w:val="none"/>
        </w:rPr>
        <w:t>根据寻甸回族彝族自治县自然资源局于</w:t>
      </w:r>
      <w:r>
        <w:rPr>
          <w:rFonts w:hint="eastAsia"/>
          <w:color w:val="auto"/>
          <w:sz w:val="24"/>
          <w:highlight w:val="none"/>
          <w:lang w:val="en-US" w:eastAsia="zh-CN"/>
        </w:rPr>
        <w:t>2023</w:t>
      </w:r>
      <w:r>
        <w:rPr>
          <w:color w:val="auto"/>
          <w:sz w:val="24"/>
          <w:highlight w:val="none"/>
        </w:rPr>
        <w:t>年</w:t>
      </w:r>
      <w:r>
        <w:rPr>
          <w:rFonts w:hint="eastAsia"/>
          <w:color w:val="auto"/>
          <w:sz w:val="24"/>
          <w:highlight w:val="none"/>
          <w:lang w:val="en-US" w:eastAsia="zh-CN"/>
        </w:rPr>
        <w:t>11</w:t>
      </w:r>
      <w:r>
        <w:rPr>
          <w:color w:val="auto"/>
          <w:sz w:val="24"/>
          <w:highlight w:val="none"/>
        </w:rPr>
        <w:t>月</w:t>
      </w:r>
      <w:r>
        <w:rPr>
          <w:rFonts w:hint="eastAsia"/>
          <w:color w:val="auto"/>
          <w:sz w:val="24"/>
          <w:highlight w:val="none"/>
          <w:lang w:val="en-US" w:eastAsia="zh-CN"/>
        </w:rPr>
        <w:t>28</w:t>
      </w:r>
      <w:r>
        <w:rPr>
          <w:color w:val="auto"/>
          <w:sz w:val="24"/>
          <w:highlight w:val="none"/>
        </w:rPr>
        <w:t>日出具的《</w:t>
      </w:r>
      <w:r>
        <w:rPr>
          <w:rFonts w:hint="eastAsia"/>
          <w:color w:val="auto"/>
          <w:sz w:val="24"/>
          <w:highlight w:val="none"/>
          <w:lang w:val="en-US" w:eastAsia="zh-CN"/>
        </w:rPr>
        <w:t>关于寻甸县蜀滇塑料制品经营部蔬菜框生产项目范围</w:t>
      </w:r>
      <w:r>
        <w:rPr>
          <w:color w:val="auto"/>
          <w:sz w:val="24"/>
          <w:highlight w:val="none"/>
        </w:rPr>
        <w:t>是否涉及生态保护红线的情况说明》</w:t>
      </w:r>
      <w:r>
        <w:rPr>
          <w:rFonts w:hint="eastAsia"/>
          <w:color w:val="auto"/>
          <w:sz w:val="24"/>
          <w:highlight w:val="none"/>
          <w:lang w:val="en-US" w:eastAsia="zh-CN"/>
        </w:rPr>
        <w:t>附件6</w:t>
      </w:r>
      <w:r>
        <w:rPr>
          <w:rFonts w:hint="eastAsia"/>
          <w:color w:val="auto"/>
          <w:sz w:val="24"/>
          <w:highlight w:val="none"/>
        </w:rPr>
        <w:t>，项目选址</w:t>
      </w:r>
      <w:r>
        <w:rPr>
          <w:rFonts w:hint="eastAsia"/>
          <w:color w:val="auto"/>
          <w:sz w:val="24"/>
          <w:highlight w:val="none"/>
          <w:lang w:val="en-US" w:eastAsia="zh-CN"/>
        </w:rPr>
        <w:t>未与寻甸县生态保护红线重叠</w:t>
      </w:r>
      <w:r>
        <w:rPr>
          <w:rFonts w:hint="eastAsia"/>
          <w:color w:val="auto"/>
          <w:sz w:val="24"/>
          <w:highlight w:val="none"/>
        </w:rPr>
        <w:t>，符合生态保护红线要求。</w:t>
      </w:r>
    </w:p>
    <w:p>
      <w:pPr>
        <w:spacing w:line="360" w:lineRule="auto"/>
        <w:ind w:firstLine="482" w:firstLineChars="200"/>
        <w:rPr>
          <w:b/>
          <w:color w:val="auto"/>
          <w:sz w:val="24"/>
          <w:highlight w:val="none"/>
        </w:rPr>
      </w:pPr>
      <w:r>
        <w:rPr>
          <w:b/>
          <w:color w:val="auto"/>
          <w:sz w:val="24"/>
          <w:highlight w:val="none"/>
        </w:rPr>
        <w:t>②环境质量底线</w:t>
      </w:r>
    </w:p>
    <w:p>
      <w:pPr>
        <w:adjustRightInd w:val="0"/>
        <w:snapToGrid w:val="0"/>
        <w:spacing w:line="360" w:lineRule="auto"/>
        <w:ind w:firstLine="480" w:firstLineChars="200"/>
        <w:jc w:val="left"/>
        <w:rPr>
          <w:color w:val="auto"/>
          <w:sz w:val="24"/>
          <w:szCs w:val="21"/>
          <w:highlight w:val="none"/>
        </w:rPr>
      </w:pPr>
      <w:r>
        <w:rPr>
          <w:rFonts w:hint="eastAsia"/>
          <w:color w:val="auto"/>
          <w:sz w:val="24"/>
          <w:szCs w:val="21"/>
          <w:highlight w:val="none"/>
        </w:rPr>
        <w:t>到2025年，全市生态环境质量持续改善，生态空间得到优化和有效保护，区域生态安全屏障更加牢固。全市环境空气质量总体保持优良，主城建成区空气质量优良天数占比达99%以上，二氧化硫(SO</w:t>
      </w:r>
      <w:r>
        <w:rPr>
          <w:rFonts w:hint="eastAsia"/>
          <w:color w:val="auto"/>
          <w:sz w:val="24"/>
          <w:szCs w:val="21"/>
          <w:highlight w:val="none"/>
          <w:vertAlign w:val="subscript"/>
        </w:rPr>
        <w:t>2</w:t>
      </w:r>
      <w:r>
        <w:rPr>
          <w:rFonts w:hint="eastAsia"/>
          <w:color w:val="auto"/>
          <w:sz w:val="24"/>
          <w:szCs w:val="21"/>
          <w:highlight w:val="none"/>
        </w:rPr>
        <w:t>) 和氮氧化物(NO</w:t>
      </w:r>
      <w:r>
        <w:rPr>
          <w:rFonts w:hint="eastAsia"/>
          <w:color w:val="auto"/>
          <w:sz w:val="24"/>
          <w:szCs w:val="21"/>
          <w:highlight w:val="none"/>
          <w:vertAlign w:val="subscript"/>
        </w:rPr>
        <w:t>x</w:t>
      </w:r>
      <w:r>
        <w:rPr>
          <w:rFonts w:hint="eastAsia"/>
          <w:color w:val="auto"/>
          <w:sz w:val="24"/>
          <w:szCs w:val="21"/>
          <w:highlight w:val="none"/>
        </w:rPr>
        <w:t>)排放总量控制在省下达的目标以内，主城区空气中颗粒物(PM10、PM2.5) 稳定达《环境空气质量标准》二级标准以上。纳入国家和省级考核的地表水监测断面水质优良率稳步提升，滇池流域、阳宗海流域水环境质量明显改善，水生态系统功能逐步恢复，滇池草海水质达IV类，滇池外海水质达IV类( 化学需氧量≤40毫克/升)，阳宗海水质达I类，集中式饮用水源水质巩固改善。土壤环境风险防范体系进一步完善，受污染耕地安全利用率和污染地块安全利用率进一步提高，逐步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adjustRightInd w:val="0"/>
        <w:snapToGrid w:val="0"/>
        <w:spacing w:line="360" w:lineRule="auto"/>
        <w:ind w:firstLine="480" w:firstLineChars="200"/>
        <w:rPr>
          <w:color w:val="auto"/>
          <w:sz w:val="24"/>
          <w:szCs w:val="21"/>
          <w:highlight w:val="none"/>
        </w:rPr>
      </w:pPr>
      <w:r>
        <w:rPr>
          <w:rFonts w:hint="eastAsia"/>
          <w:color w:val="auto"/>
          <w:sz w:val="24"/>
          <w:szCs w:val="21"/>
          <w:highlight w:val="none"/>
        </w:rPr>
        <w:t>到2035年，全市生态环境质量实现根本好转，生态功能</w:t>
      </w:r>
      <w:r>
        <w:rPr>
          <w:rFonts w:hint="eastAsia"/>
          <w:color w:val="auto"/>
          <w:sz w:val="24"/>
          <w:szCs w:val="21"/>
          <w:highlight w:val="none"/>
          <w:lang w:eastAsia="zh-CN"/>
        </w:rPr>
        <w:t>显著</w:t>
      </w:r>
      <w:r>
        <w:rPr>
          <w:rFonts w:hint="eastAsia"/>
          <w:color w:val="auto"/>
          <w:sz w:val="24"/>
          <w:szCs w:val="21"/>
          <w:highlight w:val="none"/>
        </w:rPr>
        <w:t>提升，区域生态安全得到全面保障。全市环境空气质量全面改善，各县(市)区、开发(度假)区环境空气质量稳定达到国家二级标准。地表水体水质优良率全面提升，各监测断面水质达到水环境功能要求，消除劣V类水体，集中式饮用水水源水质稳定达标。土壤环境质量稳中向好，农用地和建设用地土壤环境安全得到有效保障，土壤环境风险得到全面管控。</w:t>
      </w:r>
    </w:p>
    <w:p>
      <w:pPr>
        <w:spacing w:line="360" w:lineRule="auto"/>
        <w:ind w:firstLine="480" w:firstLineChars="200"/>
        <w:rPr>
          <w:color w:val="auto"/>
          <w:sz w:val="24"/>
          <w:highlight w:val="none"/>
        </w:rPr>
      </w:pPr>
      <w:r>
        <w:rPr>
          <w:rFonts w:hint="eastAsia"/>
          <w:color w:val="auto"/>
          <w:sz w:val="24"/>
          <w:highlight w:val="none"/>
        </w:rPr>
        <w:t>根据本项目4.2环境现状调查与评价，项目所在区域</w:t>
      </w:r>
      <w:r>
        <w:rPr>
          <w:color w:val="auto"/>
          <w:sz w:val="24"/>
          <w:highlight w:val="none"/>
        </w:rPr>
        <w:t>环境空气质量达到《环境空气质量标准》（GB3095-2012）二级标准，为环境空气质量达标区</w:t>
      </w:r>
      <w:r>
        <w:rPr>
          <w:rFonts w:hint="eastAsia"/>
          <w:color w:val="auto"/>
          <w:sz w:val="24"/>
          <w:highlight w:val="none"/>
        </w:rPr>
        <w:t>；</w:t>
      </w:r>
      <w:r>
        <w:rPr>
          <w:color w:val="auto"/>
          <w:sz w:val="24"/>
          <w:highlight w:val="none"/>
        </w:rPr>
        <w:t>项目周围最近的地表水体</w:t>
      </w:r>
      <w:r>
        <w:rPr>
          <w:rFonts w:hint="eastAsia"/>
          <w:color w:val="auto"/>
          <w:sz w:val="24"/>
          <w:highlight w:val="none"/>
          <w:lang w:val="en-US" w:eastAsia="zh-CN"/>
        </w:rPr>
        <w:t>为三月三水库和前进河，均未</w:t>
      </w:r>
      <w:r>
        <w:rPr>
          <w:color w:val="auto"/>
          <w:sz w:val="24"/>
          <w:highlight w:val="none"/>
        </w:rPr>
        <w:t>达到《地表水环境质量标准》(GB3838-2002) Ⅲ类水质量标准</w:t>
      </w: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超标原因主要是由于生活污水汇入，生活面源污染导致</w:t>
      </w:r>
      <w:r>
        <w:rPr>
          <w:rFonts w:hint="eastAsia" w:cs="Times New Roman"/>
          <w:color w:val="auto"/>
          <w:sz w:val="24"/>
          <w:szCs w:val="24"/>
          <w:highlight w:val="none"/>
          <w:lang w:val="en-US" w:eastAsia="zh-CN"/>
        </w:rPr>
        <w:t>地表水</w:t>
      </w:r>
      <w:r>
        <w:rPr>
          <w:rFonts w:hint="default" w:ascii="Times New Roman" w:hAnsi="Times New Roman" w:cs="Times New Roman"/>
          <w:color w:val="auto"/>
          <w:sz w:val="24"/>
          <w:szCs w:val="24"/>
          <w:highlight w:val="none"/>
          <w:lang w:val="en-US" w:eastAsia="zh-CN"/>
        </w:rPr>
        <w:t>水质变差</w:t>
      </w:r>
      <w:r>
        <w:rPr>
          <w:rFonts w:hint="eastAsia"/>
          <w:color w:val="auto"/>
          <w:sz w:val="24"/>
          <w:szCs w:val="22"/>
          <w:highlight w:val="none"/>
        </w:rPr>
        <w:t>；</w:t>
      </w:r>
      <w:r>
        <w:rPr>
          <w:color w:val="auto"/>
          <w:sz w:val="24"/>
          <w:highlight w:val="none"/>
        </w:rPr>
        <w:t>声环境达到《声环境质量标准》（GB3096-2008）</w:t>
      </w:r>
      <w:r>
        <w:rPr>
          <w:rFonts w:hint="eastAsia"/>
          <w:color w:val="auto"/>
          <w:sz w:val="24"/>
          <w:highlight w:val="none"/>
          <w:lang w:val="en-US" w:eastAsia="zh-CN"/>
        </w:rPr>
        <w:t>2类和4a</w:t>
      </w:r>
      <w:r>
        <w:rPr>
          <w:color w:val="auto"/>
          <w:sz w:val="24"/>
          <w:highlight w:val="none"/>
        </w:rPr>
        <w:t>类标准限值要求；土壤环境符合《土壤环境质量 建设用地土壤污染风险管控标准（试行）》（GB36600-2018）中的第二类用地土壤污染风险筛选值标准。</w:t>
      </w:r>
    </w:p>
    <w:p>
      <w:pPr>
        <w:spacing w:line="360" w:lineRule="auto"/>
        <w:ind w:firstLine="480" w:firstLineChars="200"/>
        <w:rPr>
          <w:color w:val="auto"/>
          <w:sz w:val="24"/>
          <w:highlight w:val="none"/>
        </w:rPr>
      </w:pPr>
      <w:r>
        <w:rPr>
          <w:color w:val="auto"/>
          <w:sz w:val="24"/>
          <w:highlight w:val="none"/>
        </w:rPr>
        <w:t>根据环境影响预测，本项目建成后，项目不会改变所在区域环境空气质量；本项目生产过程中不排放废水，对地表水环境影响较小；经预测分析，本项目运行期间厂界噪声达标，不会导致项目所在区域声环境超标；各类固废能得到有效处置，生态环境满足要求。因此，本项目建设不会对周围环境造成较大影响，不会</w:t>
      </w:r>
      <w:r>
        <w:rPr>
          <w:rFonts w:hint="eastAsia"/>
          <w:color w:val="auto"/>
          <w:sz w:val="24"/>
          <w:highlight w:val="none"/>
          <w:lang w:eastAsia="zh-CN"/>
        </w:rPr>
        <w:t>降低</w:t>
      </w:r>
      <w:r>
        <w:rPr>
          <w:color w:val="auto"/>
          <w:sz w:val="24"/>
          <w:highlight w:val="none"/>
        </w:rPr>
        <w:t>周围的环境质量，能够满足环境功能区要求，符合环境质量底线要求。</w:t>
      </w:r>
    </w:p>
    <w:p>
      <w:pPr>
        <w:spacing w:line="360" w:lineRule="auto"/>
        <w:ind w:firstLine="482" w:firstLineChars="200"/>
        <w:rPr>
          <w:b/>
          <w:color w:val="auto"/>
          <w:sz w:val="24"/>
          <w:highlight w:val="none"/>
        </w:rPr>
      </w:pPr>
      <w:r>
        <w:rPr>
          <w:b/>
          <w:color w:val="auto"/>
          <w:sz w:val="24"/>
          <w:highlight w:val="none"/>
        </w:rPr>
        <w:t>③资源利用上线</w:t>
      </w:r>
    </w:p>
    <w:p>
      <w:pPr>
        <w:adjustRightInd w:val="0"/>
        <w:snapToGrid w:val="0"/>
        <w:spacing w:line="360" w:lineRule="auto"/>
        <w:ind w:firstLine="480" w:firstLineChars="200"/>
        <w:jc w:val="left"/>
        <w:rPr>
          <w:color w:val="auto"/>
          <w:sz w:val="24"/>
          <w:szCs w:val="21"/>
          <w:highlight w:val="none"/>
        </w:rPr>
      </w:pPr>
      <w:r>
        <w:rPr>
          <w:rFonts w:hint="eastAsia"/>
          <w:color w:val="auto"/>
          <w:sz w:val="24"/>
          <w:szCs w:val="21"/>
          <w:highlight w:val="none"/>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p>
      <w:pPr>
        <w:spacing w:line="360" w:lineRule="auto"/>
        <w:ind w:firstLine="480" w:firstLineChars="200"/>
        <w:rPr>
          <w:color w:val="auto"/>
          <w:sz w:val="24"/>
          <w:highlight w:val="none"/>
        </w:rPr>
      </w:pPr>
      <w:r>
        <w:rPr>
          <w:color w:val="auto"/>
          <w:sz w:val="24"/>
          <w:highlight w:val="none"/>
        </w:rPr>
        <w:t>拟建项目位于</w:t>
      </w:r>
      <w:r>
        <w:rPr>
          <w:rFonts w:hint="eastAsia"/>
          <w:color w:val="auto"/>
          <w:sz w:val="24"/>
          <w:highlight w:val="none"/>
          <w:lang w:val="en-US" w:eastAsia="zh-CN"/>
        </w:rPr>
        <w:t>寻甸县仁德街道三月三村</w:t>
      </w:r>
      <w:r>
        <w:rPr>
          <w:color w:val="auto"/>
          <w:sz w:val="24"/>
          <w:highlight w:val="none"/>
        </w:rPr>
        <w:t>，项目</w:t>
      </w:r>
      <w:r>
        <w:rPr>
          <w:rFonts w:hint="eastAsia"/>
          <w:color w:val="auto"/>
          <w:sz w:val="24"/>
          <w:highlight w:val="none"/>
          <w:lang w:val="en-US" w:eastAsia="zh-CN"/>
        </w:rPr>
        <w:t>租用原三月三铸造厂厂房，用地性质为工业用地</w:t>
      </w:r>
      <w:r>
        <w:rPr>
          <w:color w:val="auto"/>
          <w:sz w:val="24"/>
          <w:highlight w:val="none"/>
        </w:rPr>
        <w:t>。本项目</w:t>
      </w:r>
      <w:r>
        <w:rPr>
          <w:rFonts w:hint="eastAsia"/>
          <w:color w:val="auto"/>
          <w:sz w:val="24"/>
          <w:highlight w:val="none"/>
          <w:lang w:val="en-US" w:eastAsia="zh-CN"/>
        </w:rPr>
        <w:t>利用再生塑料颗粒生产塑料框</w:t>
      </w:r>
      <w:r>
        <w:rPr>
          <w:color w:val="auto"/>
          <w:sz w:val="24"/>
          <w:highlight w:val="none"/>
        </w:rPr>
        <w:t>，不属于高污染、高耗能行业，项目生产过程中产生的固废可以回收利用的全部回收利用，不能回收利用的按照有关部门要求处置，固废均能得到合理处置，生产过程中产生的冷却水循环使用，不外排</w:t>
      </w:r>
      <w:r>
        <w:rPr>
          <w:rFonts w:hint="eastAsia"/>
          <w:color w:val="auto"/>
          <w:sz w:val="24"/>
          <w:highlight w:val="none"/>
          <w:lang w:eastAsia="zh-CN"/>
        </w:rPr>
        <w:t>；</w:t>
      </w:r>
      <w:r>
        <w:rPr>
          <w:color w:val="auto"/>
          <w:sz w:val="24"/>
          <w:highlight w:val="none"/>
        </w:rPr>
        <w:t>地面清洁废水及</w:t>
      </w:r>
      <w:r>
        <w:rPr>
          <w:rFonts w:hint="eastAsia"/>
          <w:color w:val="auto"/>
          <w:sz w:val="24"/>
          <w:highlight w:val="none"/>
          <w:lang w:val="en-US" w:eastAsia="zh-CN"/>
        </w:rPr>
        <w:t>员工洗手产生的生活污水经已建化粪池收集处理后，由建设单位定期清运至寻甸县水质净化厂处理，</w:t>
      </w:r>
      <w:r>
        <w:rPr>
          <w:color w:val="auto"/>
          <w:kern w:val="0"/>
          <w:sz w:val="24"/>
          <w:highlight w:val="none"/>
        </w:rPr>
        <w:t>不外排</w:t>
      </w:r>
      <w:r>
        <w:rPr>
          <w:color w:val="auto"/>
          <w:sz w:val="24"/>
          <w:highlight w:val="none"/>
        </w:rPr>
        <w:t>。</w:t>
      </w:r>
    </w:p>
    <w:p>
      <w:pPr>
        <w:spacing w:line="360" w:lineRule="auto"/>
        <w:ind w:firstLine="480" w:firstLineChars="200"/>
        <w:rPr>
          <w:color w:val="auto"/>
          <w:sz w:val="24"/>
          <w:highlight w:val="none"/>
        </w:rPr>
      </w:pPr>
      <w:r>
        <w:rPr>
          <w:color w:val="auto"/>
          <w:sz w:val="24"/>
          <w:highlight w:val="none"/>
        </w:rPr>
        <w:t>另外，项目运营过程将消耗一定量的电源等，根据工程分析、现场调查及环境影响分析，本项目实施后只要认真落实本评价提出的各项环保措施，并实施污染物排放总量控制要求，其周围环境质量基本能维持现有水平。</w:t>
      </w:r>
    </w:p>
    <w:p>
      <w:pPr>
        <w:spacing w:line="360" w:lineRule="auto"/>
        <w:ind w:firstLine="480" w:firstLineChars="200"/>
        <w:rPr>
          <w:color w:val="auto"/>
          <w:sz w:val="24"/>
          <w:highlight w:val="none"/>
        </w:rPr>
      </w:pPr>
      <w:r>
        <w:rPr>
          <w:color w:val="auto"/>
          <w:sz w:val="24"/>
          <w:highlight w:val="none"/>
        </w:rPr>
        <w:t>因此，项目符合所在地资源利用上线要求。</w:t>
      </w:r>
    </w:p>
    <w:p>
      <w:pPr>
        <w:spacing w:line="360" w:lineRule="auto"/>
        <w:ind w:firstLine="482" w:firstLineChars="200"/>
        <w:rPr>
          <w:b/>
          <w:color w:val="auto"/>
          <w:sz w:val="24"/>
          <w:highlight w:val="none"/>
        </w:rPr>
      </w:pPr>
      <w:r>
        <w:rPr>
          <w:b/>
          <w:color w:val="auto"/>
          <w:sz w:val="24"/>
          <w:highlight w:val="none"/>
        </w:rPr>
        <w:t>④</w:t>
      </w:r>
      <w:r>
        <w:rPr>
          <w:rFonts w:hint="eastAsia"/>
          <w:b/>
          <w:color w:val="auto"/>
          <w:sz w:val="24"/>
          <w:highlight w:val="none"/>
        </w:rPr>
        <w:t>生态</w:t>
      </w:r>
      <w:r>
        <w:rPr>
          <w:b/>
          <w:color w:val="auto"/>
          <w:sz w:val="24"/>
          <w:highlight w:val="none"/>
        </w:rPr>
        <w:t>环境准入清单</w:t>
      </w:r>
    </w:p>
    <w:p>
      <w:pPr>
        <w:spacing w:line="360" w:lineRule="auto"/>
        <w:ind w:firstLine="480" w:firstLineChars="200"/>
        <w:rPr>
          <w:color w:val="auto"/>
          <w:sz w:val="24"/>
          <w:szCs w:val="21"/>
          <w:highlight w:val="none"/>
        </w:rPr>
      </w:pPr>
      <w:r>
        <w:rPr>
          <w:rFonts w:hint="eastAsia"/>
          <w:color w:val="auto"/>
          <w:sz w:val="24"/>
          <w:szCs w:val="21"/>
          <w:highlight w:val="none"/>
        </w:rPr>
        <w:t>严格落实《云南省人民政府关于实施“三线一单”剩余环境分区管控的意见》（云政发〔2020〕29号）管控要求。强化污染防治和自然生态系统保护修复，改善区域生态环境质量。根据划分的全市环境管控单元的特征，对每个管控单位分别提出了生态环境管控要求，形成昆明市环境管控单元生态环境准入清单，构建全市生态环境分区管控体系，落实总体管控要求。</w:t>
      </w:r>
    </w:p>
    <w:p>
      <w:pPr>
        <w:autoSpaceDE w:val="0"/>
        <w:autoSpaceDN w:val="0"/>
        <w:adjustRightInd w:val="0"/>
        <w:snapToGrid w:val="0"/>
        <w:spacing w:line="360" w:lineRule="auto"/>
        <w:ind w:firstLine="480" w:firstLineChars="200"/>
        <w:rPr>
          <w:color w:val="auto"/>
          <w:sz w:val="24"/>
          <w:szCs w:val="21"/>
          <w:highlight w:val="none"/>
        </w:rPr>
      </w:pPr>
      <w:r>
        <w:rPr>
          <w:color w:val="auto"/>
          <w:sz w:val="24"/>
          <w:highlight w:val="none"/>
        </w:rPr>
        <w:t>项目建设地点位于</w:t>
      </w:r>
      <w:r>
        <w:rPr>
          <w:rFonts w:hint="eastAsia"/>
          <w:color w:val="auto"/>
          <w:sz w:val="24"/>
          <w:highlight w:val="none"/>
          <w:lang w:val="en-US" w:eastAsia="zh-CN"/>
        </w:rPr>
        <w:t>寻甸县仁德街道三月三村</w:t>
      </w:r>
      <w:r>
        <w:rPr>
          <w:color w:val="auto"/>
          <w:sz w:val="24"/>
          <w:highlight w:val="none"/>
        </w:rPr>
        <w:t>。根据</w:t>
      </w:r>
      <w:r>
        <w:rPr>
          <w:rFonts w:hint="eastAsia"/>
          <w:color w:val="auto"/>
          <w:sz w:val="24"/>
          <w:highlight w:val="none"/>
          <w:lang w:val="en-US" w:eastAsia="zh-CN"/>
        </w:rPr>
        <w:t>昆明市生态环境工程评估中心</w:t>
      </w:r>
      <w:r>
        <w:rPr>
          <w:color w:val="auto"/>
          <w:sz w:val="24"/>
          <w:highlight w:val="none"/>
        </w:rPr>
        <w:t>于</w:t>
      </w:r>
      <w:r>
        <w:rPr>
          <w:rFonts w:hint="eastAsia"/>
          <w:color w:val="auto"/>
          <w:sz w:val="24"/>
          <w:highlight w:val="none"/>
          <w:lang w:val="en-US" w:eastAsia="zh-CN"/>
        </w:rPr>
        <w:t>2023</w:t>
      </w:r>
      <w:r>
        <w:rPr>
          <w:color w:val="auto"/>
          <w:sz w:val="24"/>
          <w:highlight w:val="none"/>
        </w:rPr>
        <w:t>年</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14</w:t>
      </w:r>
      <w:r>
        <w:rPr>
          <w:color w:val="auto"/>
          <w:sz w:val="24"/>
          <w:highlight w:val="none"/>
        </w:rPr>
        <w:t>日出具的《</w:t>
      </w:r>
      <w:r>
        <w:rPr>
          <w:rFonts w:hint="eastAsia"/>
          <w:color w:val="auto"/>
          <w:sz w:val="24"/>
          <w:highlight w:val="none"/>
          <w:lang w:val="en-US" w:eastAsia="zh-CN"/>
        </w:rPr>
        <w:t>关于查询寻甸县蜀滇塑料制品经营部蔬菜框生产项目占用“三线一单”情况的复函</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昆环评估函[2023]439号</w:t>
      </w:r>
      <w:r>
        <w:rPr>
          <w:rFonts w:hint="eastAsia"/>
          <w:color w:val="auto"/>
          <w:sz w:val="24"/>
          <w:highlight w:val="none"/>
          <w:lang w:eastAsia="zh-CN"/>
        </w:rPr>
        <w:t>）</w:t>
      </w:r>
      <w:r>
        <w:rPr>
          <w:rFonts w:hint="eastAsia"/>
          <w:color w:val="auto"/>
          <w:sz w:val="24"/>
          <w:highlight w:val="none"/>
          <w:lang w:val="en-US" w:eastAsia="zh-CN"/>
        </w:rPr>
        <w:t>附件7，项目位于寻甸回族彝族自治县一般管控单元。</w:t>
      </w:r>
      <w:r>
        <w:rPr>
          <w:rFonts w:hint="eastAsia"/>
          <w:color w:val="auto"/>
          <w:sz w:val="24"/>
          <w:szCs w:val="21"/>
          <w:highlight w:val="none"/>
        </w:rPr>
        <w:t>项目与</w:t>
      </w:r>
      <w:r>
        <w:rPr>
          <w:rFonts w:hint="eastAsia"/>
          <w:color w:val="auto"/>
          <w:sz w:val="24"/>
          <w:szCs w:val="21"/>
          <w:highlight w:val="none"/>
          <w:lang w:val="en-US" w:eastAsia="zh-CN"/>
        </w:rPr>
        <w:t>一般</w:t>
      </w:r>
      <w:r>
        <w:rPr>
          <w:rFonts w:hint="eastAsia"/>
          <w:color w:val="auto"/>
          <w:sz w:val="24"/>
          <w:szCs w:val="21"/>
          <w:highlight w:val="none"/>
        </w:rPr>
        <w:t>管控单元管控要求的符合性见下表所示：</w:t>
      </w:r>
    </w:p>
    <w:p>
      <w:pPr>
        <w:adjustRightInd w:val="0"/>
        <w:snapToGrid w:val="0"/>
        <w:spacing w:line="360" w:lineRule="auto"/>
        <w:jc w:val="center"/>
        <w:rPr>
          <w:b/>
          <w:bCs/>
          <w:color w:val="auto"/>
          <w:sz w:val="24"/>
          <w:szCs w:val="21"/>
          <w:highlight w:val="none"/>
        </w:rPr>
      </w:pPr>
      <w:r>
        <w:rPr>
          <w:rFonts w:hint="eastAsia"/>
          <w:b/>
          <w:bCs/>
          <w:color w:val="auto"/>
          <w:sz w:val="24"/>
          <w:szCs w:val="21"/>
          <w:highlight w:val="none"/>
        </w:rPr>
        <w:t>表8.2-</w:t>
      </w:r>
      <w:r>
        <w:rPr>
          <w:rFonts w:hint="eastAsia"/>
          <w:b/>
          <w:bCs/>
          <w:color w:val="auto"/>
          <w:sz w:val="24"/>
          <w:szCs w:val="21"/>
          <w:highlight w:val="none"/>
          <w:lang w:val="en-US" w:eastAsia="zh-CN"/>
        </w:rPr>
        <w:t>5</w:t>
      </w:r>
      <w:r>
        <w:rPr>
          <w:rFonts w:hint="eastAsia"/>
          <w:b/>
          <w:bCs/>
          <w:color w:val="auto"/>
          <w:sz w:val="24"/>
          <w:szCs w:val="21"/>
          <w:highlight w:val="none"/>
        </w:rPr>
        <w:t xml:space="preserve">  与</w:t>
      </w:r>
      <w:r>
        <w:rPr>
          <w:rFonts w:hint="eastAsia"/>
          <w:b/>
          <w:bCs/>
          <w:color w:val="auto"/>
          <w:sz w:val="24"/>
          <w:szCs w:val="21"/>
          <w:highlight w:val="none"/>
          <w:lang w:val="en-US" w:eastAsia="zh-CN"/>
        </w:rPr>
        <w:t>寻甸回族彝族自治县一般管控单元</w:t>
      </w:r>
      <w:r>
        <w:rPr>
          <w:rFonts w:hint="eastAsia"/>
          <w:b/>
          <w:bCs/>
          <w:color w:val="auto"/>
          <w:sz w:val="24"/>
          <w:szCs w:val="21"/>
          <w:highlight w:val="none"/>
        </w:rPr>
        <w:t>要求的符合性分析</w:t>
      </w:r>
    </w:p>
    <w:tbl>
      <w:tblPr>
        <w:tblStyle w:val="56"/>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704"/>
        <w:gridCol w:w="2775"/>
        <w:gridCol w:w="3618"/>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pPr>
              <w:snapToGrid w:val="0"/>
              <w:jc w:val="center"/>
              <w:rPr>
                <w:b/>
                <w:bCs/>
                <w:color w:val="auto"/>
                <w:szCs w:val="21"/>
                <w:highlight w:val="none"/>
              </w:rPr>
            </w:pPr>
            <w:r>
              <w:rPr>
                <w:rFonts w:hint="eastAsia"/>
                <w:b/>
                <w:bCs/>
                <w:color w:val="auto"/>
                <w:szCs w:val="21"/>
                <w:highlight w:val="none"/>
              </w:rPr>
              <w:t>单元名称</w:t>
            </w:r>
          </w:p>
        </w:tc>
        <w:tc>
          <w:tcPr>
            <w:tcW w:w="3479" w:type="dxa"/>
            <w:gridSpan w:val="2"/>
            <w:vAlign w:val="center"/>
          </w:tcPr>
          <w:p>
            <w:pPr>
              <w:snapToGrid w:val="0"/>
              <w:jc w:val="center"/>
              <w:rPr>
                <w:b/>
                <w:bCs/>
                <w:color w:val="auto"/>
                <w:szCs w:val="21"/>
                <w:highlight w:val="none"/>
              </w:rPr>
            </w:pPr>
            <w:r>
              <w:rPr>
                <w:rFonts w:hint="eastAsia"/>
                <w:b/>
                <w:bCs/>
                <w:color w:val="auto"/>
                <w:szCs w:val="21"/>
                <w:highlight w:val="none"/>
              </w:rPr>
              <w:t>管控要求</w:t>
            </w:r>
          </w:p>
        </w:tc>
        <w:tc>
          <w:tcPr>
            <w:tcW w:w="3618" w:type="dxa"/>
            <w:vAlign w:val="center"/>
          </w:tcPr>
          <w:p>
            <w:pPr>
              <w:snapToGrid w:val="0"/>
              <w:jc w:val="center"/>
              <w:rPr>
                <w:b/>
                <w:bCs/>
                <w:color w:val="auto"/>
                <w:szCs w:val="21"/>
                <w:highlight w:val="none"/>
              </w:rPr>
            </w:pPr>
            <w:r>
              <w:rPr>
                <w:rFonts w:hint="eastAsia"/>
                <w:b/>
                <w:bCs/>
                <w:color w:val="auto"/>
                <w:szCs w:val="21"/>
                <w:highlight w:val="none"/>
              </w:rPr>
              <w:t>本项目情况</w:t>
            </w:r>
          </w:p>
        </w:tc>
        <w:tc>
          <w:tcPr>
            <w:tcW w:w="573" w:type="dxa"/>
            <w:vAlign w:val="center"/>
          </w:tcPr>
          <w:p>
            <w:pPr>
              <w:snapToGrid w:val="0"/>
              <w:jc w:val="center"/>
              <w:rPr>
                <w:b/>
                <w:bCs/>
                <w:color w:val="auto"/>
                <w:szCs w:val="21"/>
                <w:highlight w:val="none"/>
              </w:rPr>
            </w:pPr>
            <w:r>
              <w:rPr>
                <w:rFonts w:hint="eastAsia"/>
                <w:b/>
                <w:bCs/>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restart"/>
            <w:vAlign w:val="center"/>
          </w:tcPr>
          <w:p>
            <w:pPr>
              <w:snapToGrid w:val="0"/>
              <w:jc w:val="center"/>
              <w:rPr>
                <w:color w:val="auto"/>
                <w:szCs w:val="21"/>
                <w:highlight w:val="none"/>
              </w:rPr>
            </w:pPr>
            <w:r>
              <w:rPr>
                <w:rFonts w:hint="eastAsia"/>
                <w:color w:val="auto"/>
                <w:szCs w:val="21"/>
                <w:highlight w:val="none"/>
                <w:lang w:val="en-US" w:eastAsia="zh-CN"/>
              </w:rPr>
              <w:t>寻甸回族彝族自治县一般管控单元</w:t>
            </w:r>
            <w:r>
              <w:rPr>
                <w:rFonts w:hint="eastAsia"/>
                <w:color w:val="auto"/>
                <w:szCs w:val="21"/>
                <w:highlight w:val="none"/>
              </w:rPr>
              <w:t>（</w:t>
            </w:r>
            <w:r>
              <w:rPr>
                <w:rFonts w:hint="eastAsia"/>
                <w:color w:val="auto"/>
                <w:szCs w:val="21"/>
                <w:highlight w:val="none"/>
                <w:lang w:val="en-US" w:eastAsia="zh-CN"/>
              </w:rPr>
              <w:t>一般</w:t>
            </w:r>
            <w:r>
              <w:rPr>
                <w:rFonts w:hint="eastAsia"/>
                <w:color w:val="auto"/>
                <w:szCs w:val="21"/>
                <w:highlight w:val="none"/>
              </w:rPr>
              <w:t>管控单元ZH</w:t>
            </w:r>
            <w:r>
              <w:rPr>
                <w:rFonts w:hint="eastAsia"/>
                <w:color w:val="auto"/>
                <w:szCs w:val="21"/>
                <w:highlight w:val="none"/>
                <w:lang w:val="en-US" w:eastAsia="zh-CN"/>
              </w:rPr>
              <w:t>53012930001</w:t>
            </w:r>
            <w:r>
              <w:rPr>
                <w:rFonts w:hint="eastAsia"/>
                <w:color w:val="auto"/>
                <w:szCs w:val="21"/>
                <w:highlight w:val="none"/>
              </w:rPr>
              <w:t>）</w:t>
            </w:r>
          </w:p>
        </w:tc>
        <w:tc>
          <w:tcPr>
            <w:tcW w:w="704" w:type="dxa"/>
            <w:vAlign w:val="center"/>
          </w:tcPr>
          <w:p>
            <w:pPr>
              <w:snapToGrid w:val="0"/>
              <w:jc w:val="center"/>
              <w:rPr>
                <w:color w:val="auto"/>
                <w:szCs w:val="21"/>
                <w:highlight w:val="none"/>
              </w:rPr>
            </w:pPr>
            <w:r>
              <w:rPr>
                <w:rFonts w:hint="eastAsia"/>
                <w:color w:val="auto"/>
                <w:szCs w:val="21"/>
                <w:highlight w:val="none"/>
              </w:rPr>
              <w:t>空间布局约束</w:t>
            </w:r>
          </w:p>
        </w:tc>
        <w:tc>
          <w:tcPr>
            <w:tcW w:w="2775" w:type="dxa"/>
            <w:vAlign w:val="center"/>
          </w:tcPr>
          <w:p>
            <w:pPr>
              <w:snapToGrid w:val="0"/>
              <w:rPr>
                <w:rStyle w:val="540"/>
                <w:rFonts w:ascii="Times New Roman" w:hAnsi="Times New Roman" w:eastAsia="宋体" w:cstheme="minorBidi"/>
                <w:color w:val="auto"/>
                <w:kern w:val="0"/>
                <w:szCs w:val="21"/>
                <w:highlight w:val="none"/>
              </w:rPr>
            </w:pPr>
            <w:r>
              <w:rPr>
                <w:rStyle w:val="540"/>
                <w:rFonts w:ascii="Times New Roman" w:hAnsi="Times New Roman" w:eastAsia="宋体" w:cstheme="minorBidi"/>
                <w:color w:val="auto"/>
                <w:kern w:val="0"/>
                <w:szCs w:val="21"/>
                <w:highlight w:val="none"/>
              </w:rPr>
              <w:t>1.禁止一切破坏水环境生态平衡的活动及破坏水源林、护岸林、与水源保护相关植被的活动。</w:t>
            </w:r>
          </w:p>
          <w:p>
            <w:pPr>
              <w:snapToGrid w:val="0"/>
              <w:rPr>
                <w:rStyle w:val="540"/>
                <w:rFonts w:ascii="Times New Roman" w:hAnsi="Times New Roman" w:eastAsia="宋体" w:cstheme="minorBidi"/>
                <w:color w:val="auto"/>
                <w:kern w:val="0"/>
                <w:szCs w:val="21"/>
                <w:highlight w:val="none"/>
              </w:rPr>
            </w:pPr>
            <w:r>
              <w:rPr>
                <w:rStyle w:val="540"/>
                <w:rFonts w:ascii="Times New Roman" w:hAnsi="Times New Roman" w:eastAsia="宋体" w:cstheme="minorBidi"/>
                <w:color w:val="auto"/>
                <w:kern w:val="0"/>
                <w:szCs w:val="21"/>
                <w:highlight w:val="none"/>
              </w:rPr>
              <w:t>2.禁止向水域倾倒工业废渣、城市垃圾、粪便及其他废弃物。</w:t>
            </w:r>
          </w:p>
          <w:p>
            <w:pPr>
              <w:snapToGrid w:val="0"/>
              <w:rPr>
                <w:rStyle w:val="540"/>
                <w:rFonts w:ascii="Times New Roman" w:hAnsi="Times New Roman" w:eastAsia="宋体" w:cstheme="minorBidi"/>
                <w:color w:val="auto"/>
                <w:kern w:val="0"/>
                <w:szCs w:val="21"/>
                <w:highlight w:val="none"/>
              </w:rPr>
            </w:pPr>
            <w:r>
              <w:rPr>
                <w:rStyle w:val="540"/>
                <w:rFonts w:ascii="Times New Roman" w:hAnsi="Times New Roman" w:eastAsia="宋体" w:cstheme="minorBidi"/>
                <w:color w:val="auto"/>
                <w:kern w:val="0"/>
                <w:szCs w:val="21"/>
                <w:highlight w:val="none"/>
              </w:rPr>
              <w:t>3.禁止使用剧毒和高残留农药，不得滥用化肥，不得使用炸药、毒品捕杀鱼类。</w:t>
            </w:r>
          </w:p>
          <w:p>
            <w:pPr>
              <w:snapToGrid w:val="0"/>
              <w:rPr>
                <w:rStyle w:val="540"/>
                <w:rFonts w:ascii="Times New Roman" w:hAnsi="Times New Roman" w:eastAsia="宋体" w:cstheme="minorBidi"/>
                <w:color w:val="auto"/>
                <w:kern w:val="0"/>
                <w:szCs w:val="21"/>
                <w:highlight w:val="none"/>
              </w:rPr>
            </w:pPr>
            <w:r>
              <w:rPr>
                <w:rStyle w:val="540"/>
                <w:rFonts w:ascii="Times New Roman" w:hAnsi="Times New Roman" w:eastAsia="宋体" w:cstheme="minorBidi"/>
                <w:color w:val="auto"/>
                <w:kern w:val="0"/>
                <w:szCs w:val="21"/>
                <w:highlight w:val="none"/>
              </w:rPr>
              <w:t>4.禁止设立装卸垃圾、粪便、油类和有毒物品的码头。</w:t>
            </w:r>
          </w:p>
          <w:p>
            <w:pPr>
              <w:snapToGrid w:val="0"/>
              <w:rPr>
                <w:rStyle w:val="540"/>
                <w:rFonts w:ascii="Times New Roman" w:hAnsi="Times New Roman" w:eastAsia="宋体" w:cstheme="minorBidi"/>
                <w:color w:val="auto"/>
                <w:kern w:val="0"/>
                <w:szCs w:val="21"/>
                <w:highlight w:val="none"/>
              </w:rPr>
            </w:pPr>
            <w:r>
              <w:rPr>
                <w:rStyle w:val="540"/>
                <w:rFonts w:ascii="Times New Roman" w:hAnsi="Times New Roman" w:eastAsia="宋体" w:cstheme="minorBidi"/>
                <w:color w:val="auto"/>
                <w:kern w:val="0"/>
                <w:szCs w:val="21"/>
                <w:highlight w:val="none"/>
              </w:rPr>
              <w:t>5.禁止新建、扩建对水体污染严重的建设项目；改建建设项目，不得增加排污量。</w:t>
            </w:r>
          </w:p>
        </w:tc>
        <w:tc>
          <w:tcPr>
            <w:tcW w:w="3618" w:type="dxa"/>
            <w:vAlign w:val="center"/>
          </w:tcPr>
          <w:p>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本项目属于塑料框生产项目，不属于破坏水环境生态平衡的活动及破坏水源林、护岸林、与水源保护相关植被的活动；项目各固体废物100%处置，不涉及向水域倾倒工业废渣、城市垃圾、粪便及其他废弃物；项目不涉及使用剧毒和高残留农药，不使用化肥、不使用炸药、毒品捕杀鱼类；项目不涉及装卸垃圾、粪便、油类和有毒物品的码头；项目废水经化粪池收集处理后，由建设单位定期自行清运至寻甸县水质净化厂处理，项目废水不外排。</w:t>
            </w:r>
          </w:p>
        </w:tc>
        <w:tc>
          <w:tcPr>
            <w:tcW w:w="573" w:type="dxa"/>
            <w:vAlign w:val="center"/>
          </w:tcPr>
          <w:p>
            <w:pPr>
              <w:snapToGrid w:val="0"/>
              <w:jc w:val="cente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vAlign w:val="center"/>
          </w:tcPr>
          <w:p>
            <w:pPr>
              <w:snapToGrid w:val="0"/>
              <w:jc w:val="center"/>
              <w:rPr>
                <w:color w:val="auto"/>
                <w:szCs w:val="21"/>
                <w:highlight w:val="none"/>
              </w:rPr>
            </w:pPr>
          </w:p>
        </w:tc>
        <w:tc>
          <w:tcPr>
            <w:tcW w:w="704" w:type="dxa"/>
            <w:vAlign w:val="center"/>
          </w:tcPr>
          <w:p>
            <w:pPr>
              <w:snapToGrid w:val="0"/>
              <w:jc w:val="center"/>
              <w:rPr>
                <w:rStyle w:val="540"/>
                <w:rFonts w:cstheme="minorBidi"/>
                <w:color w:val="auto"/>
                <w:kern w:val="0"/>
                <w:szCs w:val="21"/>
                <w:highlight w:val="none"/>
              </w:rPr>
            </w:pPr>
            <w:r>
              <w:rPr>
                <w:rStyle w:val="540"/>
                <w:rFonts w:cstheme="minorBidi"/>
                <w:color w:val="auto"/>
                <w:kern w:val="0"/>
                <w:szCs w:val="21"/>
                <w:highlight w:val="none"/>
              </w:rPr>
              <w:t>环境风险</w:t>
            </w:r>
          </w:p>
          <w:p>
            <w:pPr>
              <w:snapToGrid w:val="0"/>
              <w:jc w:val="center"/>
              <w:rPr>
                <w:rFonts w:cstheme="minorBidi"/>
                <w:color w:val="auto"/>
                <w:szCs w:val="21"/>
                <w:highlight w:val="none"/>
              </w:rPr>
            </w:pPr>
            <w:r>
              <w:rPr>
                <w:rStyle w:val="540"/>
                <w:rFonts w:cstheme="minorBidi"/>
                <w:color w:val="auto"/>
                <w:kern w:val="0"/>
                <w:szCs w:val="21"/>
                <w:highlight w:val="none"/>
              </w:rPr>
              <w:t>防控</w:t>
            </w:r>
          </w:p>
        </w:tc>
        <w:tc>
          <w:tcPr>
            <w:tcW w:w="2775" w:type="dxa"/>
            <w:vAlign w:val="center"/>
          </w:tcPr>
          <w:p>
            <w:pPr>
              <w:snapToGrid w:val="0"/>
              <w:rPr>
                <w:rStyle w:val="540"/>
                <w:rFonts w:ascii="Times New Roman" w:hAnsi="Times New Roman" w:eastAsia="宋体" w:cstheme="minorBidi"/>
                <w:color w:val="auto"/>
                <w:kern w:val="0"/>
                <w:szCs w:val="21"/>
                <w:highlight w:val="none"/>
              </w:rPr>
            </w:pPr>
            <w:r>
              <w:rPr>
                <w:rStyle w:val="540"/>
                <w:rFonts w:ascii="Times New Roman" w:hAnsi="Times New Roman" w:eastAsia="宋体" w:cstheme="minorBidi"/>
                <w:color w:val="auto"/>
                <w:kern w:val="0"/>
                <w:szCs w:val="21"/>
                <w:highlight w:val="none"/>
              </w:rPr>
              <w:t>1.防范农业面源污染，实现畜禽粪污资源化利用。</w:t>
            </w:r>
            <w:r>
              <w:rPr>
                <w:rStyle w:val="540"/>
                <w:rFonts w:ascii="Times New Roman" w:hAnsi="Times New Roman" w:eastAsia="宋体" w:cstheme="minorBidi"/>
                <w:color w:val="auto"/>
                <w:kern w:val="0"/>
                <w:szCs w:val="21"/>
                <w:highlight w:val="none"/>
              </w:rPr>
              <w:br w:type="textWrapping"/>
            </w:r>
            <w:r>
              <w:rPr>
                <w:rStyle w:val="540"/>
                <w:rFonts w:ascii="Times New Roman" w:hAnsi="Times New Roman" w:eastAsia="宋体" w:cstheme="minorBidi"/>
                <w:color w:val="auto"/>
                <w:kern w:val="0"/>
                <w:szCs w:val="21"/>
                <w:highlight w:val="none"/>
              </w:rPr>
              <w:t>2.禁止高毒高风险农药使用。</w:t>
            </w:r>
            <w:r>
              <w:rPr>
                <w:rStyle w:val="540"/>
                <w:rFonts w:ascii="Times New Roman" w:hAnsi="Times New Roman" w:eastAsia="宋体" w:cstheme="minorBidi"/>
                <w:color w:val="auto"/>
                <w:kern w:val="0"/>
                <w:szCs w:val="21"/>
                <w:highlight w:val="none"/>
              </w:rPr>
              <w:br w:type="textWrapping"/>
            </w:r>
            <w:r>
              <w:rPr>
                <w:rStyle w:val="540"/>
                <w:rFonts w:ascii="Times New Roman" w:hAnsi="Times New Roman" w:eastAsia="宋体" w:cstheme="minorBidi"/>
                <w:color w:val="auto"/>
                <w:kern w:val="0"/>
                <w:szCs w:val="21"/>
                <w:highlight w:val="none"/>
              </w:rPr>
              <w:t>3.建立环境风险预测预警体系，完善突发环境事件应急预案，提高预警能力。</w:t>
            </w:r>
          </w:p>
        </w:tc>
        <w:tc>
          <w:tcPr>
            <w:tcW w:w="3618" w:type="dxa"/>
            <w:vAlign w:val="center"/>
          </w:tcPr>
          <w:p>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本项目属于塑料框生产项目，不涉及农业面源污染，不涉及畜禽粪污资源化利用；项目不使用高毒高风险农药；本项目建立环境风险预测预警体系，完善突发环境事件应急预案，提高预警能力。</w:t>
            </w:r>
          </w:p>
        </w:tc>
        <w:tc>
          <w:tcPr>
            <w:tcW w:w="573" w:type="dxa"/>
            <w:vAlign w:val="center"/>
          </w:tcPr>
          <w:p>
            <w:pPr>
              <w:snapToGrid w:val="0"/>
              <w:jc w:val="center"/>
              <w:rPr>
                <w:color w:val="auto"/>
                <w:szCs w:val="21"/>
                <w:highlight w:val="none"/>
              </w:rPr>
            </w:pPr>
            <w:r>
              <w:rPr>
                <w:rFonts w:hint="eastAsia"/>
                <w:color w:val="auto"/>
                <w:szCs w:val="21"/>
                <w:highlight w:val="none"/>
              </w:rPr>
              <w:t>符合</w:t>
            </w:r>
          </w:p>
        </w:tc>
      </w:tr>
    </w:tbl>
    <w:p>
      <w:pPr>
        <w:spacing w:line="360" w:lineRule="auto"/>
        <w:ind w:firstLine="480" w:firstLineChars="200"/>
        <w:rPr>
          <w:color w:val="auto"/>
          <w:sz w:val="24"/>
          <w:highlight w:val="none"/>
        </w:rPr>
      </w:pPr>
      <w:r>
        <w:rPr>
          <w:color w:val="auto"/>
          <w:sz w:val="24"/>
          <w:highlight w:val="none"/>
        </w:rPr>
        <w:t>综上，项目建设符合“三线一单”相关要求。</w:t>
      </w:r>
    </w:p>
    <w:p>
      <w:pPr>
        <w:spacing w:line="360" w:lineRule="auto"/>
        <w:ind w:firstLine="482" w:firstLineChars="200"/>
        <w:rPr>
          <w:b/>
          <w:color w:val="auto"/>
          <w:sz w:val="24"/>
          <w:highlight w:val="none"/>
        </w:rPr>
      </w:pPr>
      <w:r>
        <w:rPr>
          <w:rFonts w:hint="eastAsia"/>
          <w:b/>
          <w:color w:val="auto"/>
          <w:sz w:val="24"/>
          <w:highlight w:val="none"/>
          <w:lang w:val="en-US" w:eastAsia="zh-CN"/>
        </w:rPr>
        <w:t>3</w:t>
      </w:r>
      <w:r>
        <w:rPr>
          <w:b/>
          <w:color w:val="auto"/>
          <w:sz w:val="24"/>
          <w:highlight w:val="none"/>
        </w:rPr>
        <w:t>、与环境管理政策符合性分析</w:t>
      </w:r>
    </w:p>
    <w:p>
      <w:pPr>
        <w:spacing w:line="360" w:lineRule="auto"/>
        <w:ind w:firstLine="482" w:firstLineChars="200"/>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1</w:t>
      </w:r>
      <w:r>
        <w:rPr>
          <w:rFonts w:hint="eastAsia"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与《重点行业挥发性有机物综合治理方案》（环大气〔2019〕53号）相符性分析</w:t>
      </w:r>
    </w:p>
    <w:p>
      <w:pPr>
        <w:tabs>
          <w:tab w:val="left" w:pos="3750"/>
        </w:tabs>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szCs w:val="24"/>
          <w:highlight w:val="none"/>
          <w:lang w:val="en-US" w:eastAsia="zh-CN"/>
        </w:rPr>
        <w:t>根据生态环境部</w:t>
      </w:r>
      <w:r>
        <w:rPr>
          <w:rFonts w:hint="eastAsia" w:cs="Times New Roman"/>
          <w:color w:val="auto"/>
          <w:sz w:val="24"/>
          <w:szCs w:val="24"/>
          <w:highlight w:val="none"/>
          <w:lang w:val="en-US" w:eastAsia="zh-CN"/>
        </w:rPr>
        <w:t>于</w:t>
      </w:r>
      <w:r>
        <w:rPr>
          <w:rFonts w:hint="default" w:ascii="Times New Roman" w:hAnsi="Times New Roman" w:cs="Times New Roman"/>
          <w:color w:val="auto"/>
          <w:sz w:val="24"/>
          <w:szCs w:val="24"/>
          <w:highlight w:val="none"/>
          <w:lang w:val="en-US" w:eastAsia="zh-CN"/>
        </w:rPr>
        <w:t>2019年6月26日发布的《重点行业挥发性有机物综合治理方案》的主要目标：“到2020年，建立健全VOCs污染防治管理体系，重点区域、重点行业VOCs治理取得明显成效，完成“十三五”规划确定的VOCs排放量下降10%的目标任务，协同控制温室气体排放，推动环境空气质量持续改善。”本项目相关要求对照分析如下：</w:t>
      </w:r>
    </w:p>
    <w:p>
      <w:pPr>
        <w:adjustRightInd w:val="0"/>
        <w:snapToGrid w:val="0"/>
        <w:spacing w:line="360" w:lineRule="auto"/>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表</w:t>
      </w:r>
      <w:r>
        <w:rPr>
          <w:rFonts w:hint="eastAsia" w:ascii="Times New Roman" w:hAnsi="Times New Roman" w:eastAsia="宋体" w:cs="Times New Roman"/>
          <w:b/>
          <w:bCs/>
          <w:color w:val="auto"/>
          <w:sz w:val="24"/>
          <w:szCs w:val="21"/>
          <w:highlight w:val="none"/>
          <w:lang w:val="en-US" w:eastAsia="zh-CN"/>
        </w:rPr>
        <w:t>8.2-</w:t>
      </w:r>
      <w:r>
        <w:rPr>
          <w:rFonts w:hint="eastAsia" w:cs="Times New Roman"/>
          <w:b/>
          <w:bCs/>
          <w:color w:val="auto"/>
          <w:sz w:val="24"/>
          <w:szCs w:val="21"/>
          <w:highlight w:val="none"/>
          <w:lang w:val="en-US" w:eastAsia="zh-CN"/>
        </w:rPr>
        <w:t>6</w:t>
      </w:r>
      <w:r>
        <w:rPr>
          <w:rFonts w:hint="eastAsia" w:ascii="Times New Roman" w:hAnsi="Times New Roman" w:eastAsia="宋体" w:cs="Times New Roman"/>
          <w:b/>
          <w:bCs/>
          <w:color w:val="auto"/>
          <w:sz w:val="24"/>
          <w:szCs w:val="21"/>
          <w:highlight w:val="none"/>
          <w:lang w:val="en-US" w:eastAsia="zh-CN"/>
        </w:rPr>
        <w:t xml:space="preserve"> </w:t>
      </w:r>
      <w:r>
        <w:rPr>
          <w:rFonts w:hint="default" w:ascii="Times New Roman" w:hAnsi="Times New Roman" w:eastAsia="宋体" w:cs="Times New Roman"/>
          <w:b/>
          <w:bCs/>
          <w:color w:val="auto"/>
          <w:sz w:val="24"/>
          <w:szCs w:val="21"/>
          <w:highlight w:val="none"/>
        </w:rPr>
        <w:t xml:space="preserve">  项目与相关环境管理政策符合性分析</w:t>
      </w:r>
    </w:p>
    <w:tbl>
      <w:tblPr>
        <w:tblStyle w:val="55"/>
        <w:tblW w:w="83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3968"/>
        <w:gridCol w:w="2805"/>
        <w:gridCol w:w="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123"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政策文件</w:t>
            </w: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具体要求</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本项目情况</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123" w:type="dxa"/>
            <w:vMerge w:val="restart"/>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《重点行业挥发性有机物综合治理实施方案》（环大气</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2019</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53号）</w:t>
            </w: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w:t>
            </w:r>
            <w:r>
              <w:rPr>
                <w:rFonts w:hint="default" w:ascii="Times New Roman" w:hAnsi="Times New Roman" w:eastAsia="宋体" w:cs="Times New Roman"/>
                <w:color w:val="auto"/>
                <w:szCs w:val="21"/>
                <w:highlight w:val="none"/>
              </w:rPr>
              <w:t>形势与问题</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石化、化工、工业涂装、包装印刷、油品储运销等行业（以下简称重点行业）是我国VOCs重点排放源。为打赢蓝天保卫战、进一步改善环境空气质量，迫切需要全面加强重点行业VOCs综合治理。</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本项目属于塑料制品业，项目</w:t>
            </w:r>
            <w:r>
              <w:rPr>
                <w:rFonts w:hint="eastAsia" w:ascii="Times New Roman" w:hAnsi="Times New Roman" w:eastAsia="宋体" w:cs="Times New Roman"/>
                <w:color w:val="auto"/>
                <w:szCs w:val="21"/>
                <w:highlight w:val="none"/>
                <w:lang w:val="en-US" w:eastAsia="zh-CN"/>
              </w:rPr>
              <w:t>热熔</w:t>
            </w:r>
            <w:r>
              <w:rPr>
                <w:rFonts w:hint="default" w:ascii="Times New Roman" w:hAnsi="Times New Roman" w:eastAsia="宋体" w:cs="Times New Roman"/>
                <w:color w:val="auto"/>
                <w:szCs w:val="21"/>
                <w:highlight w:val="none"/>
              </w:rPr>
              <w:t>注塑工序设备的废气经“集气罩收集+</w:t>
            </w:r>
            <w:r>
              <w:rPr>
                <w:rFonts w:hint="eastAsia" w:cs="Times New Roman"/>
                <w:color w:val="auto"/>
                <w:szCs w:val="21"/>
                <w:highlight w:val="none"/>
                <w:lang w:val="en-US" w:eastAsia="zh-CN"/>
              </w:rPr>
              <w:t>三级</w:t>
            </w:r>
            <w:r>
              <w:rPr>
                <w:rFonts w:hint="default" w:ascii="Times New Roman" w:hAnsi="Times New Roman" w:eastAsia="宋体" w:cs="Times New Roman"/>
                <w:color w:val="auto"/>
                <w:szCs w:val="21"/>
                <w:highlight w:val="none"/>
              </w:rPr>
              <w:t>活性炭吸附装置”处理后，经15m排气筒达标排放。</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123" w:type="dxa"/>
            <w:vMerge w:val="continue"/>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二、控制思路与要求</w:t>
            </w:r>
          </w:p>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本项目运营过程中的非甲烷总烃由集气罩收集，采用</w:t>
            </w:r>
            <w:r>
              <w:rPr>
                <w:rFonts w:hint="eastAsia" w:cs="Times New Roman"/>
                <w:color w:val="auto"/>
                <w:szCs w:val="21"/>
                <w:highlight w:val="none"/>
                <w:lang w:val="en-US" w:eastAsia="zh-CN"/>
              </w:rPr>
              <w:t>三级</w:t>
            </w:r>
            <w:r>
              <w:rPr>
                <w:rFonts w:hint="default" w:ascii="Times New Roman" w:hAnsi="Times New Roman" w:eastAsia="宋体" w:cs="Times New Roman"/>
                <w:color w:val="auto"/>
                <w:szCs w:val="21"/>
                <w:highlight w:val="none"/>
                <w:lang w:val="en-US" w:eastAsia="zh-CN"/>
              </w:rPr>
              <w:t>活性炭吸附的方式处理后达标排放，项目</w:t>
            </w:r>
            <w:r>
              <w:rPr>
                <w:rFonts w:hint="eastAsia" w:cs="Times New Roman"/>
                <w:color w:val="auto"/>
                <w:szCs w:val="21"/>
                <w:highlight w:val="none"/>
                <w:lang w:val="en-US" w:eastAsia="zh-CN"/>
              </w:rPr>
              <w:t>拌料和破碎等</w:t>
            </w:r>
            <w:r>
              <w:rPr>
                <w:rFonts w:hint="default" w:ascii="Times New Roman" w:hAnsi="Times New Roman" w:eastAsia="宋体" w:cs="Times New Roman"/>
                <w:color w:val="auto"/>
                <w:szCs w:val="21"/>
                <w:highlight w:val="none"/>
                <w:lang w:val="en-US" w:eastAsia="zh-CN"/>
              </w:rPr>
              <w:t>在密闭的</w:t>
            </w:r>
            <w:r>
              <w:rPr>
                <w:rFonts w:hint="eastAsia" w:cs="Times New Roman"/>
                <w:color w:val="auto"/>
                <w:szCs w:val="21"/>
                <w:highlight w:val="none"/>
                <w:lang w:val="en-US" w:eastAsia="zh-CN"/>
              </w:rPr>
              <w:t>装置</w:t>
            </w:r>
            <w:r>
              <w:rPr>
                <w:rFonts w:hint="default" w:ascii="Times New Roman" w:hAnsi="Times New Roman" w:eastAsia="宋体" w:cs="Times New Roman"/>
                <w:color w:val="auto"/>
                <w:szCs w:val="21"/>
                <w:highlight w:val="none"/>
                <w:lang w:val="en-US" w:eastAsia="zh-CN"/>
              </w:rPr>
              <w:t>内</w:t>
            </w:r>
            <w:r>
              <w:rPr>
                <w:rFonts w:hint="eastAsia" w:cs="Times New Roman"/>
                <w:color w:val="auto"/>
                <w:szCs w:val="21"/>
                <w:highlight w:val="none"/>
                <w:lang w:val="en-US" w:eastAsia="zh-CN"/>
              </w:rPr>
              <w:t>进行</w:t>
            </w:r>
            <w:r>
              <w:rPr>
                <w:rFonts w:hint="default" w:ascii="Times New Roman" w:hAnsi="Times New Roman" w:eastAsia="宋体" w:cs="Times New Roman"/>
                <w:color w:val="auto"/>
                <w:szCs w:val="21"/>
                <w:highlight w:val="none"/>
                <w:lang w:val="en-US" w:eastAsia="zh-CN"/>
              </w:rPr>
              <w:t>，无组织颗粒物</w:t>
            </w:r>
            <w:r>
              <w:rPr>
                <w:rFonts w:hint="eastAsia" w:cs="Times New Roman"/>
                <w:color w:val="auto"/>
                <w:szCs w:val="21"/>
                <w:highlight w:val="none"/>
                <w:lang w:val="en-US" w:eastAsia="zh-CN"/>
              </w:rPr>
              <w:t>通过</w:t>
            </w:r>
            <w:r>
              <w:rPr>
                <w:rFonts w:hint="eastAsia" w:ascii="Times New Roman" w:hAnsi="Times New Roman" w:eastAsia="宋体" w:cs="Times New Roman"/>
                <w:color w:val="auto"/>
                <w:szCs w:val="21"/>
                <w:highlight w:val="none"/>
                <w:lang w:val="en-US" w:eastAsia="zh-CN"/>
              </w:rPr>
              <w:t>车间自然沉降</w:t>
            </w:r>
            <w:r>
              <w:rPr>
                <w:rFonts w:hint="default" w:ascii="Times New Roman" w:hAnsi="Times New Roman" w:eastAsia="宋体" w:cs="Times New Roman"/>
                <w:color w:val="auto"/>
                <w:szCs w:val="21"/>
                <w:highlight w:val="none"/>
                <w:lang w:val="en-US" w:eastAsia="zh-CN"/>
              </w:rPr>
              <w:t>。</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3" w:type="dxa"/>
            <w:vMerge w:val="continue"/>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二、控制思路与要求</w:t>
            </w:r>
          </w:p>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本项目废气</w:t>
            </w:r>
            <w:r>
              <w:rPr>
                <w:rFonts w:hint="default" w:ascii="Times New Roman" w:hAnsi="Times New Roman" w:eastAsia="宋体" w:cs="Times New Roman"/>
                <w:color w:val="auto"/>
                <w:szCs w:val="21"/>
                <w:highlight w:val="none"/>
                <w:lang w:val="en-US" w:eastAsia="zh-CN"/>
              </w:rPr>
              <w:t>治理工艺采用</w:t>
            </w:r>
            <w:r>
              <w:rPr>
                <w:rFonts w:hint="default" w:ascii="Times New Roman" w:hAnsi="Times New Roman" w:eastAsia="宋体" w:cs="Times New Roman"/>
                <w:color w:val="auto"/>
                <w:szCs w:val="21"/>
                <w:highlight w:val="none"/>
              </w:rPr>
              <w:t>“集气罩收集+</w:t>
            </w:r>
            <w:r>
              <w:rPr>
                <w:rFonts w:hint="eastAsia" w:cs="Times New Roman"/>
                <w:color w:val="auto"/>
                <w:szCs w:val="21"/>
                <w:highlight w:val="none"/>
                <w:lang w:val="en-US" w:eastAsia="zh-CN"/>
              </w:rPr>
              <w:t>三级</w:t>
            </w:r>
            <w:r>
              <w:rPr>
                <w:rFonts w:hint="default" w:ascii="Times New Roman" w:hAnsi="Times New Roman" w:eastAsia="宋体" w:cs="Times New Roman"/>
                <w:color w:val="auto"/>
                <w:szCs w:val="21"/>
                <w:highlight w:val="none"/>
              </w:rPr>
              <w:t>活性炭吸附装置”</w:t>
            </w:r>
            <w:r>
              <w:rPr>
                <w:rFonts w:hint="default" w:ascii="Times New Roman" w:hAnsi="Times New Roman" w:eastAsia="宋体" w:cs="Times New Roman"/>
                <w:color w:val="auto"/>
                <w:szCs w:val="21"/>
                <w:highlight w:val="none"/>
                <w:lang w:val="en-US" w:eastAsia="zh-CN"/>
              </w:rPr>
              <w:t>的方式</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可有效处理非甲烷总烃。</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123" w:type="dxa"/>
            <w:vMerge w:val="continue"/>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四、</w:t>
            </w:r>
            <w:r>
              <w:rPr>
                <w:rFonts w:hint="default" w:ascii="Times New Roman" w:hAnsi="Times New Roman" w:eastAsia="宋体" w:cs="Times New Roman"/>
                <w:color w:val="auto"/>
                <w:szCs w:val="21"/>
                <w:highlight w:val="none"/>
              </w:rPr>
              <w:t>重点行业治理任务</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化工行业VOCs综合治理。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密封点大于等于2000个的，要开展LDAR工作。</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本项目属于塑料制品行业，通过采用</w:t>
            </w:r>
            <w:r>
              <w:rPr>
                <w:rFonts w:hint="default" w:ascii="Times New Roman" w:hAnsi="Times New Roman" w:eastAsia="宋体" w:cs="Times New Roman"/>
                <w:color w:val="auto"/>
                <w:szCs w:val="21"/>
                <w:highlight w:val="none"/>
              </w:rPr>
              <w:t>“集气罩收集+</w:t>
            </w:r>
            <w:r>
              <w:rPr>
                <w:rFonts w:hint="eastAsia" w:cs="Times New Roman"/>
                <w:color w:val="auto"/>
                <w:szCs w:val="21"/>
                <w:highlight w:val="none"/>
                <w:lang w:val="en-US" w:eastAsia="zh-CN"/>
              </w:rPr>
              <w:t>三级</w:t>
            </w:r>
            <w:r>
              <w:rPr>
                <w:rFonts w:hint="default" w:ascii="Times New Roman" w:hAnsi="Times New Roman" w:eastAsia="宋体" w:cs="Times New Roman"/>
                <w:color w:val="auto"/>
                <w:szCs w:val="21"/>
                <w:highlight w:val="none"/>
              </w:rPr>
              <w:t>活性炭吸附装置”</w:t>
            </w:r>
            <w:r>
              <w:rPr>
                <w:rFonts w:hint="default" w:ascii="Times New Roman" w:hAnsi="Times New Roman" w:eastAsia="宋体" w:cs="Times New Roman"/>
                <w:color w:val="auto"/>
                <w:szCs w:val="21"/>
                <w:highlight w:val="none"/>
                <w:lang w:val="en-US" w:eastAsia="zh-CN"/>
              </w:rPr>
              <w:t>的方式</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可有效处理非甲烷总烃。</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123" w:type="dxa"/>
            <w:vMerge w:val="restart"/>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《挥发性有机物（VOCs）污染防治技术政策》</w:t>
            </w: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源头和过程控制</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（十）含VOCs产品的使用过程中，应采取废气收集措施，提高废气收集效率，减少废气的无组织排放与逸散，并对收集后的废气进行回收或处理后达标排放。</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w:t>
            </w:r>
            <w:r>
              <w:rPr>
                <w:rFonts w:hint="default" w:ascii="Times New Roman" w:hAnsi="Times New Roman" w:eastAsia="宋体" w:cs="Times New Roman"/>
                <w:color w:val="auto"/>
                <w:szCs w:val="21"/>
                <w:highlight w:val="none"/>
              </w:rPr>
              <w:t>生产过程产生的有机废气经“集气罩+</w:t>
            </w:r>
            <w:r>
              <w:rPr>
                <w:rFonts w:hint="eastAsia" w:cs="Times New Roman"/>
                <w:color w:val="auto"/>
                <w:szCs w:val="21"/>
                <w:highlight w:val="none"/>
                <w:lang w:val="en-US" w:eastAsia="zh-CN"/>
              </w:rPr>
              <w:t>三级</w:t>
            </w:r>
            <w:r>
              <w:rPr>
                <w:rFonts w:hint="default" w:ascii="Times New Roman" w:hAnsi="Times New Roman" w:eastAsia="宋体" w:cs="Times New Roman"/>
                <w:color w:val="auto"/>
                <w:szCs w:val="21"/>
                <w:highlight w:val="none"/>
              </w:rPr>
              <w:t>活性炭吸附装置”处理后经15m排气筒有组织排放。处理后废气符合相关要求限值。</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123" w:type="dxa"/>
            <w:vMerge w:val="continue"/>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末端治理与综合利用</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（二十）对于不能再生的过滤材料、吸附剂及催化剂等净化材料，应按照国家固体废物管理的相关规定处理处置。</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本项目生产过程产生的有机废气属于连续性低浓度，无回收价值的有机废气，经“集气罩+</w:t>
            </w:r>
            <w:r>
              <w:rPr>
                <w:rFonts w:hint="eastAsia" w:cs="Times New Roman"/>
                <w:color w:val="auto"/>
                <w:szCs w:val="21"/>
                <w:highlight w:val="none"/>
                <w:lang w:val="en-US" w:eastAsia="zh-CN"/>
              </w:rPr>
              <w:t>三级</w:t>
            </w:r>
            <w:r>
              <w:rPr>
                <w:rFonts w:hint="default" w:ascii="Times New Roman" w:hAnsi="Times New Roman" w:eastAsia="宋体" w:cs="Times New Roman"/>
                <w:color w:val="auto"/>
                <w:szCs w:val="21"/>
                <w:highlight w:val="none"/>
              </w:rPr>
              <w:t>活性炭吸附装置”处理后经15m排气筒达标排放。</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有机废气处理装置更换下来的废活性炭属于危险废物，废活性炭</w:t>
            </w:r>
            <w:r>
              <w:rPr>
                <w:rFonts w:hint="eastAsia" w:ascii="Times New Roman" w:hAnsi="Times New Roman" w:eastAsia="宋体" w:cs="Times New Roman"/>
                <w:color w:val="auto"/>
                <w:szCs w:val="21"/>
                <w:highlight w:val="none"/>
                <w:lang w:val="en-US" w:eastAsia="zh-CN"/>
              </w:rPr>
              <w:t>暂存于危废暂存间，委托有资质的单位清运处置</w:t>
            </w:r>
            <w:r>
              <w:rPr>
                <w:rFonts w:hint="default" w:ascii="Times New Roman" w:hAnsi="Times New Roman" w:eastAsia="宋体" w:cs="Times New Roman"/>
                <w:color w:val="auto"/>
                <w:szCs w:val="21"/>
                <w:highlight w:val="none"/>
              </w:rPr>
              <w:t>。</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123" w:type="dxa"/>
            <w:vMerge w:val="continue"/>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p>
        </w:tc>
        <w:tc>
          <w:tcPr>
            <w:tcW w:w="3968"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运行与监测</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（二十五）鼓励企业自行开展VOCs监测，并及时主动向当地环保行政主管部门报送监测结果。</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（二十六）企业应建立健全VOCs治理设施的运行维护规程</w:t>
            </w:r>
            <w:r>
              <w:rPr>
                <w:rFonts w:hint="eastAsia" w:ascii="Times New Roman" w:hAnsi="Times New Roman" w:eastAsia="宋体" w:cs="Times New Roman"/>
                <w:color w:val="auto"/>
                <w:szCs w:val="21"/>
                <w:highlight w:val="none"/>
                <w:lang w:eastAsia="zh-CN"/>
              </w:rPr>
              <w:t>和台账</w:t>
            </w:r>
            <w:r>
              <w:rPr>
                <w:rFonts w:hint="default" w:ascii="Times New Roman" w:hAnsi="Times New Roman" w:eastAsia="宋体" w:cs="Times New Roman"/>
                <w:color w:val="auto"/>
                <w:szCs w:val="21"/>
                <w:highlight w:val="none"/>
              </w:rPr>
              <w:t>等日常管理制度，并根据工艺要求定期对各类设备、电气、自控仪表等进行检修维护，确保设施的稳定运行。</w:t>
            </w:r>
          </w:p>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（二十七）当采用吸附回收（浓缩）、催化燃烧、热力焚烧、等离子体等方法进行末端治理时，应编制本单位事故火灾、爆炸等应急救援预案，配备应急救援人员和器材，并开展应急演练。</w:t>
            </w:r>
          </w:p>
        </w:tc>
        <w:tc>
          <w:tcPr>
            <w:tcW w:w="280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拟积极按照政策要求，定期开展环境监测，并及时主动向当地环保行政主管部门报送监测结果。及时健全环保设施运行维护规程和台账等日常管理制度，确保设施的稳定运行。及时编制本单位突发环境事件应急预案，报昆明市生态环境局寻甸分局备案，并开展应急演练。</w:t>
            </w:r>
          </w:p>
        </w:tc>
        <w:tc>
          <w:tcPr>
            <w:tcW w:w="445" w:type="dxa"/>
            <w:tcBorders>
              <w:tl2br w:val="nil"/>
              <w:tr2bl w:val="nil"/>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tabs>
          <w:tab w:val="left" w:pos="3750"/>
        </w:tabs>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综上所述，本项目符合《重点行业挥发性有机物综合治理方案》的要求。</w:t>
      </w:r>
    </w:p>
    <w:p>
      <w:pPr>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2</w:t>
      </w:r>
      <w:r>
        <w:rPr>
          <w:rFonts w:hint="eastAsia"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与《挥发性有机物无组织排放控制标准》</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GB37822-2019</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相符性分析</w:t>
      </w:r>
    </w:p>
    <w:p>
      <w:pPr>
        <w:tabs>
          <w:tab w:val="left" w:pos="3750"/>
        </w:tabs>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对照《挥发性有机物无组织排放控制标准》（GB37822-2019）中相关要求，本项目与该文件的相符性分析见下表：</w:t>
      </w:r>
    </w:p>
    <w:p>
      <w:pPr>
        <w:adjustRightInd w:val="0"/>
        <w:snapToGrid w:val="0"/>
        <w:spacing w:line="360" w:lineRule="auto"/>
        <w:jc w:val="center"/>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lang w:val="en-US" w:eastAsia="zh-CN"/>
        </w:rPr>
        <w:t>表</w:t>
      </w:r>
      <w:r>
        <w:rPr>
          <w:rFonts w:hint="eastAsia" w:ascii="Times New Roman" w:hAnsi="Times New Roman" w:eastAsia="宋体" w:cs="Times New Roman"/>
          <w:b/>
          <w:bCs/>
          <w:color w:val="auto"/>
          <w:sz w:val="24"/>
          <w:szCs w:val="21"/>
          <w:highlight w:val="none"/>
          <w:lang w:val="en-US" w:eastAsia="zh-CN"/>
        </w:rPr>
        <w:t>8.2-</w:t>
      </w:r>
      <w:r>
        <w:rPr>
          <w:rFonts w:hint="eastAsia" w:cs="Times New Roman"/>
          <w:b/>
          <w:bCs/>
          <w:color w:val="auto"/>
          <w:sz w:val="24"/>
          <w:szCs w:val="21"/>
          <w:highlight w:val="none"/>
          <w:lang w:val="en-US" w:eastAsia="zh-CN"/>
        </w:rPr>
        <w:t>7</w:t>
      </w:r>
      <w:r>
        <w:rPr>
          <w:rFonts w:hint="default" w:ascii="Times New Roman" w:hAnsi="Times New Roman" w:eastAsia="宋体" w:cs="Times New Roman"/>
          <w:b/>
          <w:bCs/>
          <w:color w:val="auto"/>
          <w:sz w:val="24"/>
          <w:szCs w:val="21"/>
          <w:highlight w:val="none"/>
          <w:lang w:val="en-US" w:eastAsia="zh-CN"/>
        </w:rPr>
        <w:t>与《挥发性有机物无组织排放控制标准》相符性分析</w:t>
      </w:r>
    </w:p>
    <w:tbl>
      <w:tblPr>
        <w:tblStyle w:val="56"/>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4396"/>
        <w:gridCol w:w="2243"/>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内容</w:t>
            </w: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标准要求</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项目情况</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Merge w:val="restart"/>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VOCs物料储存无组织排放控制要求</w:t>
            </w: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VOCs物料应储存于密闭的容器、包装袋、储罐、储库、料仓中。</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本项目VOCs物料为</w:t>
            </w:r>
            <w:r>
              <w:rPr>
                <w:rFonts w:hint="eastAsia" w:cs="Times New Roman"/>
                <w:color w:val="auto"/>
                <w:szCs w:val="21"/>
                <w:highlight w:val="none"/>
                <w:lang w:val="en-US" w:eastAsia="zh-CN"/>
              </w:rPr>
              <w:t>再生</w:t>
            </w:r>
            <w:r>
              <w:rPr>
                <w:rFonts w:hint="default" w:ascii="Times New Roman" w:hAnsi="Times New Roman" w:eastAsia="宋体" w:cs="Times New Roman"/>
                <w:color w:val="auto"/>
                <w:szCs w:val="21"/>
                <w:highlight w:val="none"/>
                <w:lang w:val="en-US" w:eastAsia="zh-CN"/>
              </w:rPr>
              <w:t>塑料</w:t>
            </w:r>
            <w:r>
              <w:rPr>
                <w:rFonts w:hint="eastAsia" w:cs="Times New Roman"/>
                <w:color w:val="auto"/>
                <w:szCs w:val="21"/>
                <w:highlight w:val="none"/>
                <w:lang w:val="en-US" w:eastAsia="zh-CN"/>
              </w:rPr>
              <w:t>颗粒</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袋装存储</w:t>
            </w:r>
            <w:r>
              <w:rPr>
                <w:rFonts w:hint="default" w:ascii="Times New Roman" w:hAnsi="Times New Roman" w:eastAsia="宋体" w:cs="Times New Roman"/>
                <w:color w:val="auto"/>
                <w:szCs w:val="21"/>
                <w:highlight w:val="none"/>
                <w:lang w:val="en-US" w:eastAsia="zh-CN"/>
              </w:rPr>
              <w:t>在</w:t>
            </w:r>
            <w:r>
              <w:rPr>
                <w:rFonts w:hint="eastAsia" w:cs="Times New Roman"/>
                <w:color w:val="auto"/>
                <w:szCs w:val="21"/>
                <w:highlight w:val="none"/>
                <w:lang w:val="en-US" w:eastAsia="zh-CN"/>
              </w:rPr>
              <w:t>原料</w:t>
            </w:r>
            <w:r>
              <w:rPr>
                <w:rFonts w:hint="default" w:ascii="Times New Roman" w:hAnsi="Times New Roman" w:eastAsia="宋体" w:cs="Times New Roman"/>
                <w:color w:val="auto"/>
                <w:szCs w:val="21"/>
                <w:highlight w:val="none"/>
                <w:lang w:val="en-US" w:eastAsia="zh-CN"/>
              </w:rPr>
              <w:t>仓库内。</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Merge w:val="continue"/>
            <w:vAlign w:val="center"/>
          </w:tcPr>
          <w:p>
            <w:pPr>
              <w:snapToGrid w:val="0"/>
              <w:jc w:val="center"/>
              <w:rPr>
                <w:rFonts w:hint="default" w:ascii="Times New Roman" w:hAnsi="Times New Roman" w:eastAsia="宋体" w:cs="Times New Roman"/>
                <w:color w:val="auto"/>
                <w:szCs w:val="21"/>
                <w:highlight w:val="none"/>
                <w:lang w:val="en-US" w:eastAsia="zh-CN"/>
              </w:rPr>
            </w:pP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盛装VOCs物料的容器或包装袋应存放于室内，或存放于设置有雨棚、遮阳和防渗设施的专用场地。盛装VOCs物料的容器或包装袋在非取用状态时应加盖、封口，保持密闭</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本项目VOCs物料为再生塑料颗粒，袋装存储在原料仓库内，原料仓库设置有雨棚、遮阳和防渗设施，盛装再生塑料的包装袋在非取用状态时为封口密闭。</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VOCs物料转移和输送无组织排放控制要求</w:t>
            </w: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液态VOCs物料应采用密闭管道输送。采用非管道输送方式转移液态VOCs物料时，应采用密闭容器、罐车</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本项目VOCs物料</w:t>
            </w:r>
            <w:r>
              <w:rPr>
                <w:rFonts w:hint="eastAsia" w:cs="Times New Roman"/>
                <w:color w:val="auto"/>
                <w:szCs w:val="21"/>
                <w:highlight w:val="none"/>
                <w:lang w:val="en-US" w:eastAsia="zh-CN"/>
              </w:rPr>
              <w:t>为固态颗粒，不涉及液态VOCs物料。</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工艺过程VOCs无组织排放控制要求</w:t>
            </w: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VOCs质量占比大于等于10%的含VOCs产品，其使用过程应采用密闭设备或在密闭空间设备或在密闭空间内操作，废气应</w:t>
            </w:r>
            <w:r>
              <w:rPr>
                <w:rFonts w:hint="eastAsia" w:ascii="Times New Roman" w:hAnsi="Times New Roman" w:eastAsia="宋体" w:cs="Times New Roman"/>
                <w:color w:val="auto"/>
                <w:szCs w:val="21"/>
                <w:highlight w:val="none"/>
                <w:lang w:val="en-US" w:eastAsia="zh-CN"/>
              </w:rPr>
              <w:t>排</w:t>
            </w:r>
            <w:r>
              <w:rPr>
                <w:rFonts w:hint="default" w:ascii="Times New Roman" w:hAnsi="Times New Roman" w:eastAsia="宋体" w:cs="Times New Roman"/>
                <w:color w:val="auto"/>
                <w:szCs w:val="21"/>
                <w:highlight w:val="none"/>
                <w:lang w:val="en-US" w:eastAsia="zh-CN"/>
              </w:rPr>
              <w:t>至VOCs废气收集处理系统；无法密闭的，应采取局部气体收集措施，废气应排至VOCs废气收集处理系统</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本项目使用的VOCs</w:t>
            </w:r>
            <w:r>
              <w:rPr>
                <w:rFonts w:hint="eastAsia" w:cs="Times New Roman"/>
                <w:color w:val="auto"/>
                <w:szCs w:val="21"/>
                <w:highlight w:val="none"/>
                <w:lang w:val="en-US" w:eastAsia="zh-CN"/>
              </w:rPr>
              <w:t>物料</w:t>
            </w:r>
            <w:r>
              <w:rPr>
                <w:rFonts w:hint="default" w:ascii="Times New Roman" w:hAnsi="Times New Roman" w:eastAsia="宋体" w:cs="Times New Roman"/>
                <w:color w:val="auto"/>
                <w:szCs w:val="21"/>
                <w:highlight w:val="none"/>
                <w:lang w:val="en-US" w:eastAsia="zh-CN"/>
              </w:rPr>
              <w:t>保存在密封袋，常温下不会产生VOCs</w:t>
            </w:r>
            <w:r>
              <w:rPr>
                <w:rFonts w:hint="eastAsia" w:cs="Times New Roman"/>
                <w:color w:val="auto"/>
                <w:szCs w:val="21"/>
                <w:highlight w:val="none"/>
                <w:lang w:val="en-US" w:eastAsia="zh-CN"/>
              </w:rPr>
              <w:t>，再生塑料颗粒注塑工段在厂房内进行，注塑工段产生的VOCs废气经集气罩收集至三级活性炭吸附装置处理。</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Merge w:val="restart"/>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VOCs无组织排放废气收集处理系统要求</w:t>
            </w: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代替措施</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本项目采用</w:t>
            </w:r>
            <w:r>
              <w:rPr>
                <w:rFonts w:hint="eastAsia" w:cs="Times New Roman"/>
                <w:color w:val="auto"/>
                <w:szCs w:val="21"/>
                <w:highlight w:val="none"/>
                <w:lang w:val="en-US" w:eastAsia="zh-CN"/>
              </w:rPr>
              <w:t>三级</w:t>
            </w:r>
            <w:r>
              <w:rPr>
                <w:rFonts w:hint="eastAsia" w:ascii="Times New Roman" w:hAnsi="Times New Roman" w:eastAsia="宋体" w:cs="Times New Roman"/>
                <w:color w:val="auto"/>
                <w:szCs w:val="21"/>
                <w:highlight w:val="none"/>
                <w:lang w:val="en-US" w:eastAsia="zh-CN"/>
              </w:rPr>
              <w:t>活性炭吸附</w:t>
            </w:r>
            <w:r>
              <w:rPr>
                <w:rFonts w:hint="default" w:ascii="Times New Roman" w:hAnsi="Times New Roman" w:eastAsia="宋体" w:cs="Times New Roman"/>
                <w:color w:val="auto"/>
                <w:szCs w:val="21"/>
                <w:highlight w:val="none"/>
                <w:lang w:val="en-US" w:eastAsia="zh-CN"/>
              </w:rPr>
              <w:t>处理VOCs废气，废气处理设施与生产工艺设备同步运行</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Merge w:val="continue"/>
            <w:vAlign w:val="center"/>
          </w:tcPr>
          <w:p>
            <w:pPr>
              <w:snapToGrid w:val="0"/>
              <w:jc w:val="center"/>
              <w:rPr>
                <w:rFonts w:hint="default" w:ascii="Times New Roman" w:hAnsi="Times New Roman" w:eastAsia="宋体" w:cs="Times New Roman"/>
                <w:color w:val="auto"/>
                <w:szCs w:val="21"/>
                <w:highlight w:val="none"/>
                <w:lang w:val="en-US" w:eastAsia="zh-CN"/>
              </w:rPr>
            </w:pP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废气收集系统排风罩（集气罩）的设置应符合GB/T16758的规定</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本次环评要求按照GB/T16758的规定设置集气罩。</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Merge w:val="continue"/>
            <w:vAlign w:val="center"/>
          </w:tcPr>
          <w:p>
            <w:pPr>
              <w:snapToGrid w:val="0"/>
              <w:jc w:val="center"/>
              <w:rPr>
                <w:rFonts w:hint="default" w:ascii="Times New Roman" w:hAnsi="Times New Roman" w:eastAsia="宋体" w:cs="Times New Roman"/>
                <w:color w:val="auto"/>
                <w:szCs w:val="21"/>
                <w:highlight w:val="none"/>
                <w:lang w:val="en-US" w:eastAsia="zh-CN"/>
              </w:rPr>
            </w:pP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废气收集系统的输送管道应密闭</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本项目废气收集系统输送管道为密闭管道。</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Merge w:val="continue"/>
            <w:vAlign w:val="center"/>
          </w:tcPr>
          <w:p>
            <w:pPr>
              <w:snapToGrid w:val="0"/>
              <w:jc w:val="center"/>
              <w:rPr>
                <w:rFonts w:hint="default" w:ascii="Times New Roman" w:hAnsi="Times New Roman" w:eastAsia="宋体" w:cs="Times New Roman"/>
                <w:color w:val="auto"/>
                <w:szCs w:val="21"/>
                <w:highlight w:val="none"/>
                <w:lang w:val="en-US" w:eastAsia="zh-CN"/>
              </w:rPr>
            </w:pP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VOCs废气收集处理系统污染物排放应符合GB16297或相关行业排放标准的规定</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本项目废气排放执行</w:t>
            </w:r>
            <w:r>
              <w:rPr>
                <w:rFonts w:hint="default" w:ascii="Times New Roman" w:hAnsi="Times New Roman" w:eastAsia="宋体" w:cs="Times New Roman"/>
                <w:color w:val="auto"/>
                <w:szCs w:val="21"/>
                <w:highlight w:val="none"/>
              </w:rPr>
              <w:t>《合成树脂工业污染物排放标准》（GB31572-2015）表4规定的大气污染物排放限值和表9规定的企业边界大气污染物浓度限值</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Merge w:val="continue"/>
            <w:vAlign w:val="center"/>
          </w:tcPr>
          <w:p>
            <w:pPr>
              <w:snapToGrid w:val="0"/>
              <w:jc w:val="center"/>
              <w:rPr>
                <w:rFonts w:hint="default" w:ascii="Times New Roman" w:hAnsi="Times New Roman" w:eastAsia="宋体" w:cs="Times New Roman"/>
                <w:color w:val="auto"/>
                <w:szCs w:val="21"/>
                <w:highlight w:val="none"/>
                <w:lang w:val="en-US" w:eastAsia="zh-CN"/>
              </w:rPr>
            </w:pPr>
          </w:p>
        </w:tc>
        <w:tc>
          <w:tcPr>
            <w:tcW w:w="439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收集的废气中NMHC初始排放速率≥3kg/h时，应配置VOCs处理设施，处理效率不应低于80%；对于重点地区，收集的废气中NMHC</w:t>
            </w:r>
            <w:r>
              <w:rPr>
                <w:rFonts w:hint="eastAsia" w:ascii="Times New Roman" w:hAnsi="Times New Roman" w:eastAsia="宋体" w:cs="Times New Roman"/>
                <w:color w:val="auto"/>
                <w:szCs w:val="21"/>
                <w:highlight w:val="none"/>
                <w:lang w:val="en-US" w:eastAsia="zh-CN"/>
              </w:rPr>
              <w:t>初始</w:t>
            </w:r>
            <w:r>
              <w:rPr>
                <w:rFonts w:hint="default" w:ascii="Times New Roman" w:hAnsi="Times New Roman" w:eastAsia="宋体" w:cs="Times New Roman"/>
                <w:color w:val="auto"/>
                <w:szCs w:val="21"/>
                <w:highlight w:val="none"/>
                <w:lang w:val="en-US" w:eastAsia="zh-CN"/>
              </w:rPr>
              <w:t>排放速率≥2kg/h时，应配置VOCs处理设施处理效率不应低于80%；采用原辅材料符合国家有关低VOCs含量产品规定的除外</w:t>
            </w:r>
          </w:p>
        </w:tc>
        <w:tc>
          <w:tcPr>
            <w:tcW w:w="224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本项目VOCs处理设施为</w:t>
            </w:r>
            <w:r>
              <w:rPr>
                <w:rFonts w:hint="eastAsia" w:cs="Times New Roman"/>
                <w:color w:val="auto"/>
                <w:szCs w:val="21"/>
                <w:highlight w:val="none"/>
                <w:lang w:val="en-US" w:eastAsia="zh-CN"/>
              </w:rPr>
              <w:t>三级</w:t>
            </w:r>
            <w:r>
              <w:rPr>
                <w:rFonts w:hint="default" w:ascii="Times New Roman" w:hAnsi="Times New Roman" w:eastAsia="宋体" w:cs="Times New Roman"/>
                <w:color w:val="auto"/>
                <w:szCs w:val="21"/>
                <w:highlight w:val="none"/>
                <w:lang w:val="en-US" w:eastAsia="zh-CN"/>
              </w:rPr>
              <w:t>活性炭吸附，处理效率</w:t>
            </w:r>
            <w:r>
              <w:rPr>
                <w:rFonts w:hint="eastAsia" w:cs="Times New Roman"/>
                <w:color w:val="auto"/>
                <w:szCs w:val="21"/>
                <w:highlight w:val="none"/>
                <w:lang w:val="en-US" w:eastAsia="zh-CN"/>
              </w:rPr>
              <w:t>可达</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lang w:val="en-US" w:eastAsia="zh-CN"/>
              </w:rPr>
              <w:t>%</w:t>
            </w:r>
          </w:p>
        </w:tc>
        <w:tc>
          <w:tcPr>
            <w:tcW w:w="926"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相符</w:t>
            </w:r>
          </w:p>
        </w:tc>
      </w:tr>
    </w:tbl>
    <w:p>
      <w:pPr>
        <w:tabs>
          <w:tab w:val="left" w:pos="3750"/>
        </w:tabs>
        <w:spacing w:line="360" w:lineRule="auto"/>
        <w:ind w:firstLine="480" w:firstLineChars="200"/>
        <w:rPr>
          <w:rFonts w:hint="eastAsia" w:eastAsia="宋体"/>
          <w:bCs/>
          <w:color w:val="auto"/>
          <w:sz w:val="24"/>
          <w:highlight w:val="none"/>
          <w:lang w:eastAsia="zh-CN"/>
        </w:rPr>
      </w:pPr>
      <w:r>
        <w:rPr>
          <w:rFonts w:hint="default" w:ascii="Times New Roman" w:hAnsi="Times New Roman" w:eastAsia="宋体" w:cs="Times New Roman"/>
          <w:color w:val="auto"/>
          <w:sz w:val="24"/>
          <w:szCs w:val="24"/>
          <w:highlight w:val="none"/>
          <w:lang w:val="en-US" w:eastAsia="zh-CN"/>
        </w:rPr>
        <w:t>综上所述，本项目与《挥发性有机物无组织排放控制标准》（GB37822-2019）中相关要求相符。</w:t>
      </w:r>
    </w:p>
    <w:p>
      <w:pPr>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eastAsia" w:cs="Times New Roman"/>
          <w:b/>
          <w:color w:val="auto"/>
          <w:sz w:val="24"/>
          <w:highlight w:val="none"/>
          <w:lang w:val="en-US" w:eastAsia="zh-CN"/>
        </w:rPr>
        <w:t>4</w:t>
      </w:r>
      <w:r>
        <w:rPr>
          <w:rFonts w:ascii="Times New Roman" w:hAnsi="Times New Roman" w:eastAsia="宋体" w:cs="Times New Roman"/>
          <w:b/>
          <w:color w:val="auto"/>
          <w:sz w:val="24"/>
          <w:highlight w:val="none"/>
        </w:rPr>
        <w:t>、</w:t>
      </w:r>
      <w:r>
        <w:rPr>
          <w:rFonts w:hint="eastAsia" w:ascii="Times New Roman" w:hAnsi="Times New Roman" w:eastAsia="宋体" w:cs="Times New Roman"/>
          <w:b/>
          <w:color w:val="auto"/>
          <w:sz w:val="24"/>
          <w:highlight w:val="none"/>
          <w:lang w:val="en-US" w:eastAsia="zh-CN"/>
        </w:rPr>
        <w:t>与《中华人民共和国大气污染防治法》（2018修订）的符合性分析</w:t>
      </w:r>
    </w:p>
    <w:p>
      <w:pPr>
        <w:tabs>
          <w:tab w:val="left" w:pos="3750"/>
        </w:tabs>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本项目与《中华人民共和国大气污染防治法》（2018修订）的符合性分析如下所示：</w:t>
      </w:r>
    </w:p>
    <w:p>
      <w:pPr>
        <w:adjustRightInd w:val="0"/>
        <w:snapToGrid w:val="0"/>
        <w:spacing w:line="360" w:lineRule="auto"/>
        <w:jc w:val="center"/>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lang w:val="en-US" w:eastAsia="zh-CN"/>
        </w:rPr>
        <w:t>表</w:t>
      </w:r>
      <w:r>
        <w:rPr>
          <w:rFonts w:hint="eastAsia" w:ascii="Times New Roman" w:hAnsi="Times New Roman" w:eastAsia="宋体" w:cs="Times New Roman"/>
          <w:b/>
          <w:bCs/>
          <w:color w:val="auto"/>
          <w:sz w:val="24"/>
          <w:szCs w:val="21"/>
          <w:highlight w:val="none"/>
          <w:lang w:val="en-US" w:eastAsia="zh-CN"/>
        </w:rPr>
        <w:t>8.2-</w:t>
      </w:r>
      <w:r>
        <w:rPr>
          <w:rFonts w:hint="eastAsia" w:cs="Times New Roman"/>
          <w:b/>
          <w:bCs/>
          <w:color w:val="auto"/>
          <w:sz w:val="24"/>
          <w:szCs w:val="21"/>
          <w:highlight w:val="none"/>
          <w:lang w:val="en-US" w:eastAsia="zh-CN"/>
        </w:rPr>
        <w:t>8</w:t>
      </w:r>
      <w:r>
        <w:rPr>
          <w:rFonts w:hint="default" w:ascii="Times New Roman" w:hAnsi="Times New Roman" w:eastAsia="宋体" w:cs="Times New Roman"/>
          <w:b/>
          <w:bCs/>
          <w:color w:val="auto"/>
          <w:sz w:val="24"/>
          <w:szCs w:val="21"/>
          <w:highlight w:val="none"/>
          <w:lang w:val="en-US" w:eastAsia="zh-CN"/>
        </w:rPr>
        <w:t xml:space="preserve"> 项目与</w:t>
      </w:r>
      <w:r>
        <w:rPr>
          <w:rFonts w:hint="eastAsia" w:ascii="Times New Roman" w:hAnsi="Times New Roman" w:eastAsia="宋体" w:cs="Times New Roman"/>
          <w:b/>
          <w:bCs/>
          <w:color w:val="auto"/>
          <w:sz w:val="24"/>
          <w:szCs w:val="21"/>
          <w:highlight w:val="none"/>
          <w:lang w:val="en-US" w:eastAsia="zh-CN"/>
        </w:rPr>
        <w:t>《中华人民共和国大气污染防治法》（2018修订）</w:t>
      </w:r>
      <w:r>
        <w:rPr>
          <w:rFonts w:hint="default" w:ascii="Times New Roman" w:hAnsi="Times New Roman" w:eastAsia="宋体" w:cs="Times New Roman"/>
          <w:b/>
          <w:bCs/>
          <w:color w:val="auto"/>
          <w:sz w:val="24"/>
          <w:szCs w:val="21"/>
          <w:highlight w:val="none"/>
          <w:lang w:val="en-US" w:eastAsia="zh-CN"/>
        </w:rPr>
        <w:t>相符性分析</w:t>
      </w:r>
    </w:p>
    <w:tbl>
      <w:tblPr>
        <w:tblStyle w:val="56"/>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4713"/>
        <w:gridCol w:w="2542"/>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序号</w:t>
            </w:r>
          </w:p>
        </w:tc>
        <w:tc>
          <w:tcPr>
            <w:tcW w:w="471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法律</w:t>
            </w:r>
            <w:r>
              <w:rPr>
                <w:rFonts w:hint="default" w:ascii="Times New Roman" w:hAnsi="Times New Roman" w:eastAsia="宋体" w:cs="Times New Roman"/>
                <w:color w:val="auto"/>
                <w:szCs w:val="21"/>
                <w:highlight w:val="none"/>
                <w:lang w:val="en-US" w:eastAsia="zh-CN"/>
              </w:rPr>
              <w:t>要求</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项目建设条件</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471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本项目未动工建设，正在办理环境影响评价及其他相关手续</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4713"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w:t>
            </w:r>
            <w:r>
              <w:rPr>
                <w:rFonts w:hint="eastAsia" w:ascii="Times New Roman" w:hAnsi="Times New Roman" w:eastAsia="宋体" w:cs="Times New Roman"/>
                <w:color w:val="auto"/>
                <w:szCs w:val="21"/>
                <w:highlight w:val="none"/>
                <w:lang w:val="en-US" w:eastAsia="zh-CN"/>
              </w:rPr>
              <w:t>排放的大气污染物为非甲烷总烃及颗粒物，后期建设完成后将按照国家相关规定办理排污许可手续。</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企业事业单位和其他生产经营者向大气排放污染物的，应当依照法律法规和国务院生态环境主管部门的规定设置大气污染物排放口。禁止通过偷排、篡改或者伪造监测数据、以逃避现场检查为目的的临时停产、非紧急情况下开启应急排放通道、不正常运行大气污染防治设施等逃避监管的方式排放大气污染物。</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本项目设置一个合规排放口，并安排专人进行管理</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生态环境主管部门的监控设备联网，保证监测设备正常运行并依法公开排放信息。监测的具体办法和重点排污单位的条件由国务院生态环境主管部门规定。</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本项目不排放有毒有害气体，主要排放非甲烷总烃及颗粒物，后期建设完成后将按照相关规定进行例行监测</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国家对严重污染大气环境的工艺、设备和产品实行淘汰制度。国务院经济综合主管部门会同国务院有关部门确定严重污染大气环境的工艺、设备和产品淘汰期限，并纳入国家综合性产业政策目录。</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本项目使用的设备不属于淘汰类设备</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国家禁止进口、销售和燃用不符合质量标准的煤炭，鼓励燃用优质煤炭。单位存放煤炭、煤矸石、煤渣、煤灰等物料，应当采取防燃措施，防止大气污染。</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本项目供热采用电能，不使用燃煤</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石油炼制企业应当按照燃油质量标准生产燃油。禁止进口、销售和燃用不符合质量标准的石油焦。</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本项目供热采用电能，不使用石油等燃料</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城市人民政府可以划定并公布高污染燃料禁燃区，并根据大气环境质量改善要求，逐步扩大高污染燃料禁燃区范围。高污染燃料的目录由国务院生态环境主管部门确定。在禁燃区内，禁止销售、燃用高污染燃料；禁止新建、扩建燃用高污染燃料的设施，已建成的，应当在城市人民政府规定的期限内改用天然气、页岩气、液化石油气、</w:t>
            </w:r>
            <w:r>
              <w:rPr>
                <w:rFonts w:hint="eastAsia" w:cs="Times New Roman"/>
                <w:color w:val="auto"/>
                <w:szCs w:val="21"/>
                <w:highlight w:val="none"/>
                <w:lang w:val="en-US" w:eastAsia="zh-CN"/>
              </w:rPr>
              <w:t>电力</w:t>
            </w:r>
            <w:r>
              <w:rPr>
                <w:rFonts w:hint="eastAsia" w:ascii="Times New Roman" w:hAnsi="Times New Roman" w:eastAsia="宋体" w:cs="Times New Roman"/>
                <w:color w:val="auto"/>
                <w:szCs w:val="21"/>
                <w:highlight w:val="none"/>
                <w:lang w:val="en-US" w:eastAsia="zh-CN"/>
              </w:rPr>
              <w:t>或者其他清洁能源。</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本项目生产过程中不涉及燃烧工序，不在禁燃区内，使用的能源为电能</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钢铁、建材、有色金属、石油、化工等企业生产过程中排放粉尘、硫化物和氮氧化物的，应当采用清洁生产工艺，配套建设除尘、脱硫、脱硝等装置，或者采取技术改造等其他控制大气污染物排放的措施。</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本项目排放的非甲烷总烃经</w:t>
            </w:r>
            <w:r>
              <w:rPr>
                <w:rFonts w:hint="eastAsia" w:cs="Times New Roman"/>
                <w:color w:val="auto"/>
                <w:szCs w:val="21"/>
                <w:highlight w:val="none"/>
                <w:lang w:val="en-US" w:eastAsia="zh-CN"/>
              </w:rPr>
              <w:t>三级</w:t>
            </w:r>
            <w:r>
              <w:rPr>
                <w:rFonts w:hint="eastAsia" w:ascii="Times New Roman" w:hAnsi="Times New Roman" w:eastAsia="宋体" w:cs="Times New Roman"/>
                <w:color w:val="auto"/>
                <w:szCs w:val="21"/>
                <w:highlight w:val="none"/>
                <w:lang w:val="en-US" w:eastAsia="zh-CN"/>
              </w:rPr>
              <w:t>活性炭处理后外排，产生颗粒物生产设备全封闭并通过厂房沉降后无组织排放</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生产、进口、销售和使用含挥发性有机物的原材料和产品的，其挥发性有机物含量应当符合质量标准或者要求。国家鼓励生产、进口、销售和使用低毒、低挥发性有机溶剂。</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本项目使用的塑料挥发性有机物符合相关标准</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产生含挥发性有机物废气的生产和服务活动，应当在密闭空间或者设备中进行，并按照规定安装、使用污染防治设施；无法密闭的，应当采取措施减少废气排放。</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本项目生产过程在密闭车间内进行</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石油、化工以及其他生产和使用有机溶剂的企业，应当采取措施对管道、设备进行日常维护、维修，减少物料泄漏，对泄漏的物料应当及时收集处理。</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本项目不使用有机溶剂等，排放非甲烷总烃管道、设备等安排专人管理</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w:t>
            </w:r>
          </w:p>
        </w:tc>
        <w:tc>
          <w:tcPr>
            <w:tcW w:w="4713" w:type="dxa"/>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工业生产企业应当采取密闭、围挡、遮盖、清扫、洒水等措施，减少内部物料的堆存、传输、装卸等环节产生的粉尘和气态污染物的排放。</w:t>
            </w:r>
          </w:p>
        </w:tc>
        <w:tc>
          <w:tcPr>
            <w:tcW w:w="2542"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w:t>
            </w:r>
            <w:r>
              <w:rPr>
                <w:rFonts w:hint="eastAsia" w:cs="Times New Roman"/>
                <w:color w:val="auto"/>
                <w:szCs w:val="21"/>
                <w:highlight w:val="none"/>
                <w:lang w:val="en-US" w:eastAsia="zh-CN"/>
              </w:rPr>
              <w:t>破碎、拌料等工序在密闭装置内进行，</w:t>
            </w:r>
            <w:r>
              <w:rPr>
                <w:rFonts w:hint="eastAsia" w:ascii="Times New Roman" w:hAnsi="Times New Roman" w:eastAsia="宋体" w:cs="Times New Roman"/>
                <w:color w:val="auto"/>
                <w:szCs w:val="21"/>
                <w:highlight w:val="none"/>
                <w:lang w:val="en-US" w:eastAsia="zh-CN"/>
              </w:rPr>
              <w:t>车间及时清扫，确保无组织污染物达标排放</w:t>
            </w:r>
          </w:p>
        </w:tc>
        <w:tc>
          <w:tcPr>
            <w:tcW w:w="790" w:type="dxa"/>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bl>
    <w:p>
      <w:pPr>
        <w:tabs>
          <w:tab w:val="left" w:pos="3750"/>
        </w:tabs>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综上所述，本项目的建设符合《中华人民共和国大气污染防治法》（2018修订）的相关要求。</w:t>
      </w:r>
    </w:p>
    <w:p>
      <w:pPr>
        <w:numPr>
          <w:ilvl w:val="0"/>
          <w:numId w:val="4"/>
        </w:numPr>
        <w:tabs>
          <w:tab w:val="left" w:pos="3750"/>
        </w:tabs>
        <w:spacing w:line="360" w:lineRule="auto"/>
        <w:ind w:left="0" w:leftChars="0" w:firstLine="482" w:firstLineChars="200"/>
        <w:rPr>
          <w:rFonts w:hint="eastAsia"/>
          <w:b/>
          <w:bCs/>
          <w:color w:val="auto"/>
          <w:sz w:val="24"/>
          <w:highlight w:val="none"/>
          <w:lang w:val="en-US" w:eastAsia="zh-CN"/>
        </w:rPr>
      </w:pPr>
      <w:r>
        <w:rPr>
          <w:rFonts w:hint="eastAsia"/>
          <w:b/>
          <w:bCs/>
          <w:color w:val="auto"/>
          <w:sz w:val="24"/>
          <w:highlight w:val="none"/>
          <w:lang w:val="en-US" w:eastAsia="zh-CN"/>
        </w:rPr>
        <w:t>与《昆明市大气污染防治条例》的符合性分析</w:t>
      </w:r>
    </w:p>
    <w:p>
      <w:pPr>
        <w:tabs>
          <w:tab w:val="left" w:pos="3750"/>
        </w:tabs>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项目与《昆明市大气污染防治条例》相符性分析见下表。</w:t>
      </w:r>
    </w:p>
    <w:p>
      <w:pPr>
        <w:adjustRightInd w:val="0"/>
        <w:snapToGrid w:val="0"/>
        <w:spacing w:line="360" w:lineRule="auto"/>
        <w:jc w:val="center"/>
        <w:rPr>
          <w:rFonts w:hint="default" w:ascii="Times New Roman" w:hAnsi="Times New Roman" w:eastAsia="宋体" w:cs="Times New Roman"/>
          <w:b/>
          <w:bCs/>
          <w:color w:val="auto"/>
          <w:sz w:val="24"/>
          <w:szCs w:val="21"/>
          <w:highlight w:val="none"/>
          <w:lang w:val="en-US" w:eastAsia="zh-CN"/>
        </w:rPr>
      </w:pPr>
      <w:r>
        <w:rPr>
          <w:rFonts w:hint="eastAsia" w:ascii="Times New Roman" w:hAnsi="Times New Roman" w:eastAsia="宋体" w:cs="Times New Roman"/>
          <w:b/>
          <w:bCs/>
          <w:color w:val="auto"/>
          <w:sz w:val="24"/>
          <w:szCs w:val="21"/>
          <w:highlight w:val="none"/>
          <w:lang w:val="en-US" w:eastAsia="zh-CN"/>
        </w:rPr>
        <w:t>表8.2-9 项目与《昆明市大气污染防治条例》相符性一览表</w:t>
      </w:r>
    </w:p>
    <w:tbl>
      <w:tblPr>
        <w:tblStyle w:val="56"/>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4351"/>
        <w:gridCol w:w="2699"/>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adjustRightInd w:val="0"/>
              <w:snapToGrid w:val="0"/>
              <w:jc w:val="center"/>
              <w:rPr>
                <w:b/>
                <w:color w:val="auto"/>
                <w:kern w:val="0"/>
                <w:szCs w:val="21"/>
                <w:highlight w:val="none"/>
              </w:rPr>
            </w:pPr>
            <w:r>
              <w:rPr>
                <w:b/>
                <w:color w:val="auto"/>
                <w:kern w:val="0"/>
                <w:szCs w:val="21"/>
                <w:highlight w:val="none"/>
              </w:rPr>
              <w:t>序号</w:t>
            </w:r>
          </w:p>
        </w:tc>
        <w:tc>
          <w:tcPr>
            <w:tcW w:w="4351" w:type="dxa"/>
            <w:vAlign w:val="center"/>
          </w:tcPr>
          <w:p>
            <w:pPr>
              <w:adjustRightInd w:val="0"/>
              <w:snapToGrid w:val="0"/>
              <w:jc w:val="center"/>
              <w:rPr>
                <w:b/>
                <w:color w:val="auto"/>
                <w:kern w:val="0"/>
                <w:szCs w:val="21"/>
                <w:highlight w:val="none"/>
              </w:rPr>
            </w:pPr>
            <w:r>
              <w:rPr>
                <w:b/>
                <w:color w:val="auto"/>
                <w:kern w:val="0"/>
                <w:szCs w:val="21"/>
                <w:highlight w:val="none"/>
              </w:rPr>
              <w:t>昆明市大气污染防治条例要求</w:t>
            </w:r>
          </w:p>
        </w:tc>
        <w:tc>
          <w:tcPr>
            <w:tcW w:w="2699" w:type="dxa"/>
            <w:vAlign w:val="center"/>
          </w:tcPr>
          <w:p>
            <w:pPr>
              <w:adjustRightInd w:val="0"/>
              <w:snapToGrid w:val="0"/>
              <w:jc w:val="center"/>
              <w:rPr>
                <w:b/>
                <w:color w:val="auto"/>
                <w:kern w:val="0"/>
                <w:szCs w:val="21"/>
                <w:highlight w:val="none"/>
              </w:rPr>
            </w:pPr>
            <w:r>
              <w:rPr>
                <w:b/>
                <w:color w:val="auto"/>
                <w:kern w:val="0"/>
                <w:szCs w:val="21"/>
                <w:highlight w:val="none"/>
              </w:rPr>
              <w:t>项目建设情况</w:t>
            </w:r>
          </w:p>
        </w:tc>
        <w:tc>
          <w:tcPr>
            <w:tcW w:w="853" w:type="dxa"/>
            <w:vAlign w:val="center"/>
          </w:tcPr>
          <w:p>
            <w:pPr>
              <w:adjustRightInd w:val="0"/>
              <w:snapToGrid w:val="0"/>
              <w:jc w:val="center"/>
              <w:rPr>
                <w:b/>
                <w:color w:val="auto"/>
                <w:kern w:val="0"/>
                <w:szCs w:val="21"/>
                <w:highlight w:val="none"/>
              </w:rPr>
            </w:pPr>
            <w:r>
              <w:rPr>
                <w:b/>
                <w:color w:val="auto"/>
                <w:kern w:val="0"/>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adjustRightInd w:val="0"/>
              <w:snapToGrid w:val="0"/>
              <w:ind w:right="119"/>
              <w:rPr>
                <w:color w:val="auto"/>
                <w:kern w:val="0"/>
                <w:sz w:val="20"/>
                <w:szCs w:val="21"/>
                <w:highlight w:val="none"/>
              </w:rPr>
            </w:pPr>
            <w:r>
              <w:rPr>
                <w:rFonts w:hint="eastAsia"/>
                <w:color w:val="auto"/>
                <w:kern w:val="0"/>
                <w:sz w:val="20"/>
                <w:szCs w:val="21"/>
                <w:highlight w:val="none"/>
              </w:rPr>
              <w:t>1</w:t>
            </w:r>
          </w:p>
        </w:tc>
        <w:tc>
          <w:tcPr>
            <w:tcW w:w="4351" w:type="dxa"/>
            <w:vAlign w:val="center"/>
          </w:tcPr>
          <w:p>
            <w:pPr>
              <w:adjustRightInd w:val="0"/>
              <w:snapToGrid w:val="0"/>
              <w:ind w:right="119"/>
              <w:rPr>
                <w:color w:val="auto"/>
                <w:kern w:val="0"/>
                <w:szCs w:val="21"/>
                <w:highlight w:val="none"/>
              </w:rPr>
            </w:pPr>
            <w:r>
              <w:rPr>
                <w:color w:val="auto"/>
                <w:kern w:val="0"/>
                <w:szCs w:val="21"/>
                <w:highlight w:val="none"/>
              </w:rPr>
              <w:t>按照国家有关规定依法实行排污许可管理的单位，应当依法取得排污许可证，并按照排污许可证的规定排放大气污染物，禁止无排污许可证或者不按照排污许可证的规定排放大气污染物。</w:t>
            </w:r>
          </w:p>
        </w:tc>
        <w:tc>
          <w:tcPr>
            <w:tcW w:w="2699" w:type="dxa"/>
            <w:vAlign w:val="center"/>
          </w:tcPr>
          <w:p>
            <w:pPr>
              <w:adjustRightInd w:val="0"/>
              <w:snapToGrid w:val="0"/>
              <w:ind w:right="119"/>
              <w:rPr>
                <w:color w:val="auto"/>
                <w:kern w:val="0"/>
                <w:szCs w:val="21"/>
                <w:highlight w:val="none"/>
              </w:rPr>
            </w:pPr>
            <w:r>
              <w:rPr>
                <w:rFonts w:hint="eastAsia"/>
                <w:color w:val="auto"/>
                <w:kern w:val="0"/>
                <w:szCs w:val="21"/>
                <w:highlight w:val="none"/>
              </w:rPr>
              <w:t>项目属于</w:t>
            </w:r>
            <w:r>
              <w:rPr>
                <w:rFonts w:hint="eastAsia"/>
                <w:color w:val="auto"/>
                <w:kern w:val="0"/>
                <w:szCs w:val="21"/>
                <w:highlight w:val="none"/>
                <w:lang w:val="en-US" w:eastAsia="zh-CN"/>
              </w:rPr>
              <w:t>塑料制品制造业</w:t>
            </w:r>
            <w:r>
              <w:rPr>
                <w:rFonts w:hint="eastAsia"/>
                <w:color w:val="auto"/>
                <w:kern w:val="0"/>
                <w:szCs w:val="21"/>
                <w:highlight w:val="none"/>
              </w:rPr>
              <w:t>，属于</w:t>
            </w:r>
            <w:r>
              <w:rPr>
                <w:color w:val="auto"/>
                <w:kern w:val="0"/>
                <w:szCs w:val="21"/>
                <w:highlight w:val="none"/>
              </w:rPr>
              <w:t>国家有关规定依法实行排污许可管理的单位</w:t>
            </w:r>
            <w:r>
              <w:rPr>
                <w:rFonts w:hint="eastAsia"/>
                <w:color w:val="auto"/>
                <w:kern w:val="0"/>
                <w:szCs w:val="21"/>
                <w:highlight w:val="none"/>
              </w:rPr>
              <w:t>，项目办理环评后，相继办理排污许可</w:t>
            </w:r>
            <w:r>
              <w:rPr>
                <w:rFonts w:hint="eastAsia"/>
                <w:color w:val="auto"/>
                <w:kern w:val="0"/>
                <w:szCs w:val="21"/>
                <w:highlight w:val="none"/>
                <w:lang w:val="en-US" w:eastAsia="zh-CN"/>
              </w:rPr>
              <w:t>证</w:t>
            </w:r>
            <w:r>
              <w:rPr>
                <w:rFonts w:hint="eastAsia"/>
                <w:color w:val="auto"/>
                <w:kern w:val="0"/>
                <w:szCs w:val="21"/>
                <w:highlight w:val="none"/>
              </w:rPr>
              <w:t>。</w:t>
            </w:r>
          </w:p>
        </w:tc>
        <w:tc>
          <w:tcPr>
            <w:tcW w:w="853" w:type="dxa"/>
            <w:vAlign w:val="center"/>
          </w:tcPr>
          <w:p>
            <w:pPr>
              <w:adjustRightInd w:val="0"/>
              <w:snapToGrid w:val="0"/>
              <w:ind w:right="119"/>
              <w:rPr>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43" w:type="dxa"/>
            <w:vAlign w:val="center"/>
          </w:tcPr>
          <w:p>
            <w:pPr>
              <w:adjustRightInd w:val="0"/>
              <w:snapToGrid w:val="0"/>
              <w:ind w:right="119"/>
              <w:rPr>
                <w:color w:val="auto"/>
                <w:kern w:val="0"/>
                <w:sz w:val="20"/>
                <w:szCs w:val="21"/>
                <w:highlight w:val="none"/>
              </w:rPr>
            </w:pPr>
            <w:r>
              <w:rPr>
                <w:rFonts w:hint="eastAsia"/>
                <w:color w:val="auto"/>
                <w:kern w:val="0"/>
                <w:sz w:val="20"/>
                <w:szCs w:val="21"/>
                <w:highlight w:val="none"/>
              </w:rPr>
              <w:t>2</w:t>
            </w:r>
          </w:p>
        </w:tc>
        <w:tc>
          <w:tcPr>
            <w:tcW w:w="4351" w:type="dxa"/>
            <w:vAlign w:val="center"/>
          </w:tcPr>
          <w:p>
            <w:pPr>
              <w:adjustRightInd w:val="0"/>
              <w:snapToGrid w:val="0"/>
              <w:ind w:right="119"/>
              <w:rPr>
                <w:color w:val="auto"/>
                <w:kern w:val="0"/>
                <w:szCs w:val="21"/>
                <w:highlight w:val="none"/>
              </w:rPr>
            </w:pPr>
            <w:r>
              <w:rPr>
                <w:rFonts w:hint="eastAsia"/>
                <w:color w:val="auto"/>
                <w:kern w:val="0"/>
                <w:szCs w:val="21"/>
                <w:highlight w:val="none"/>
              </w:rPr>
              <w:t>禁止排放超过排放标准或者超过重点大气污染物排放总量控制指标的大气污染物。</w:t>
            </w:r>
          </w:p>
        </w:tc>
        <w:tc>
          <w:tcPr>
            <w:tcW w:w="2699" w:type="dxa"/>
            <w:vAlign w:val="center"/>
          </w:tcPr>
          <w:p>
            <w:pPr>
              <w:adjustRightInd w:val="0"/>
              <w:snapToGrid w:val="0"/>
              <w:ind w:right="119"/>
              <w:rPr>
                <w:color w:val="auto"/>
                <w:kern w:val="0"/>
                <w:szCs w:val="21"/>
                <w:highlight w:val="none"/>
              </w:rPr>
            </w:pPr>
            <w:r>
              <w:rPr>
                <w:rFonts w:hint="eastAsia"/>
                <w:color w:val="auto"/>
                <w:kern w:val="0"/>
                <w:szCs w:val="21"/>
                <w:highlight w:val="none"/>
              </w:rPr>
              <w:t>项目各污染物均能达标排放。</w:t>
            </w:r>
          </w:p>
        </w:tc>
        <w:tc>
          <w:tcPr>
            <w:tcW w:w="853" w:type="dxa"/>
            <w:vAlign w:val="center"/>
          </w:tcPr>
          <w:p>
            <w:pPr>
              <w:adjustRightInd w:val="0"/>
              <w:snapToGrid w:val="0"/>
              <w:ind w:right="119"/>
              <w:rPr>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adjustRightInd w:val="0"/>
              <w:snapToGrid w:val="0"/>
              <w:ind w:right="119"/>
              <w:rPr>
                <w:color w:val="auto"/>
                <w:kern w:val="0"/>
                <w:sz w:val="20"/>
                <w:szCs w:val="21"/>
                <w:highlight w:val="none"/>
              </w:rPr>
            </w:pPr>
            <w:r>
              <w:rPr>
                <w:rFonts w:hint="eastAsia"/>
                <w:color w:val="auto"/>
                <w:kern w:val="0"/>
                <w:sz w:val="20"/>
                <w:szCs w:val="21"/>
                <w:highlight w:val="none"/>
              </w:rPr>
              <w:t>3</w:t>
            </w:r>
          </w:p>
        </w:tc>
        <w:tc>
          <w:tcPr>
            <w:tcW w:w="4351" w:type="dxa"/>
            <w:vAlign w:val="center"/>
          </w:tcPr>
          <w:p>
            <w:pPr>
              <w:adjustRightInd w:val="0"/>
              <w:snapToGrid w:val="0"/>
              <w:ind w:right="119"/>
              <w:rPr>
                <w:color w:val="auto"/>
                <w:kern w:val="0"/>
                <w:szCs w:val="21"/>
                <w:highlight w:val="none"/>
              </w:rPr>
            </w:pPr>
            <w:r>
              <w:rPr>
                <w:rFonts w:hint="eastAsia"/>
                <w:color w:val="auto"/>
                <w:kern w:val="0"/>
                <w:szCs w:val="21"/>
                <w:highlight w:val="none"/>
              </w:rPr>
              <w:t>排放大气污染物的企业事业单位和其他生产经营者应当加强精细化管理，严格按照有关规定，配套建设、使用和维护大气污染防治装备。</w:t>
            </w:r>
          </w:p>
        </w:tc>
        <w:tc>
          <w:tcPr>
            <w:tcW w:w="2699" w:type="dxa"/>
            <w:vAlign w:val="center"/>
          </w:tcPr>
          <w:p>
            <w:pPr>
              <w:adjustRightInd w:val="0"/>
              <w:snapToGrid w:val="0"/>
              <w:ind w:right="119"/>
              <w:rPr>
                <w:color w:val="auto"/>
                <w:kern w:val="0"/>
                <w:szCs w:val="21"/>
                <w:highlight w:val="none"/>
              </w:rPr>
            </w:pPr>
            <w:r>
              <w:rPr>
                <w:rFonts w:hint="eastAsia"/>
                <w:color w:val="auto"/>
                <w:kern w:val="0"/>
                <w:szCs w:val="21"/>
                <w:highlight w:val="none"/>
              </w:rPr>
              <w:t>项目各废气产污环节均设置相应的治理设施。</w:t>
            </w:r>
          </w:p>
        </w:tc>
        <w:tc>
          <w:tcPr>
            <w:tcW w:w="853" w:type="dxa"/>
            <w:vAlign w:val="center"/>
          </w:tcPr>
          <w:p>
            <w:pPr>
              <w:adjustRightInd w:val="0"/>
              <w:snapToGrid w:val="0"/>
              <w:ind w:right="119"/>
              <w:rPr>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adjustRightInd w:val="0"/>
              <w:snapToGrid w:val="0"/>
              <w:ind w:right="119"/>
              <w:rPr>
                <w:rFonts w:hint="eastAsia" w:eastAsia="宋体"/>
                <w:color w:val="auto"/>
                <w:kern w:val="0"/>
                <w:sz w:val="20"/>
                <w:szCs w:val="21"/>
                <w:highlight w:val="none"/>
                <w:lang w:val="en-US" w:eastAsia="zh-CN"/>
              </w:rPr>
            </w:pPr>
            <w:r>
              <w:rPr>
                <w:rFonts w:hint="eastAsia"/>
                <w:color w:val="auto"/>
                <w:kern w:val="0"/>
                <w:sz w:val="20"/>
                <w:szCs w:val="21"/>
                <w:highlight w:val="none"/>
                <w:lang w:val="en-US" w:eastAsia="zh-CN"/>
              </w:rPr>
              <w:t>4</w:t>
            </w:r>
          </w:p>
        </w:tc>
        <w:tc>
          <w:tcPr>
            <w:tcW w:w="4351" w:type="dxa"/>
            <w:vAlign w:val="center"/>
          </w:tcPr>
          <w:p>
            <w:pPr>
              <w:adjustRightInd w:val="0"/>
              <w:snapToGrid w:val="0"/>
              <w:ind w:right="119"/>
              <w:rPr>
                <w:rFonts w:hint="default" w:eastAsia="宋体"/>
                <w:color w:val="auto"/>
                <w:kern w:val="0"/>
                <w:szCs w:val="21"/>
                <w:highlight w:val="none"/>
                <w:lang w:val="en-US" w:eastAsia="zh-CN"/>
              </w:rPr>
            </w:pPr>
            <w:r>
              <w:rPr>
                <w:rFonts w:hint="eastAsia"/>
                <w:color w:val="auto"/>
                <w:kern w:val="0"/>
                <w:szCs w:val="21"/>
                <w:highlight w:val="none"/>
                <w:lang w:val="en-US" w:eastAsia="zh-CN"/>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制铁罐等行业；（五）其他产生挥发性有机物的生产和服务活动。</w:t>
            </w:r>
          </w:p>
        </w:tc>
        <w:tc>
          <w:tcPr>
            <w:tcW w:w="2699" w:type="dxa"/>
            <w:vAlign w:val="center"/>
          </w:tcPr>
          <w:p>
            <w:pPr>
              <w:adjustRightInd w:val="0"/>
              <w:snapToGrid w:val="0"/>
              <w:ind w:right="119"/>
              <w:rPr>
                <w:rFonts w:hint="default" w:eastAsia="宋体"/>
                <w:color w:val="auto"/>
                <w:kern w:val="0"/>
                <w:szCs w:val="21"/>
                <w:highlight w:val="none"/>
                <w:lang w:val="en-US" w:eastAsia="zh-CN"/>
              </w:rPr>
            </w:pPr>
            <w:r>
              <w:rPr>
                <w:rFonts w:hint="eastAsia"/>
                <w:color w:val="auto"/>
                <w:kern w:val="0"/>
                <w:szCs w:val="21"/>
                <w:highlight w:val="none"/>
                <w:lang w:val="en-US" w:eastAsia="zh-CN"/>
              </w:rPr>
              <w:t>项目采用再生树脂颗粒生产塑料框，项目各生产设备均布置在生产车间内，产生挥发性有机废气的注塑机为密闭设备，生产过程中产生的挥发性有机物废气采用“集气罩收集+三级活性炭吸附装置”处理后，通过15m高排气筒有组织排放。</w:t>
            </w:r>
          </w:p>
        </w:tc>
        <w:tc>
          <w:tcPr>
            <w:tcW w:w="853" w:type="dxa"/>
            <w:vAlign w:val="center"/>
          </w:tcPr>
          <w:p>
            <w:pPr>
              <w:adjustRightInd w:val="0"/>
              <w:snapToGrid w:val="0"/>
              <w:ind w:right="119"/>
              <w:rPr>
                <w:rFonts w:hint="eastAsia" w:eastAsia="宋体"/>
                <w:color w:val="auto"/>
                <w:kern w:val="0"/>
                <w:szCs w:val="21"/>
                <w:highlight w:val="none"/>
                <w:lang w:val="en-US" w:eastAsia="zh-CN"/>
              </w:rPr>
            </w:pPr>
            <w:r>
              <w:rPr>
                <w:rFonts w:hint="eastAsia"/>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adjustRightInd w:val="0"/>
              <w:snapToGrid w:val="0"/>
              <w:ind w:right="119"/>
              <w:rPr>
                <w:rFonts w:hint="default"/>
                <w:color w:val="auto"/>
                <w:kern w:val="0"/>
                <w:sz w:val="20"/>
                <w:szCs w:val="21"/>
                <w:highlight w:val="none"/>
                <w:lang w:val="en-US" w:eastAsia="zh-CN"/>
              </w:rPr>
            </w:pPr>
            <w:r>
              <w:rPr>
                <w:rFonts w:hint="eastAsia"/>
                <w:color w:val="auto"/>
                <w:kern w:val="0"/>
                <w:sz w:val="20"/>
                <w:szCs w:val="21"/>
                <w:highlight w:val="none"/>
                <w:lang w:val="en-US" w:eastAsia="zh-CN"/>
              </w:rPr>
              <w:t>5</w:t>
            </w:r>
          </w:p>
        </w:tc>
        <w:tc>
          <w:tcPr>
            <w:tcW w:w="4351" w:type="dxa"/>
            <w:vAlign w:val="center"/>
          </w:tcPr>
          <w:p>
            <w:pPr>
              <w:adjustRightInd w:val="0"/>
              <w:snapToGrid w:val="0"/>
              <w:ind w:right="119"/>
              <w:rPr>
                <w:rFonts w:hint="eastAsia"/>
                <w:color w:val="auto"/>
                <w:kern w:val="0"/>
                <w:szCs w:val="21"/>
                <w:highlight w:val="none"/>
                <w:lang w:val="en-US" w:eastAsia="zh-CN"/>
              </w:rPr>
            </w:pPr>
            <w:r>
              <w:rPr>
                <w:rFonts w:hint="eastAsia"/>
                <w:color w:val="auto"/>
                <w:kern w:val="0"/>
                <w:szCs w:val="21"/>
                <w:highlight w:val="none"/>
                <w:lang w:val="en-US" w:eastAsia="zh-CN"/>
              </w:rPr>
              <w:t>生产、进口、销售和使用含挥发性有机物原材料和产品的，其挥发性有机物含量应当符合质量标准或者要求。</w:t>
            </w:r>
          </w:p>
          <w:p>
            <w:pPr>
              <w:adjustRightInd w:val="0"/>
              <w:snapToGrid w:val="0"/>
              <w:ind w:right="119"/>
              <w:rPr>
                <w:rFonts w:hint="default"/>
                <w:color w:val="auto"/>
                <w:kern w:val="0"/>
                <w:szCs w:val="21"/>
                <w:highlight w:val="none"/>
                <w:lang w:val="en-US" w:eastAsia="zh-CN"/>
              </w:rPr>
            </w:pPr>
            <w:r>
              <w:rPr>
                <w:rFonts w:hint="eastAsia"/>
                <w:color w:val="auto"/>
                <w:kern w:val="0"/>
                <w:szCs w:val="21"/>
                <w:highlight w:val="none"/>
              </w:rPr>
              <w:t>工业涂装企业应当使用低挥发性有机物含量的涂料，并建立台账，记录生产原料、辅料的使用量、废弃量、去向以及挥发性有机物含量。台账保存期限不得少于3年。</w:t>
            </w:r>
          </w:p>
        </w:tc>
        <w:tc>
          <w:tcPr>
            <w:tcW w:w="2699" w:type="dxa"/>
            <w:vAlign w:val="center"/>
          </w:tcPr>
          <w:p>
            <w:pPr>
              <w:adjustRightInd w:val="0"/>
              <w:snapToGrid w:val="0"/>
              <w:ind w:right="119"/>
              <w:rPr>
                <w:rFonts w:hint="default" w:eastAsia="宋体"/>
                <w:color w:val="auto"/>
                <w:kern w:val="0"/>
                <w:szCs w:val="21"/>
                <w:highlight w:val="none"/>
                <w:lang w:val="en-US" w:eastAsia="zh-CN"/>
              </w:rPr>
            </w:pPr>
            <w:r>
              <w:rPr>
                <w:rFonts w:hint="eastAsia"/>
                <w:color w:val="auto"/>
                <w:kern w:val="0"/>
                <w:szCs w:val="21"/>
                <w:highlight w:val="none"/>
                <w:lang w:val="en-US" w:eastAsia="zh-CN"/>
              </w:rPr>
              <w:t>项目生产过程不使用涂料，生产过程使用的再生树脂颗粒均为外购，符合质量标准或要求。</w:t>
            </w:r>
          </w:p>
        </w:tc>
        <w:tc>
          <w:tcPr>
            <w:tcW w:w="853" w:type="dxa"/>
            <w:vAlign w:val="center"/>
          </w:tcPr>
          <w:p>
            <w:pPr>
              <w:adjustRightInd w:val="0"/>
              <w:snapToGrid w:val="0"/>
              <w:ind w:right="119"/>
              <w:rPr>
                <w:rFonts w:hint="eastAsia" w:eastAsia="宋体"/>
                <w:color w:val="auto"/>
                <w:kern w:val="0"/>
                <w:szCs w:val="21"/>
                <w:highlight w:val="none"/>
                <w:lang w:val="en-US" w:eastAsia="zh-CN"/>
              </w:rPr>
            </w:pPr>
            <w:r>
              <w:rPr>
                <w:rFonts w:hint="eastAsia"/>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adjustRightInd w:val="0"/>
              <w:snapToGrid w:val="0"/>
              <w:ind w:right="119"/>
              <w:rPr>
                <w:rFonts w:hint="default"/>
                <w:color w:val="auto"/>
                <w:kern w:val="0"/>
                <w:sz w:val="20"/>
                <w:szCs w:val="21"/>
                <w:highlight w:val="none"/>
                <w:lang w:val="en-US" w:eastAsia="zh-CN"/>
              </w:rPr>
            </w:pPr>
            <w:r>
              <w:rPr>
                <w:rFonts w:hint="eastAsia"/>
                <w:color w:val="auto"/>
                <w:kern w:val="0"/>
                <w:sz w:val="20"/>
                <w:szCs w:val="21"/>
                <w:highlight w:val="none"/>
                <w:lang w:val="en-US" w:eastAsia="zh-CN"/>
              </w:rPr>
              <w:t>6</w:t>
            </w:r>
          </w:p>
        </w:tc>
        <w:tc>
          <w:tcPr>
            <w:tcW w:w="4351" w:type="dxa"/>
            <w:vAlign w:val="center"/>
          </w:tcPr>
          <w:p>
            <w:pPr>
              <w:adjustRightInd w:val="0"/>
              <w:snapToGrid w:val="0"/>
              <w:ind w:right="119"/>
              <w:rPr>
                <w:rFonts w:hint="eastAsia"/>
                <w:color w:val="auto"/>
                <w:kern w:val="0"/>
                <w:szCs w:val="21"/>
                <w:highlight w:val="none"/>
                <w:lang w:val="en-US" w:eastAsia="zh-CN"/>
              </w:rPr>
            </w:pPr>
            <w:r>
              <w:rPr>
                <w:rFonts w:hint="eastAsia"/>
                <w:color w:val="auto"/>
                <w:szCs w:val="21"/>
                <w:highlight w:val="none"/>
              </w:rPr>
              <w:t>企业事业单位和其他生产经营者在生产经营活动中产生恶臭气体的，应当安装净化装置或者采取其他措施防止恶臭气体排放。</w:t>
            </w:r>
          </w:p>
        </w:tc>
        <w:tc>
          <w:tcPr>
            <w:tcW w:w="2699" w:type="dxa"/>
            <w:vAlign w:val="center"/>
          </w:tcPr>
          <w:p>
            <w:pPr>
              <w:adjustRightInd w:val="0"/>
              <w:snapToGrid w:val="0"/>
              <w:ind w:right="119"/>
              <w:rPr>
                <w:rFonts w:hint="default" w:eastAsia="宋体"/>
                <w:color w:val="auto"/>
                <w:kern w:val="0"/>
                <w:szCs w:val="21"/>
                <w:highlight w:val="none"/>
                <w:lang w:val="en-US" w:eastAsia="zh-CN"/>
              </w:rPr>
            </w:pPr>
            <w:r>
              <w:rPr>
                <w:rFonts w:hint="eastAsia"/>
                <w:color w:val="auto"/>
                <w:kern w:val="0"/>
                <w:szCs w:val="21"/>
                <w:highlight w:val="none"/>
                <w:lang w:val="en-US" w:eastAsia="zh-CN"/>
              </w:rPr>
              <w:t>项目使用的再生树脂颗粒在注塑工段会产生少量异味，异味经集气罩收集后，通过三级活性炭吸附装置处理后经15m高排气筒有组织排放。</w:t>
            </w:r>
          </w:p>
        </w:tc>
        <w:tc>
          <w:tcPr>
            <w:tcW w:w="853" w:type="dxa"/>
            <w:vAlign w:val="center"/>
          </w:tcPr>
          <w:p>
            <w:pPr>
              <w:adjustRightInd w:val="0"/>
              <w:snapToGrid w:val="0"/>
              <w:ind w:right="119"/>
              <w:rPr>
                <w:rFonts w:hint="eastAsia" w:eastAsia="宋体"/>
                <w:color w:val="auto"/>
                <w:kern w:val="0"/>
                <w:szCs w:val="21"/>
                <w:highlight w:val="none"/>
                <w:lang w:val="en-US" w:eastAsia="zh-CN"/>
              </w:rPr>
            </w:pPr>
            <w:r>
              <w:rPr>
                <w:rFonts w:hint="eastAsia"/>
                <w:color w:val="auto"/>
                <w:kern w:val="0"/>
                <w:szCs w:val="21"/>
                <w:highlight w:val="none"/>
                <w:lang w:val="en-US" w:eastAsia="zh-CN"/>
              </w:rPr>
              <w:t>符合</w:t>
            </w:r>
          </w:p>
        </w:tc>
      </w:tr>
    </w:tbl>
    <w:p>
      <w:pPr>
        <w:tabs>
          <w:tab w:val="left" w:pos="3750"/>
        </w:tabs>
        <w:spacing w:line="360" w:lineRule="auto"/>
        <w:ind w:firstLine="480" w:firstLineChars="200"/>
        <w:rPr>
          <w:rFonts w:hint="default"/>
          <w:b/>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综上所述，项目所采取的防治措施符合昆明市大气污染防治条例中的相关内容。</w:t>
      </w:r>
    </w:p>
    <w:p>
      <w:pPr>
        <w:tabs>
          <w:tab w:val="left" w:pos="3750"/>
        </w:tabs>
        <w:spacing w:line="360" w:lineRule="auto"/>
        <w:ind w:firstLine="482" w:firstLineChars="200"/>
        <w:rPr>
          <w:rFonts w:hint="default" w:eastAsia="宋体"/>
          <w:b/>
          <w:bCs/>
          <w:color w:val="auto"/>
          <w:sz w:val="24"/>
          <w:highlight w:val="none"/>
          <w:lang w:val="en-US" w:eastAsia="zh-CN"/>
        </w:rPr>
      </w:pPr>
      <w:r>
        <w:rPr>
          <w:rFonts w:hint="eastAsia"/>
          <w:b/>
          <w:bCs/>
          <w:color w:val="auto"/>
          <w:sz w:val="24"/>
          <w:highlight w:val="none"/>
          <w:lang w:val="en-US" w:eastAsia="zh-CN"/>
        </w:rPr>
        <w:t>6、与《云南省工业固体废物和重金属污染防治“十四五”规划》的通知（云环发[2022]22号）的符合性分析</w:t>
      </w:r>
    </w:p>
    <w:p>
      <w:pPr>
        <w:tabs>
          <w:tab w:val="left" w:pos="3750"/>
        </w:tabs>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2022年5月发布《云南省工业固体废物和重金属污染防治“十四五”规划》，根据下表分析可知，项目符合《云南省工业固体废物和重金属污染防治“十四五”规划》中的相关要求。</w:t>
      </w:r>
    </w:p>
    <w:p>
      <w:pPr>
        <w:tabs>
          <w:tab w:val="left" w:pos="3750"/>
        </w:tabs>
        <w:spacing w:line="360" w:lineRule="auto"/>
        <w:jc w:val="center"/>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表8.2-</w:t>
      </w:r>
      <w:r>
        <w:rPr>
          <w:rFonts w:hint="eastAsia" w:cs="Times New Roman"/>
          <w:b/>
          <w:bCs/>
          <w:color w:val="auto"/>
          <w:sz w:val="24"/>
          <w:highlight w:val="none"/>
          <w:lang w:val="en-US" w:eastAsia="zh-CN"/>
        </w:rPr>
        <w:t>10</w:t>
      </w:r>
      <w:r>
        <w:rPr>
          <w:rFonts w:hint="eastAsia" w:ascii="Times New Roman" w:hAnsi="Times New Roman" w:eastAsia="宋体" w:cs="Times New Roman"/>
          <w:b/>
          <w:bCs/>
          <w:color w:val="auto"/>
          <w:sz w:val="24"/>
          <w:highlight w:val="none"/>
          <w:lang w:val="en-US" w:eastAsia="zh-CN"/>
        </w:rPr>
        <w:t xml:space="preserve">  与云南省工业固体废物和重金属污染防治“十四五”规划文件符合性分析</w:t>
      </w:r>
    </w:p>
    <w:tbl>
      <w:tblPr>
        <w:tblStyle w:val="56"/>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5"/>
        <w:gridCol w:w="4900"/>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规划要求</w:t>
            </w:r>
          </w:p>
        </w:tc>
        <w:tc>
          <w:tcPr>
            <w:tcW w:w="4900"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相符性分析</w:t>
            </w:r>
          </w:p>
        </w:tc>
        <w:tc>
          <w:tcPr>
            <w:tcW w:w="704"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控制新建、扩建工业固体废物及危险废物产生量大、区域内难以有效综合利用、无害化处置能力不足、无配套利用处置设施的建设项目。新建项目严格执行《建设项目危险废物环境影响评价指南》《危险废物处置工程技术导则》等技术规范。将固体废物污染环境防治内容纳入环境影响评价文件，落实固体废物</w:t>
            </w:r>
          </w:p>
        </w:tc>
        <w:tc>
          <w:tcPr>
            <w:tcW w:w="4900"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产生的工业固体废物及危险废物量不大，均采取了合理可行的收集处置措施，固体废物均得到妥善处置，处置率100%。严格执行相关技术规范，防治内容纳入环境影响评价文件，落实了固体废物污染防治措施，并纳入了环保投资。</w:t>
            </w:r>
          </w:p>
        </w:tc>
        <w:tc>
          <w:tcPr>
            <w:tcW w:w="704"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加强危险废物鉴别管理</w:t>
            </w:r>
          </w:p>
        </w:tc>
        <w:tc>
          <w:tcPr>
            <w:tcW w:w="4900"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项目产生的危险废物，已根据《国家危险废物名录》列出危险废物类别代码。</w:t>
            </w:r>
          </w:p>
        </w:tc>
        <w:tc>
          <w:tcPr>
            <w:tcW w:w="704"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规范危险废物收集、贮存和转移</w:t>
            </w:r>
          </w:p>
        </w:tc>
        <w:tc>
          <w:tcPr>
            <w:tcW w:w="4900" w:type="dxa"/>
          </w:tcPr>
          <w:p>
            <w:pPr>
              <w:tabs>
                <w:tab w:val="left" w:pos="1625"/>
              </w:tabs>
              <w:spacing w:line="240" w:lineRule="auto"/>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项目危废暂存间</w:t>
            </w:r>
            <w:r>
              <w:rPr>
                <w:rFonts w:hint="default" w:ascii="Times New Roman" w:hAnsi="Times New Roman" w:cs="Times New Roman"/>
                <w:color w:val="auto"/>
                <w:sz w:val="21"/>
                <w:szCs w:val="21"/>
                <w:highlight w:val="none"/>
              </w:rPr>
              <w:t>拟采用在现有的水泥硬化基础上新增2.0mmHDPE膜进行防渗，使其地面达到渗透系数≤1×10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cm/s的防渗性能</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同时执行危废转移联单制度，做好危废管理台账，分区设置，分区暂存，定期委托有资质单位清运处置</w:t>
            </w:r>
            <w:r>
              <w:rPr>
                <w:rFonts w:hint="default" w:ascii="Times New Roman" w:hAnsi="Times New Roman" w:cs="Times New Roman"/>
                <w:color w:val="auto"/>
                <w:sz w:val="21"/>
                <w:szCs w:val="21"/>
                <w:highlight w:val="none"/>
              </w:rPr>
              <w:t>。</w:t>
            </w:r>
          </w:p>
        </w:tc>
        <w:tc>
          <w:tcPr>
            <w:tcW w:w="704"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bl>
    <w:p>
      <w:pPr>
        <w:rPr>
          <w:rFonts w:hint="default"/>
          <w:color w:val="auto"/>
          <w:highlight w:val="none"/>
          <w:lang w:val="en-US" w:eastAsia="zh-CN"/>
        </w:rPr>
      </w:pPr>
    </w:p>
    <w:p>
      <w:pPr>
        <w:tabs>
          <w:tab w:val="left" w:pos="3750"/>
        </w:tabs>
        <w:spacing w:line="360" w:lineRule="auto"/>
        <w:ind w:firstLine="482" w:firstLineChars="200"/>
        <w:rPr>
          <w:rFonts w:hint="default" w:eastAsia="宋体"/>
          <w:b/>
          <w:bCs/>
          <w:color w:val="auto"/>
          <w:sz w:val="24"/>
          <w:highlight w:val="none"/>
          <w:lang w:val="en-US" w:eastAsia="zh-CN"/>
        </w:rPr>
      </w:pPr>
      <w:r>
        <w:rPr>
          <w:rFonts w:hint="eastAsia"/>
          <w:b/>
          <w:bCs/>
          <w:color w:val="auto"/>
          <w:sz w:val="24"/>
          <w:highlight w:val="none"/>
          <w:lang w:val="en-US" w:eastAsia="zh-CN"/>
        </w:rPr>
        <w:t>7、项目与《云南省土壤污染防治条例》的符合性分析</w:t>
      </w:r>
    </w:p>
    <w:p>
      <w:pPr>
        <w:tabs>
          <w:tab w:val="left" w:pos="3750"/>
        </w:tabs>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2022年1月23日云南省第十三届人民代表大会第五次会议通过《云南省土壤污染防治条例》，并于2022年5月1日起施行。根据下表分析可知，项目符合《云南省土壤污染防治条例》中的相关要求。</w:t>
      </w:r>
    </w:p>
    <w:p>
      <w:pPr>
        <w:tabs>
          <w:tab w:val="left" w:pos="3750"/>
        </w:tabs>
        <w:spacing w:line="360" w:lineRule="auto"/>
        <w:jc w:val="center"/>
        <w:rPr>
          <w:rFonts w:hint="eastAsia" w:ascii="Times New Roman" w:hAnsi="Times New Roman" w:eastAsia="宋体" w:cs="Times New Roman"/>
          <w:b/>
          <w:bCs/>
          <w:color w:val="auto"/>
          <w:sz w:val="24"/>
          <w:highlight w:val="none"/>
          <w:lang w:val="en-US" w:eastAsia="zh-CN"/>
        </w:rPr>
      </w:pPr>
    </w:p>
    <w:p>
      <w:pPr>
        <w:tabs>
          <w:tab w:val="left" w:pos="3750"/>
        </w:tabs>
        <w:spacing w:line="360" w:lineRule="auto"/>
        <w:jc w:val="center"/>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表8.2-</w:t>
      </w:r>
      <w:r>
        <w:rPr>
          <w:rFonts w:hint="eastAsia" w:cs="Times New Roman"/>
          <w:b/>
          <w:bCs/>
          <w:color w:val="auto"/>
          <w:sz w:val="24"/>
          <w:highlight w:val="none"/>
          <w:lang w:val="en-US" w:eastAsia="zh-CN"/>
        </w:rPr>
        <w:t>11</w:t>
      </w:r>
      <w:r>
        <w:rPr>
          <w:rFonts w:hint="eastAsia" w:ascii="Times New Roman" w:hAnsi="Times New Roman" w:eastAsia="宋体" w:cs="Times New Roman"/>
          <w:b/>
          <w:bCs/>
          <w:color w:val="auto"/>
          <w:sz w:val="24"/>
          <w:highlight w:val="none"/>
          <w:lang w:val="en-US" w:eastAsia="zh-CN"/>
        </w:rPr>
        <w:t xml:space="preserve">  与云南省土壤污染防治条例符合性分析</w:t>
      </w:r>
    </w:p>
    <w:tbl>
      <w:tblPr>
        <w:tblStyle w:val="56"/>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3"/>
        <w:gridCol w:w="3832"/>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13"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云南省土壤污染防治条例要求</w:t>
            </w:r>
          </w:p>
        </w:tc>
        <w:tc>
          <w:tcPr>
            <w:tcW w:w="3832"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相符性分析</w:t>
            </w:r>
          </w:p>
        </w:tc>
        <w:tc>
          <w:tcPr>
            <w:tcW w:w="704"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3"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类涉及土地利用的规划和可能造成土壤污染的建设项目，应当依法进行环境影响评价。环境影响评价文件应当包括对土壤可能造成的不良影响及应当采取的相应预防措施等内容。建设项目配套建设的土壤污染防治设施，应当与主体工程同时设计、同时施工、同时投入使用。</w:t>
            </w:r>
          </w:p>
        </w:tc>
        <w:tc>
          <w:tcPr>
            <w:tcW w:w="3832"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属于塑料制品制造业，运营期对土壤可能造成的影响途径为大气沉降、地面漫流、垂直入渗等；项目已依法进行环境影响评价，并在环境影响评价文件中针对土壤可能造成的不良影响提出了土壤污染防治措施。建设项目配套的土壤污染防治设施与主体工程同时设计、同时施工、同时投入使用。</w:t>
            </w:r>
          </w:p>
        </w:tc>
        <w:tc>
          <w:tcPr>
            <w:tcW w:w="704"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3"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位和个人生产、使用、贮存、运输、回收、处置、排放有毒有害物质，从事加油站经营、油品运输、油品贮存以及车船拆解、修理、保养等活动，应当采取有效的防渗漏、防流失、防扬散或者其他措施，防止土壤污染。</w:t>
            </w:r>
          </w:p>
        </w:tc>
        <w:tc>
          <w:tcPr>
            <w:tcW w:w="3832" w:type="dxa"/>
          </w:tcPr>
          <w:p>
            <w:pPr>
              <w:tabs>
                <w:tab w:val="left" w:pos="375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项目主要采用再生树脂颗粒生产塑料框，不涉及有毒有害物质，项目针对生产过程产生废机油，采用专用桶收集后暂存至危废暂存间，并对危废暂存间采取了有效的防渗漏、防流失、防扬散措施，防止土壤污染。</w:t>
            </w:r>
          </w:p>
        </w:tc>
        <w:tc>
          <w:tcPr>
            <w:tcW w:w="704" w:type="dxa"/>
          </w:tcPr>
          <w:p>
            <w:pPr>
              <w:tabs>
                <w:tab w:val="left" w:pos="3750"/>
              </w:tabs>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bl>
    <w:p>
      <w:pPr>
        <w:tabs>
          <w:tab w:val="left" w:pos="3750"/>
        </w:tabs>
        <w:spacing w:line="360" w:lineRule="auto"/>
        <w:ind w:firstLine="482" w:firstLineChars="200"/>
        <w:rPr>
          <w:b/>
          <w:bCs/>
          <w:color w:val="auto"/>
          <w:sz w:val="24"/>
          <w:highlight w:val="none"/>
        </w:rPr>
      </w:pPr>
    </w:p>
    <w:p>
      <w:pPr>
        <w:tabs>
          <w:tab w:val="left" w:pos="3750"/>
        </w:tabs>
        <w:spacing w:line="360" w:lineRule="auto"/>
        <w:ind w:firstLine="482" w:firstLineChars="200"/>
        <w:rPr>
          <w:rFonts w:hint="eastAsia"/>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8、项目与《云南省“十四五”生态环境保护规划》的符合性分析</w:t>
      </w:r>
    </w:p>
    <w:p>
      <w:pPr>
        <w:tabs>
          <w:tab w:val="left" w:pos="3750"/>
        </w:tabs>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根据2022年4月8日云南省生态环境厅发布的《云南省生态环境厅关于印发云南省“十四五”生态环境保护规划的通知》（云环发[2022]13号） 要求，本项目与云南省“十四五”生态环境保护规划的符合性分析如表8.2-13所示。</w:t>
      </w:r>
    </w:p>
    <w:p>
      <w:pPr>
        <w:tabs>
          <w:tab w:val="left" w:pos="3750"/>
        </w:tabs>
        <w:spacing w:line="360" w:lineRule="auto"/>
        <w:jc w:val="center"/>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表8.2-12  项目建设与《云南省“十四五”生态环境保护规划》对照分析一览表</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305"/>
        <w:gridCol w:w="288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2" w:type="dxa"/>
            <w:gridSpan w:val="2"/>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云南省“十四五”生态环境保护规划要求</w:t>
            </w:r>
          </w:p>
        </w:tc>
        <w:tc>
          <w:tcPr>
            <w:tcW w:w="288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本项目实际建设情况</w:t>
            </w:r>
          </w:p>
        </w:tc>
        <w:tc>
          <w:tcPr>
            <w:tcW w:w="69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优化产业结构</w:t>
            </w:r>
          </w:p>
        </w:tc>
        <w:tc>
          <w:tcPr>
            <w:tcW w:w="4305"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推进重点行业绿色化改造。推动钢铁、建材、有色、石化等原材料产业布局优化和结构调整，以钢铁、焦化、铸造、建材、有色、石化、化工、工业涂装、包装印刷、电镀、制革、造纸、纺织印染、农副食品加工等行业为重点，开展全流程清洁化、循环化、低碳化改造，全面推动传统优势产业绿色转型升级。在电力钢铁、建材等重点行业，开展减污降碳协同治理。</w:t>
            </w:r>
          </w:p>
        </w:tc>
        <w:tc>
          <w:tcPr>
            <w:tcW w:w="288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本项目</w:t>
            </w:r>
            <w:r>
              <w:rPr>
                <w:rFonts w:hint="eastAsia"/>
                <w:color w:val="auto"/>
                <w:sz w:val="21"/>
                <w:szCs w:val="21"/>
                <w:highlight w:val="none"/>
                <w:lang w:val="en-US" w:eastAsia="zh-CN"/>
              </w:rPr>
              <w:t>采用再生树脂颗粒生产塑料框，</w:t>
            </w:r>
            <w:r>
              <w:rPr>
                <w:color w:val="auto"/>
                <w:sz w:val="21"/>
                <w:szCs w:val="21"/>
                <w:highlight w:val="none"/>
                <w:lang w:eastAsia="zh-CN"/>
              </w:rPr>
              <w:t>属于</w:t>
            </w:r>
            <w:r>
              <w:rPr>
                <w:rFonts w:hint="eastAsia"/>
                <w:color w:val="auto"/>
                <w:sz w:val="21"/>
                <w:szCs w:val="21"/>
                <w:highlight w:val="none"/>
                <w:lang w:val="en-US" w:eastAsia="zh-CN"/>
              </w:rPr>
              <w:t>塑料制品制造业</w:t>
            </w:r>
            <w:r>
              <w:rPr>
                <w:color w:val="auto"/>
                <w:sz w:val="21"/>
                <w:szCs w:val="21"/>
                <w:highlight w:val="none"/>
                <w:lang w:eastAsia="zh-CN"/>
              </w:rPr>
              <w:t>，</w:t>
            </w:r>
            <w:r>
              <w:rPr>
                <w:rFonts w:hint="eastAsia"/>
                <w:color w:val="auto"/>
                <w:sz w:val="21"/>
                <w:szCs w:val="21"/>
                <w:highlight w:val="none"/>
                <w:lang w:val="en-US" w:eastAsia="zh-CN"/>
              </w:rPr>
              <w:t>位于寻甸县仁德街道三月三村，项目不涉及钢铁、焦化、铸造、建材、有色、石化、化工、工业涂装、包装印刷、电镀、制革、造纸、纺织印刷、农副食品加工等行业</w:t>
            </w:r>
            <w:r>
              <w:rPr>
                <w:color w:val="auto"/>
                <w:sz w:val="21"/>
                <w:szCs w:val="21"/>
                <w:highlight w:val="none"/>
                <w:lang w:eastAsia="zh-CN"/>
              </w:rPr>
              <w:t>。</w:t>
            </w:r>
          </w:p>
        </w:tc>
        <w:tc>
          <w:tcPr>
            <w:tcW w:w="69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优化能源结构</w:t>
            </w:r>
          </w:p>
        </w:tc>
        <w:tc>
          <w:tcPr>
            <w:tcW w:w="4305"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实施终端用能清洁化替代。加快工业、建筑、交通等各用能领域电气化、智能化发展，加强清洁能源供应保障，推行清洁能源替代。按照煤炭集中使用、清洁利用原则，重点削减小型燃煤锅炉、民用散煤与农业用煤消费量，对以煤、石焦油、渣油、重油等为燃料的锅炉和工业炉窑，加快使用清洁低碳能源以及工厂余热、电力热力等进行替代。</w:t>
            </w:r>
          </w:p>
        </w:tc>
        <w:tc>
          <w:tcPr>
            <w:tcW w:w="288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项目建成后主要能源为电能，项目满足清洁能源供应保障。</w:t>
            </w:r>
          </w:p>
        </w:tc>
        <w:tc>
          <w:tcPr>
            <w:tcW w:w="69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持续深化水污染治理</w:t>
            </w:r>
          </w:p>
        </w:tc>
        <w:tc>
          <w:tcPr>
            <w:tcW w:w="4305"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狠抓工业污染防治。推动重点行业、重点区域绿色发展，指导地方制定差别化的流域性环境标准和管控要求。加强农副食品加工、化工、印染等行业综合治理，加快推进流域产业布局调整升级。推进玉米淀粉、糖醇生产、肉类及水产品加工企业、印染企业等清洁化改造。开展产业园区水污染整治专项行动，推动提升园区污水收集处理效能，提高污染治理能力，防范化工园区环境风险。</w:t>
            </w:r>
          </w:p>
        </w:tc>
        <w:tc>
          <w:tcPr>
            <w:tcW w:w="288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本项目属于</w:t>
            </w:r>
            <w:r>
              <w:rPr>
                <w:rFonts w:hint="eastAsia"/>
                <w:color w:val="auto"/>
                <w:sz w:val="21"/>
                <w:szCs w:val="21"/>
                <w:highlight w:val="none"/>
                <w:lang w:val="en-US" w:eastAsia="zh-CN"/>
              </w:rPr>
              <w:t>塑料制品制造业</w:t>
            </w:r>
            <w:r>
              <w:rPr>
                <w:color w:val="auto"/>
                <w:sz w:val="21"/>
                <w:szCs w:val="21"/>
                <w:highlight w:val="none"/>
                <w:lang w:eastAsia="zh-CN"/>
              </w:rPr>
              <w:t>，项目实行雨污分流制度，雨水经</w:t>
            </w:r>
            <w:r>
              <w:rPr>
                <w:rFonts w:hint="eastAsia"/>
                <w:color w:val="auto"/>
                <w:sz w:val="21"/>
                <w:szCs w:val="21"/>
                <w:highlight w:val="none"/>
                <w:lang w:val="en-US" w:eastAsia="zh-CN"/>
              </w:rPr>
              <w:t>雨水沟收集后排至附近自然排水沟</w:t>
            </w:r>
            <w:r>
              <w:rPr>
                <w:color w:val="auto"/>
                <w:sz w:val="21"/>
                <w:szCs w:val="21"/>
                <w:highlight w:val="none"/>
                <w:lang w:eastAsia="zh-CN"/>
              </w:rPr>
              <w:t>，项目生产废水全部</w:t>
            </w:r>
            <w:r>
              <w:rPr>
                <w:rFonts w:hint="eastAsia"/>
                <w:color w:val="auto"/>
                <w:sz w:val="21"/>
                <w:szCs w:val="21"/>
                <w:highlight w:val="none"/>
                <w:lang w:val="en-US" w:eastAsia="zh-CN"/>
              </w:rPr>
              <w:t>冷却后循环使用</w:t>
            </w:r>
            <w:r>
              <w:rPr>
                <w:color w:val="auto"/>
                <w:sz w:val="21"/>
                <w:szCs w:val="21"/>
                <w:highlight w:val="none"/>
                <w:lang w:eastAsia="zh-CN"/>
              </w:rPr>
              <w:t>；生活污水</w:t>
            </w:r>
            <w:r>
              <w:rPr>
                <w:rFonts w:hint="eastAsia"/>
                <w:color w:val="auto"/>
                <w:sz w:val="21"/>
                <w:szCs w:val="21"/>
                <w:highlight w:val="none"/>
                <w:lang w:val="en-US" w:eastAsia="zh-CN"/>
              </w:rPr>
              <w:t>及地面清洗废水</w:t>
            </w:r>
            <w:r>
              <w:rPr>
                <w:color w:val="auto"/>
                <w:sz w:val="21"/>
                <w:szCs w:val="21"/>
                <w:highlight w:val="none"/>
                <w:lang w:eastAsia="zh-CN"/>
              </w:rPr>
              <w:t>经</w:t>
            </w:r>
            <w:r>
              <w:rPr>
                <w:rFonts w:hint="eastAsia"/>
                <w:color w:val="auto"/>
                <w:sz w:val="21"/>
                <w:szCs w:val="21"/>
                <w:highlight w:val="none"/>
                <w:lang w:val="en-US" w:eastAsia="zh-CN"/>
              </w:rPr>
              <w:t>化粪池收集处理后由建设单位自行运至寻甸县水质净化厂处理</w:t>
            </w:r>
            <w:r>
              <w:rPr>
                <w:color w:val="auto"/>
                <w:sz w:val="21"/>
                <w:szCs w:val="21"/>
                <w:highlight w:val="none"/>
                <w:lang w:eastAsia="zh-CN"/>
              </w:rPr>
              <w:t>，不外排。</w:t>
            </w:r>
          </w:p>
        </w:tc>
        <w:tc>
          <w:tcPr>
            <w:tcW w:w="69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持续推</w:t>
            </w:r>
            <w:r>
              <w:rPr>
                <w:rFonts w:hint="eastAsia"/>
                <w:color w:val="auto"/>
                <w:sz w:val="21"/>
                <w:szCs w:val="21"/>
                <w:highlight w:val="none"/>
                <w:lang w:eastAsia="zh-CN"/>
              </w:rPr>
              <w:t>进</w:t>
            </w:r>
            <w:r>
              <w:rPr>
                <w:color w:val="auto"/>
                <w:sz w:val="21"/>
                <w:szCs w:val="21"/>
                <w:highlight w:val="none"/>
                <w:lang w:eastAsia="zh-CN"/>
              </w:rPr>
              <w:t>污染源治理</w:t>
            </w:r>
          </w:p>
        </w:tc>
        <w:tc>
          <w:tcPr>
            <w:tcW w:w="4305" w:type="dxa"/>
            <w:vAlign w:val="top"/>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大力推进重点行业VOCs治理。以石化、化工、工业涂装、包装印刷、油品储运销、汽车维修(维护) 4S店等6个行业(领域)为重点，全面开展V0Cs污染综合治理。建立完善源头、过程和末端的V0Cs全过程控制体系，实施V0Cs排放总量控制。重点减排行业开展提升“三率”(即废气收集率、治理设施同步运行率、去除率)自查行动。开展成品油、有机化学品等涉VOCs物质储罐排查，逐步取消炼油、石化、煤化工、制药、农药、化工、工业涂装、包装印刷等企业非必要的VOCs废气排放系统旁路。</w:t>
            </w:r>
          </w:p>
        </w:tc>
        <w:tc>
          <w:tcPr>
            <w:tcW w:w="2880" w:type="dxa"/>
            <w:vAlign w:val="top"/>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项目</w:t>
            </w:r>
            <w:r>
              <w:rPr>
                <w:rFonts w:hint="eastAsia"/>
                <w:color w:val="auto"/>
                <w:sz w:val="21"/>
                <w:szCs w:val="21"/>
                <w:highlight w:val="none"/>
                <w:lang w:val="en-US" w:eastAsia="zh-CN"/>
              </w:rPr>
              <w:t>注塑工段产生的挥发性有机物（非甲烷总烃）通过集气罩收集+三级活性炭吸附装置处理后有组织排放，项目已将</w:t>
            </w:r>
            <w:r>
              <w:rPr>
                <w:color w:val="auto"/>
                <w:sz w:val="21"/>
                <w:szCs w:val="21"/>
                <w:highlight w:val="none"/>
                <w:lang w:eastAsia="zh-CN"/>
              </w:rPr>
              <w:t>挥发性有机物纳入总量控制，并定期开展“三率”（即废气收集率、治理设施同步运行率、去除率）自查行动</w:t>
            </w:r>
            <w:r>
              <w:rPr>
                <w:rFonts w:hint="eastAsia"/>
                <w:color w:val="auto"/>
                <w:sz w:val="21"/>
                <w:szCs w:val="21"/>
                <w:highlight w:val="none"/>
                <w:lang w:eastAsia="zh-CN"/>
              </w:rPr>
              <w:t>，</w:t>
            </w:r>
            <w:r>
              <w:rPr>
                <w:rFonts w:hint="eastAsia"/>
                <w:color w:val="auto"/>
                <w:sz w:val="21"/>
                <w:szCs w:val="21"/>
                <w:highlight w:val="none"/>
                <w:lang w:val="en-US" w:eastAsia="zh-CN"/>
              </w:rPr>
              <w:t>项目不涉及涉VOCs物质储罐</w:t>
            </w:r>
            <w:r>
              <w:rPr>
                <w:color w:val="auto"/>
                <w:sz w:val="21"/>
                <w:szCs w:val="21"/>
                <w:highlight w:val="none"/>
                <w:lang w:eastAsia="zh-CN"/>
              </w:rPr>
              <w:t>。</w:t>
            </w:r>
          </w:p>
        </w:tc>
        <w:tc>
          <w:tcPr>
            <w:tcW w:w="69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加强无废城市建设与固体废物管理</w:t>
            </w:r>
          </w:p>
        </w:tc>
        <w:tc>
          <w:tcPr>
            <w:tcW w:w="4305"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强化固体废物综合利用。加快推进统筹固体废物管理制度改革，加强固体废物源头减量和资源化利用，促进主要农业废弃物全量利用。以尾矿和共伴生矿、煤矸石、粉煤灰、磷石膏等为重点，建设大宗固体废物综合利用示范基地，推动大宗工业固体废物综合利用水平明显提高。开展非正规固体废物堆存场所排查整治。强化固体废物处置利用制度体系、技术体系、市场体系和监管体系支撑保障作用。</w:t>
            </w:r>
          </w:p>
        </w:tc>
        <w:tc>
          <w:tcPr>
            <w:tcW w:w="288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项目</w:t>
            </w:r>
            <w:r>
              <w:rPr>
                <w:rFonts w:hint="eastAsia"/>
                <w:color w:val="auto"/>
                <w:sz w:val="21"/>
                <w:szCs w:val="21"/>
                <w:highlight w:val="none"/>
                <w:lang w:val="en-US" w:eastAsia="zh-CN"/>
              </w:rPr>
              <w:t>废包装袋收集后外售废品回收站，不合格产品及边角料收集后回用于生产线；生活垃圾统一收集后清运至指定地点由环卫部门集中处置；废活性炭、废机油等</w:t>
            </w:r>
            <w:r>
              <w:rPr>
                <w:color w:val="auto"/>
                <w:sz w:val="21"/>
                <w:szCs w:val="21"/>
                <w:highlight w:val="none"/>
                <w:lang w:eastAsia="zh-CN"/>
              </w:rPr>
              <w:t>危险废物收集</w:t>
            </w:r>
            <w:r>
              <w:rPr>
                <w:rFonts w:hint="eastAsia"/>
                <w:color w:val="auto"/>
                <w:sz w:val="21"/>
                <w:szCs w:val="21"/>
                <w:highlight w:val="none"/>
                <w:lang w:val="en-US" w:eastAsia="zh-CN"/>
              </w:rPr>
              <w:t>暂存至危废暂存间</w:t>
            </w:r>
            <w:r>
              <w:rPr>
                <w:color w:val="auto"/>
                <w:sz w:val="21"/>
                <w:szCs w:val="21"/>
                <w:highlight w:val="none"/>
                <w:lang w:eastAsia="zh-CN"/>
              </w:rPr>
              <w:t>后委托有资质的单位处置。</w:t>
            </w:r>
          </w:p>
        </w:tc>
        <w:tc>
          <w:tcPr>
            <w:tcW w:w="69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强化环境风险应急管理</w:t>
            </w:r>
          </w:p>
        </w:tc>
        <w:tc>
          <w:tcPr>
            <w:tcW w:w="4305" w:type="dxa"/>
          </w:tcPr>
          <w:p>
            <w:pPr>
              <w:adjustRightInd w:val="0"/>
              <w:snapToGrid w:val="0"/>
              <w:spacing w:line="240" w:lineRule="auto"/>
              <w:ind w:firstLine="0" w:firstLineChars="0"/>
              <w:jc w:val="both"/>
              <w:rPr>
                <w:color w:val="auto"/>
                <w:sz w:val="21"/>
                <w:szCs w:val="21"/>
                <w:highlight w:val="none"/>
                <w:lang w:eastAsia="zh-CN"/>
              </w:rPr>
            </w:pPr>
            <w:r>
              <w:rPr>
                <w:color w:val="auto"/>
                <w:sz w:val="21"/>
                <w:szCs w:val="21"/>
                <w:highlight w:val="none"/>
                <w:lang w:eastAsia="zh-CN"/>
              </w:rPr>
              <w:t>建设生态环境应急体系。以化工园区、尾矿库、冶炼企业等为重点，健全防范化解突发生态环境事件风险和应急准备责任体系，严格落实企业主体责任。加强相邻地区突发环境事件应急联动机制建设，贯彻国家关于建立跨省流域上下游突发水污染事件联防联控机制要求，积极参与共建长江、珠江、澜沧江等重点流域应急联防联控机制，构建省与省之间、州(市)之间的协调联动机制，探索县(市、区)之间的协调联系机制。建立健全多部门的沟通协调机制，共同应对环境突发事件。制定出台相关技术文件和管理手册，指导各州(市)、县(市、区)提升应急能力、规范应急准备与响应，分类分级开展基层环境应急人员轮训。加强应急装备和监测设备配置，定期开展应急演练</w:t>
            </w:r>
            <w:r>
              <w:rPr>
                <w:rFonts w:hint="eastAsia"/>
                <w:color w:val="auto"/>
                <w:sz w:val="21"/>
                <w:szCs w:val="21"/>
                <w:highlight w:val="none"/>
                <w:lang w:eastAsia="zh-CN"/>
              </w:rPr>
              <w:t>，</w:t>
            </w:r>
            <w:r>
              <w:rPr>
                <w:color w:val="auto"/>
                <w:sz w:val="21"/>
                <w:szCs w:val="21"/>
                <w:highlight w:val="none"/>
                <w:lang w:eastAsia="zh-CN"/>
              </w:rPr>
              <w:t>增强实战能力。完善多层级环境应急专家管理体系。不断拓宽潜在环境风险事件和应急事件的信息渠道，实现应急突发事件的早发现、早上报、早处置。</w:t>
            </w:r>
          </w:p>
        </w:tc>
        <w:tc>
          <w:tcPr>
            <w:tcW w:w="288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项目配套采取了相应的风险防范和管理措施，且项目在建设完成后</w:t>
            </w:r>
            <w:r>
              <w:rPr>
                <w:rFonts w:hint="eastAsia"/>
                <w:color w:val="auto"/>
                <w:sz w:val="21"/>
                <w:szCs w:val="21"/>
                <w:highlight w:val="none"/>
                <w:lang w:val="en-US" w:eastAsia="zh-CN"/>
              </w:rPr>
              <w:t>及时编制突发环境事件应急预案</w:t>
            </w:r>
            <w:r>
              <w:rPr>
                <w:color w:val="auto"/>
                <w:sz w:val="21"/>
                <w:szCs w:val="21"/>
                <w:highlight w:val="none"/>
                <w:lang w:eastAsia="zh-CN"/>
              </w:rPr>
              <w:t>并定期演练。</w:t>
            </w:r>
          </w:p>
        </w:tc>
        <w:tc>
          <w:tcPr>
            <w:tcW w:w="690" w:type="dxa"/>
          </w:tcPr>
          <w:p>
            <w:pPr>
              <w:adjustRightInd w:val="0"/>
              <w:snapToGrid w:val="0"/>
              <w:spacing w:line="240" w:lineRule="auto"/>
              <w:ind w:firstLine="0" w:firstLineChars="0"/>
              <w:jc w:val="center"/>
              <w:rPr>
                <w:color w:val="auto"/>
                <w:sz w:val="21"/>
                <w:szCs w:val="21"/>
                <w:highlight w:val="none"/>
                <w:lang w:eastAsia="zh-CN"/>
              </w:rPr>
            </w:pPr>
            <w:r>
              <w:rPr>
                <w:color w:val="auto"/>
                <w:sz w:val="21"/>
                <w:szCs w:val="21"/>
                <w:highlight w:val="none"/>
                <w:lang w:eastAsia="zh-CN"/>
              </w:rPr>
              <w:t>符合</w:t>
            </w:r>
          </w:p>
        </w:tc>
      </w:tr>
    </w:tbl>
    <w:p>
      <w:pPr>
        <w:tabs>
          <w:tab w:val="left" w:pos="3750"/>
        </w:tabs>
        <w:spacing w:line="360" w:lineRule="auto"/>
        <w:ind w:firstLine="482" w:firstLineChars="200"/>
        <w:rPr>
          <w:rFonts w:hint="default"/>
          <w:b/>
          <w:bCs/>
          <w:color w:val="auto"/>
          <w:sz w:val="24"/>
          <w:highlight w:val="none"/>
          <w:lang w:val="en-US" w:eastAsia="zh-CN"/>
        </w:rPr>
      </w:pPr>
    </w:p>
    <w:p>
      <w:pPr>
        <w:tabs>
          <w:tab w:val="left" w:pos="3750"/>
        </w:tabs>
        <w:spacing w:line="360" w:lineRule="auto"/>
        <w:ind w:firstLine="482" w:firstLineChars="200"/>
        <w:rPr>
          <w:b/>
          <w:bCs/>
          <w:color w:val="auto"/>
          <w:sz w:val="24"/>
          <w:highlight w:val="none"/>
        </w:rPr>
      </w:pPr>
      <w:r>
        <w:rPr>
          <w:rFonts w:hint="eastAsia"/>
          <w:b/>
          <w:bCs/>
          <w:color w:val="auto"/>
          <w:sz w:val="24"/>
          <w:highlight w:val="none"/>
          <w:lang w:val="en-US" w:eastAsia="zh-CN"/>
        </w:rPr>
        <w:t>9</w:t>
      </w:r>
      <w:r>
        <w:rPr>
          <w:b/>
          <w:bCs/>
          <w:color w:val="auto"/>
          <w:sz w:val="24"/>
          <w:highlight w:val="none"/>
        </w:rPr>
        <w:t>、项目与《云南省长江经济带发展负面清单指南实施细则（</w:t>
      </w:r>
      <w:r>
        <w:rPr>
          <w:rFonts w:hint="eastAsia"/>
          <w:b/>
          <w:bCs/>
          <w:color w:val="auto"/>
          <w:sz w:val="24"/>
          <w:highlight w:val="none"/>
        </w:rPr>
        <w:t>试行，2022年版</w:t>
      </w:r>
      <w:r>
        <w:rPr>
          <w:b/>
          <w:bCs/>
          <w:color w:val="auto"/>
          <w:sz w:val="24"/>
          <w:highlight w:val="none"/>
        </w:rPr>
        <w:t>）》分析</w:t>
      </w:r>
    </w:p>
    <w:p>
      <w:pPr>
        <w:spacing w:line="360" w:lineRule="auto"/>
        <w:ind w:firstLine="480" w:firstLineChars="200"/>
        <w:rPr>
          <w:color w:val="auto"/>
          <w:sz w:val="24"/>
          <w:highlight w:val="none"/>
        </w:rPr>
      </w:pPr>
      <w:r>
        <w:rPr>
          <w:color w:val="auto"/>
          <w:sz w:val="24"/>
          <w:highlight w:val="none"/>
        </w:rPr>
        <w:t>项目与《云南省长江经济带发展负面清单指南实施细则（试行</w:t>
      </w:r>
      <w:r>
        <w:rPr>
          <w:rFonts w:hint="eastAsia"/>
          <w:color w:val="auto"/>
          <w:sz w:val="24"/>
          <w:highlight w:val="none"/>
        </w:rPr>
        <w:t>，2022年版</w:t>
      </w:r>
      <w:r>
        <w:rPr>
          <w:color w:val="auto"/>
          <w:sz w:val="24"/>
          <w:highlight w:val="none"/>
        </w:rPr>
        <w:t>）》对比分析情况见下表</w:t>
      </w:r>
      <w:r>
        <w:rPr>
          <w:rFonts w:hint="eastAsia"/>
          <w:color w:val="auto"/>
          <w:sz w:val="24"/>
          <w:highlight w:val="none"/>
        </w:rPr>
        <w:t>8.2</w:t>
      </w:r>
      <w:r>
        <w:rPr>
          <w:color w:val="auto"/>
          <w:sz w:val="24"/>
          <w:highlight w:val="none"/>
        </w:rPr>
        <w:t>-</w:t>
      </w:r>
      <w:r>
        <w:rPr>
          <w:rFonts w:hint="eastAsia"/>
          <w:color w:val="auto"/>
          <w:sz w:val="24"/>
          <w:highlight w:val="none"/>
          <w:lang w:val="en-US" w:eastAsia="zh-CN"/>
        </w:rPr>
        <w:t>13</w:t>
      </w:r>
      <w:r>
        <w:rPr>
          <w:color w:val="auto"/>
          <w:sz w:val="24"/>
          <w:highlight w:val="none"/>
        </w:rPr>
        <w:t>。</w:t>
      </w: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rPr>
        <w:t>8.2</w:t>
      </w:r>
      <w:r>
        <w:rPr>
          <w:b/>
          <w:color w:val="auto"/>
          <w:sz w:val="24"/>
          <w:highlight w:val="none"/>
        </w:rPr>
        <w:t>-</w:t>
      </w:r>
      <w:r>
        <w:rPr>
          <w:rFonts w:hint="eastAsia"/>
          <w:b/>
          <w:color w:val="auto"/>
          <w:sz w:val="24"/>
          <w:highlight w:val="none"/>
          <w:lang w:val="en-US" w:eastAsia="zh-CN"/>
        </w:rPr>
        <w:t>13</w:t>
      </w:r>
      <w:r>
        <w:rPr>
          <w:b/>
          <w:color w:val="auto"/>
          <w:sz w:val="24"/>
          <w:highlight w:val="none"/>
        </w:rPr>
        <w:t xml:space="preserve">  项目与《云南省长江经济带发展负面清单指南实施细则（</w:t>
      </w:r>
      <w:r>
        <w:rPr>
          <w:rFonts w:hint="eastAsia"/>
          <w:b/>
          <w:color w:val="auto"/>
          <w:sz w:val="24"/>
          <w:highlight w:val="none"/>
        </w:rPr>
        <w:t>试行，2022年版</w:t>
      </w:r>
      <w:r>
        <w:rPr>
          <w:b/>
          <w:color w:val="auto"/>
          <w:sz w:val="24"/>
          <w:highlight w:val="none"/>
        </w:rPr>
        <w:t>）》相符性分析</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2"/>
        <w:gridCol w:w="2322"/>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adjustRightInd w:val="0"/>
              <w:snapToGrid w:val="0"/>
              <w:jc w:val="center"/>
              <w:rPr>
                <w:b/>
                <w:bCs/>
                <w:color w:val="auto"/>
                <w:highlight w:val="none"/>
              </w:rPr>
            </w:pPr>
            <w:r>
              <w:rPr>
                <w:b/>
                <w:bCs/>
                <w:color w:val="auto"/>
                <w:highlight w:val="none"/>
              </w:rPr>
              <w:t>《</w:t>
            </w:r>
            <w:r>
              <w:rPr>
                <w:rFonts w:hint="eastAsia"/>
                <w:b/>
                <w:bCs/>
                <w:color w:val="auto"/>
                <w:highlight w:val="none"/>
              </w:rPr>
              <w:t>实施细则</w:t>
            </w:r>
            <w:r>
              <w:rPr>
                <w:b/>
                <w:bCs/>
                <w:color w:val="auto"/>
                <w:highlight w:val="none"/>
              </w:rPr>
              <w:t>》要求</w:t>
            </w:r>
          </w:p>
        </w:tc>
        <w:tc>
          <w:tcPr>
            <w:tcW w:w="2322" w:type="dxa"/>
            <w:vAlign w:val="center"/>
          </w:tcPr>
          <w:p>
            <w:pPr>
              <w:adjustRightInd w:val="0"/>
              <w:snapToGrid w:val="0"/>
              <w:jc w:val="center"/>
              <w:rPr>
                <w:b/>
                <w:bCs/>
                <w:color w:val="auto"/>
                <w:highlight w:val="none"/>
              </w:rPr>
            </w:pPr>
            <w:r>
              <w:rPr>
                <w:b/>
                <w:bCs/>
                <w:color w:val="auto"/>
                <w:highlight w:val="none"/>
              </w:rPr>
              <w:t>本项目</w:t>
            </w:r>
          </w:p>
        </w:tc>
        <w:tc>
          <w:tcPr>
            <w:tcW w:w="785" w:type="dxa"/>
            <w:vAlign w:val="center"/>
          </w:tcPr>
          <w:p>
            <w:pPr>
              <w:adjustRightInd w:val="0"/>
              <w:snapToGrid w:val="0"/>
              <w:jc w:val="center"/>
              <w:rPr>
                <w:b/>
                <w:bCs/>
                <w:color w:val="auto"/>
                <w:highlight w:val="none"/>
              </w:rPr>
            </w:pPr>
            <w:r>
              <w:rPr>
                <w:b/>
                <w:bCs/>
                <w:color w:val="auto"/>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highlight w:val="none"/>
              </w:rPr>
            </w:pPr>
            <w:r>
              <w:rPr>
                <w:rFonts w:cs="方正仿宋_GBK"/>
                <w:b/>
                <w:bCs/>
                <w:color w:val="auto"/>
                <w:kern w:val="0"/>
                <w:szCs w:val="31"/>
                <w:highlight w:val="none"/>
                <w:lang w:bidi="ar"/>
              </w:rPr>
              <w:t>第一条</w:t>
            </w:r>
            <w:r>
              <w:rPr>
                <w:rFonts w:cs="方正仿宋_GBK"/>
                <w:color w:val="auto"/>
                <w:kern w:val="0"/>
                <w:szCs w:val="31"/>
                <w:highlight w:val="none"/>
                <w:lang w:bidi="ar"/>
              </w:rPr>
              <w:t xml:space="preserve"> 禁止新建、改建和扩建不符合《全国内河航道与港口布局规划》等全国港口规划和《昭通市港口码头岸线规划（金沙江段 </w:t>
            </w:r>
            <w:r>
              <w:rPr>
                <w:rFonts w:hint="eastAsia" w:cs="宋体"/>
                <w:color w:val="auto"/>
                <w:kern w:val="0"/>
                <w:szCs w:val="31"/>
                <w:highlight w:val="none"/>
                <w:lang w:bidi="ar"/>
              </w:rPr>
              <w:t xml:space="preserve">2019 </w:t>
            </w:r>
            <w:r>
              <w:rPr>
                <w:rFonts w:cs="方正仿宋_GBK"/>
                <w:color w:val="auto"/>
                <w:kern w:val="0"/>
                <w:szCs w:val="31"/>
                <w:highlight w:val="none"/>
                <w:lang w:bidi="ar"/>
              </w:rPr>
              <w:t>年—</w:t>
            </w:r>
            <w:r>
              <w:rPr>
                <w:rFonts w:hint="eastAsia" w:cs="宋体"/>
                <w:color w:val="auto"/>
                <w:kern w:val="0"/>
                <w:szCs w:val="31"/>
                <w:highlight w:val="none"/>
                <w:lang w:bidi="ar"/>
              </w:rPr>
              <w:t xml:space="preserve">2035 </w:t>
            </w:r>
            <w:r>
              <w:rPr>
                <w:rFonts w:cs="方正仿宋_GBK"/>
                <w:color w:val="auto"/>
                <w:kern w:val="0"/>
                <w:szCs w:val="31"/>
                <w:highlight w:val="none"/>
                <w:lang w:bidi="ar"/>
              </w:rPr>
              <w:t>年）》、《景洪港总体规划（</w:t>
            </w:r>
            <w:r>
              <w:rPr>
                <w:rFonts w:hint="eastAsia" w:cs="宋体"/>
                <w:color w:val="auto"/>
                <w:kern w:val="0"/>
                <w:szCs w:val="31"/>
                <w:highlight w:val="none"/>
                <w:lang w:bidi="ar"/>
              </w:rPr>
              <w:t>2019</w:t>
            </w:r>
            <w:r>
              <w:rPr>
                <w:rFonts w:cs="方正仿宋_GBK"/>
                <w:color w:val="auto"/>
                <w:kern w:val="0"/>
                <w:szCs w:val="31"/>
                <w:highlight w:val="none"/>
                <w:lang w:bidi="ar"/>
              </w:rPr>
              <w:t>—</w:t>
            </w:r>
            <w:r>
              <w:rPr>
                <w:rFonts w:hint="eastAsia" w:cs="宋体"/>
                <w:color w:val="auto"/>
                <w:kern w:val="0"/>
                <w:szCs w:val="31"/>
                <w:highlight w:val="none"/>
                <w:lang w:bidi="ar"/>
              </w:rPr>
              <w:t>2035</w:t>
            </w:r>
            <w:r>
              <w:rPr>
                <w:rFonts w:cs="方正仿宋_GBK"/>
                <w:color w:val="auto"/>
                <w:kern w:val="0"/>
                <w:szCs w:val="31"/>
                <w:highlight w:val="none"/>
                <w:lang w:bidi="ar"/>
              </w:rPr>
              <w:t>年）》等州（市）级以上港口布局规划以及港口总体规划的码头项目。</w:t>
            </w:r>
          </w:p>
        </w:tc>
        <w:tc>
          <w:tcPr>
            <w:tcW w:w="2322" w:type="dxa"/>
            <w:vAlign w:val="center"/>
          </w:tcPr>
          <w:p>
            <w:pPr>
              <w:adjustRightInd w:val="0"/>
              <w:snapToGrid w:val="0"/>
              <w:jc w:val="center"/>
              <w:rPr>
                <w:color w:val="auto"/>
                <w:highlight w:val="none"/>
              </w:rPr>
            </w:pPr>
            <w:r>
              <w:rPr>
                <w:rFonts w:hint="eastAsia"/>
                <w:color w:val="auto"/>
                <w:highlight w:val="none"/>
              </w:rPr>
              <w:t>本项目为</w:t>
            </w:r>
            <w:r>
              <w:rPr>
                <w:rFonts w:hint="eastAsia"/>
                <w:color w:val="auto"/>
                <w:highlight w:val="none"/>
                <w:lang w:val="en-US" w:eastAsia="zh-CN"/>
              </w:rPr>
              <w:t>塑料制品制造项目，</w:t>
            </w:r>
            <w:r>
              <w:rPr>
                <w:rFonts w:hint="eastAsia"/>
                <w:color w:val="auto"/>
                <w:highlight w:val="none"/>
              </w:rPr>
              <w:t>不属于港口规划的码头项目。</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highlight w:val="none"/>
              </w:rPr>
            </w:pPr>
            <w:r>
              <w:rPr>
                <w:rFonts w:cs="方正仿宋_GBK"/>
                <w:b/>
                <w:bCs/>
                <w:color w:val="auto"/>
                <w:kern w:val="0"/>
                <w:szCs w:val="31"/>
                <w:highlight w:val="none"/>
                <w:lang w:bidi="ar"/>
              </w:rPr>
              <w:t>第二条</w:t>
            </w:r>
            <w:r>
              <w:rPr>
                <w:rFonts w:cs="方正仿宋_GBK"/>
                <w:color w:val="auto"/>
                <w:kern w:val="0"/>
                <w:szCs w:val="31"/>
                <w:highlight w:val="none"/>
                <w:lang w:bidi="ar"/>
              </w:rPr>
              <w:t xml:space="preserve"> 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322" w:type="dxa"/>
            <w:vAlign w:val="center"/>
          </w:tcPr>
          <w:p>
            <w:pPr>
              <w:adjustRightInd w:val="0"/>
              <w:snapToGrid w:val="0"/>
              <w:jc w:val="center"/>
              <w:rPr>
                <w:color w:val="auto"/>
                <w:highlight w:val="none"/>
              </w:rPr>
            </w:pPr>
            <w:r>
              <w:rPr>
                <w:color w:val="auto"/>
                <w:highlight w:val="none"/>
              </w:rPr>
              <w:t>项目</w:t>
            </w:r>
            <w:r>
              <w:rPr>
                <w:rFonts w:hint="eastAsia"/>
                <w:color w:val="auto"/>
                <w:highlight w:val="none"/>
              </w:rPr>
              <w:t>位于</w:t>
            </w:r>
            <w:r>
              <w:rPr>
                <w:rFonts w:hint="eastAsia"/>
                <w:color w:val="auto"/>
                <w:highlight w:val="none"/>
                <w:lang w:val="en-US" w:eastAsia="zh-CN"/>
              </w:rPr>
              <w:t>寻甸县仁德街道三月三村</w:t>
            </w:r>
            <w:r>
              <w:rPr>
                <w:color w:val="auto"/>
                <w:highlight w:val="none"/>
              </w:rPr>
              <w:t>，</w:t>
            </w:r>
            <w:r>
              <w:rPr>
                <w:color w:val="auto"/>
                <w:szCs w:val="21"/>
                <w:highlight w:val="none"/>
              </w:rPr>
              <w:t>不在自然保护区核心区、缓冲区的岸线和河段范围内，不在自然保护区的核心区、缓冲区</w:t>
            </w:r>
            <w:r>
              <w:rPr>
                <w:rFonts w:hint="eastAsia"/>
                <w:color w:val="auto"/>
                <w:szCs w:val="21"/>
                <w:highlight w:val="none"/>
                <w:lang w:eastAsia="zh-CN"/>
              </w:rPr>
              <w:t>和</w:t>
            </w:r>
            <w:r>
              <w:rPr>
                <w:color w:val="auto"/>
                <w:szCs w:val="21"/>
                <w:highlight w:val="none"/>
              </w:rPr>
              <w:t>实验区内。</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highlight w:val="none"/>
              </w:rPr>
            </w:pPr>
            <w:r>
              <w:rPr>
                <w:rFonts w:cs="方正仿宋_GBK"/>
                <w:b/>
                <w:bCs/>
                <w:color w:val="auto"/>
                <w:kern w:val="0"/>
                <w:szCs w:val="31"/>
                <w:highlight w:val="none"/>
                <w:lang w:bidi="ar"/>
              </w:rPr>
              <w:t>第三条</w:t>
            </w:r>
            <w:r>
              <w:rPr>
                <w:rFonts w:cs="方正仿宋_GBK"/>
                <w:color w:val="auto"/>
                <w:kern w:val="0"/>
                <w:szCs w:val="31"/>
                <w:highlight w:val="none"/>
                <w:lang w:bidi="ar"/>
              </w:rPr>
              <w:t xml:space="preserve"> 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322" w:type="dxa"/>
            <w:vAlign w:val="center"/>
          </w:tcPr>
          <w:p>
            <w:pPr>
              <w:adjustRightInd w:val="0"/>
              <w:snapToGrid w:val="0"/>
              <w:jc w:val="center"/>
              <w:rPr>
                <w:color w:val="auto"/>
                <w:highlight w:val="none"/>
              </w:rPr>
            </w:pPr>
            <w:r>
              <w:rPr>
                <w:color w:val="auto"/>
                <w:highlight w:val="none"/>
              </w:rPr>
              <w:t>项目</w:t>
            </w:r>
            <w:r>
              <w:rPr>
                <w:rFonts w:hint="eastAsia"/>
                <w:color w:val="auto"/>
                <w:highlight w:val="none"/>
              </w:rPr>
              <w:t>位于</w:t>
            </w:r>
            <w:r>
              <w:rPr>
                <w:rFonts w:hint="eastAsia"/>
                <w:color w:val="auto"/>
                <w:highlight w:val="none"/>
                <w:lang w:val="en-US" w:eastAsia="zh-CN"/>
              </w:rPr>
              <w:t>寻甸县仁德街道三月三村</w:t>
            </w:r>
            <w:r>
              <w:rPr>
                <w:color w:val="auto"/>
                <w:highlight w:val="none"/>
              </w:rPr>
              <w:t>，</w:t>
            </w:r>
            <w:r>
              <w:rPr>
                <w:color w:val="auto"/>
                <w:szCs w:val="21"/>
                <w:highlight w:val="none"/>
              </w:rPr>
              <w:t>不在风景名胜区核心景区的岸线和河段范围内。</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highlight w:val="none"/>
              </w:rPr>
            </w:pPr>
            <w:r>
              <w:rPr>
                <w:rFonts w:cs="方正仿宋_GBK"/>
                <w:b/>
                <w:bCs/>
                <w:color w:val="auto"/>
                <w:kern w:val="0"/>
                <w:szCs w:val="31"/>
                <w:highlight w:val="none"/>
                <w:lang w:bidi="ar"/>
              </w:rPr>
              <w:t>第四条</w:t>
            </w:r>
            <w:r>
              <w:rPr>
                <w:rFonts w:cs="方正仿宋_GBK"/>
                <w:color w:val="auto"/>
                <w:kern w:val="0"/>
                <w:szCs w:val="31"/>
                <w:highlight w:val="none"/>
                <w:lang w:bidi="ar"/>
              </w:rPr>
              <w:t xml:space="preserve"> 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322" w:type="dxa"/>
            <w:vAlign w:val="center"/>
          </w:tcPr>
          <w:p>
            <w:pPr>
              <w:adjustRightInd w:val="0"/>
              <w:snapToGrid w:val="0"/>
              <w:jc w:val="center"/>
              <w:rPr>
                <w:color w:val="auto"/>
                <w:highlight w:val="none"/>
              </w:rPr>
            </w:pPr>
            <w:r>
              <w:rPr>
                <w:color w:val="auto"/>
                <w:highlight w:val="none"/>
              </w:rPr>
              <w:t>项目</w:t>
            </w:r>
            <w:r>
              <w:rPr>
                <w:rFonts w:hint="eastAsia"/>
                <w:color w:val="auto"/>
                <w:highlight w:val="none"/>
              </w:rPr>
              <w:t>位于</w:t>
            </w:r>
            <w:r>
              <w:rPr>
                <w:rFonts w:hint="eastAsia"/>
                <w:color w:val="auto"/>
                <w:highlight w:val="none"/>
                <w:lang w:val="en-US" w:eastAsia="zh-CN"/>
              </w:rPr>
              <w:t>寻甸县仁德街道三月三村</w:t>
            </w:r>
            <w:r>
              <w:rPr>
                <w:color w:val="auto"/>
                <w:highlight w:val="none"/>
              </w:rPr>
              <w:t>，</w:t>
            </w:r>
            <w:r>
              <w:rPr>
                <w:color w:val="auto"/>
                <w:szCs w:val="21"/>
                <w:highlight w:val="none"/>
              </w:rPr>
              <w:t>不在饮用水水源一级保护区、饮用水水源二级保护区和河段范围内，项目废水经处理后全部回用</w:t>
            </w:r>
            <w:r>
              <w:rPr>
                <w:rFonts w:hint="eastAsia"/>
                <w:color w:val="auto"/>
                <w:szCs w:val="21"/>
                <w:highlight w:val="none"/>
                <w:lang w:val="en-US" w:eastAsia="zh-CN"/>
              </w:rPr>
              <w:t>或运至水质净化厂</w:t>
            </w:r>
            <w:r>
              <w:rPr>
                <w:color w:val="auto"/>
                <w:szCs w:val="21"/>
                <w:highlight w:val="none"/>
              </w:rPr>
              <w:t>，不外排。</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highlight w:val="none"/>
              </w:rPr>
            </w:pPr>
            <w:r>
              <w:rPr>
                <w:rFonts w:cs="方正仿宋_GBK"/>
                <w:b/>
                <w:bCs/>
                <w:color w:val="auto"/>
                <w:kern w:val="0"/>
                <w:szCs w:val="31"/>
                <w:highlight w:val="none"/>
                <w:lang w:bidi="ar"/>
              </w:rPr>
              <w:t>第五条</w:t>
            </w:r>
            <w:r>
              <w:rPr>
                <w:rFonts w:cs="方正仿宋_GBK"/>
                <w:color w:val="auto"/>
                <w:kern w:val="0"/>
                <w:szCs w:val="31"/>
                <w:highlight w:val="none"/>
                <w:lang w:bidi="ar"/>
              </w:rPr>
              <w:t xml:space="preserve"> 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322" w:type="dxa"/>
            <w:vAlign w:val="center"/>
          </w:tcPr>
          <w:p>
            <w:pPr>
              <w:adjustRightInd w:val="0"/>
              <w:snapToGrid w:val="0"/>
              <w:jc w:val="center"/>
              <w:rPr>
                <w:color w:val="auto"/>
                <w:sz w:val="21"/>
                <w:szCs w:val="21"/>
                <w:highlight w:val="none"/>
              </w:rPr>
            </w:pPr>
            <w:r>
              <w:rPr>
                <w:rFonts w:hint="eastAsia"/>
                <w:color w:val="auto"/>
                <w:sz w:val="21"/>
                <w:szCs w:val="21"/>
                <w:highlight w:val="none"/>
              </w:rPr>
              <w:t>本项目为</w:t>
            </w:r>
            <w:r>
              <w:rPr>
                <w:rFonts w:hint="eastAsia"/>
                <w:color w:val="auto"/>
                <w:sz w:val="21"/>
                <w:szCs w:val="21"/>
                <w:highlight w:val="none"/>
                <w:lang w:val="en-US" w:eastAsia="zh-CN"/>
              </w:rPr>
              <w:t>塑料制品制造项目</w:t>
            </w:r>
            <w:r>
              <w:rPr>
                <w:rFonts w:hint="eastAsia"/>
                <w:color w:val="auto"/>
                <w:sz w:val="21"/>
                <w:szCs w:val="21"/>
                <w:highlight w:val="none"/>
              </w:rPr>
              <w:t>，位于</w:t>
            </w:r>
            <w:r>
              <w:rPr>
                <w:rFonts w:hint="eastAsia"/>
                <w:color w:val="auto"/>
                <w:sz w:val="21"/>
                <w:szCs w:val="21"/>
                <w:highlight w:val="none"/>
                <w:lang w:val="en-US" w:eastAsia="zh-CN"/>
              </w:rPr>
              <w:t>寻甸县仁德街道三月三村</w:t>
            </w:r>
            <w:r>
              <w:rPr>
                <w:rFonts w:hint="eastAsia"/>
                <w:color w:val="auto"/>
                <w:sz w:val="21"/>
                <w:szCs w:val="21"/>
                <w:highlight w:val="none"/>
              </w:rPr>
              <w:t>，</w:t>
            </w:r>
            <w:r>
              <w:rPr>
                <w:color w:val="auto"/>
                <w:sz w:val="21"/>
                <w:szCs w:val="21"/>
                <w:highlight w:val="none"/>
              </w:rPr>
              <w:t>不在水产种质资源保护区岸线和河段范围内。</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szCs w:val="32"/>
                <w:highlight w:val="none"/>
              </w:rPr>
            </w:pPr>
            <w:r>
              <w:rPr>
                <w:rFonts w:cs="方正仿宋_GBK"/>
                <w:b/>
                <w:bCs/>
                <w:color w:val="auto"/>
                <w:kern w:val="0"/>
                <w:szCs w:val="31"/>
                <w:highlight w:val="none"/>
                <w:lang w:bidi="ar"/>
              </w:rPr>
              <w:t>第六条</w:t>
            </w:r>
            <w:r>
              <w:rPr>
                <w:rFonts w:cs="方正仿宋_GBK"/>
                <w:color w:val="auto"/>
                <w:kern w:val="0"/>
                <w:szCs w:val="31"/>
                <w:highlight w:val="none"/>
                <w:lang w:bidi="ar"/>
              </w:rPr>
              <w:t xml:space="preserve"> 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322" w:type="dxa"/>
            <w:vAlign w:val="center"/>
          </w:tcPr>
          <w:p>
            <w:pPr>
              <w:pStyle w:val="24"/>
              <w:pBdr>
                <w:bottom w:val="none" w:color="auto" w:sz="0" w:space="0"/>
              </w:pBdr>
              <w:rPr>
                <w:color w:val="auto"/>
                <w:sz w:val="21"/>
                <w:szCs w:val="21"/>
                <w:highlight w:val="none"/>
              </w:rPr>
            </w:pPr>
            <w:r>
              <w:rPr>
                <w:color w:val="auto"/>
                <w:sz w:val="21"/>
                <w:szCs w:val="21"/>
                <w:highlight w:val="none"/>
              </w:rPr>
              <w:t>项目</w:t>
            </w:r>
            <w:r>
              <w:rPr>
                <w:rFonts w:hint="eastAsia"/>
                <w:color w:val="auto"/>
                <w:sz w:val="21"/>
                <w:szCs w:val="21"/>
                <w:highlight w:val="none"/>
                <w:lang w:val="en-US" w:eastAsia="zh-CN"/>
              </w:rPr>
              <w:t>属于牛栏江流域</w:t>
            </w:r>
            <w:r>
              <w:rPr>
                <w:color w:val="auto"/>
                <w:sz w:val="21"/>
                <w:szCs w:val="21"/>
                <w:highlight w:val="none"/>
              </w:rPr>
              <w:t>，不涉及长江流域河湖岸线及金沙江岸线保护区和保留区，项目废水处理后全部回用</w:t>
            </w:r>
            <w:r>
              <w:rPr>
                <w:rFonts w:hint="eastAsia"/>
                <w:color w:val="auto"/>
                <w:sz w:val="21"/>
                <w:szCs w:val="21"/>
                <w:highlight w:val="none"/>
                <w:lang w:val="en-US" w:eastAsia="zh-CN"/>
              </w:rPr>
              <w:t>或运至水质净化厂</w:t>
            </w:r>
            <w:r>
              <w:rPr>
                <w:color w:val="auto"/>
                <w:sz w:val="21"/>
                <w:szCs w:val="21"/>
                <w:highlight w:val="none"/>
              </w:rPr>
              <w:t>，不外排，不会不利于水资源及自然生态保护。</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szCs w:val="32"/>
                <w:highlight w:val="none"/>
              </w:rPr>
            </w:pPr>
            <w:r>
              <w:rPr>
                <w:rFonts w:cs="方正仿宋_GBK"/>
                <w:b/>
                <w:bCs/>
                <w:color w:val="auto"/>
                <w:kern w:val="0"/>
                <w:szCs w:val="31"/>
                <w:highlight w:val="none"/>
                <w:lang w:bidi="ar"/>
              </w:rPr>
              <w:t>第七条</w:t>
            </w:r>
            <w:r>
              <w:rPr>
                <w:rFonts w:cs="方正仿宋_GBK"/>
                <w:color w:val="auto"/>
                <w:kern w:val="0"/>
                <w:szCs w:val="31"/>
                <w:highlight w:val="none"/>
                <w:lang w:bidi="ar"/>
              </w:rPr>
              <w:t xml:space="preserve"> 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322" w:type="dxa"/>
            <w:vAlign w:val="center"/>
          </w:tcPr>
          <w:p>
            <w:pPr>
              <w:pStyle w:val="24"/>
              <w:pBdr>
                <w:bottom w:val="none" w:color="auto" w:sz="0" w:space="0"/>
              </w:pBdr>
              <w:rPr>
                <w:color w:val="auto"/>
                <w:sz w:val="21"/>
                <w:szCs w:val="21"/>
                <w:highlight w:val="none"/>
              </w:rPr>
            </w:pPr>
            <w:r>
              <w:rPr>
                <w:color w:val="auto"/>
                <w:sz w:val="21"/>
                <w:szCs w:val="21"/>
                <w:highlight w:val="none"/>
              </w:rPr>
              <w:t>项目</w:t>
            </w:r>
            <w:r>
              <w:rPr>
                <w:rFonts w:hint="eastAsia"/>
                <w:color w:val="auto"/>
                <w:sz w:val="21"/>
                <w:szCs w:val="21"/>
                <w:highlight w:val="none"/>
              </w:rPr>
              <w:t>为</w:t>
            </w:r>
            <w:r>
              <w:rPr>
                <w:rFonts w:hint="eastAsia"/>
                <w:color w:val="auto"/>
                <w:sz w:val="21"/>
                <w:szCs w:val="21"/>
                <w:highlight w:val="none"/>
                <w:lang w:val="en-US" w:eastAsia="zh-CN"/>
              </w:rPr>
              <w:t>塑料制品制造</w:t>
            </w:r>
            <w:r>
              <w:rPr>
                <w:rFonts w:hint="eastAsia"/>
                <w:color w:val="auto"/>
                <w:sz w:val="21"/>
                <w:szCs w:val="21"/>
                <w:highlight w:val="none"/>
              </w:rPr>
              <w:t>项目，</w:t>
            </w:r>
            <w:r>
              <w:rPr>
                <w:color w:val="auto"/>
                <w:sz w:val="21"/>
                <w:szCs w:val="21"/>
                <w:highlight w:val="none"/>
              </w:rPr>
              <w:t>不涉及过江基础设施项目，项目废水经处理后全部回用</w:t>
            </w:r>
            <w:r>
              <w:rPr>
                <w:rFonts w:hint="eastAsia"/>
                <w:color w:val="auto"/>
                <w:sz w:val="21"/>
                <w:szCs w:val="21"/>
                <w:highlight w:val="none"/>
                <w:lang w:val="en-US" w:eastAsia="zh-CN"/>
              </w:rPr>
              <w:t>或运至水质净化厂</w:t>
            </w:r>
            <w:r>
              <w:rPr>
                <w:color w:val="auto"/>
                <w:sz w:val="21"/>
                <w:szCs w:val="21"/>
                <w:highlight w:val="none"/>
              </w:rPr>
              <w:t>，不外排。</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sz w:val="21"/>
                <w:szCs w:val="21"/>
                <w:highlight w:val="none"/>
              </w:rPr>
            </w:pPr>
            <w:r>
              <w:rPr>
                <w:rFonts w:cs="方正仿宋_GBK"/>
                <w:b/>
                <w:bCs/>
                <w:color w:val="auto"/>
                <w:kern w:val="0"/>
                <w:sz w:val="21"/>
                <w:szCs w:val="21"/>
                <w:highlight w:val="none"/>
                <w:lang w:bidi="ar"/>
              </w:rPr>
              <w:t>第八条</w:t>
            </w:r>
            <w:r>
              <w:rPr>
                <w:rFonts w:cs="方正仿宋_GBK"/>
                <w:color w:val="auto"/>
                <w:kern w:val="0"/>
                <w:sz w:val="21"/>
                <w:szCs w:val="21"/>
                <w:highlight w:val="none"/>
                <w:lang w:bidi="ar"/>
              </w:rPr>
              <w:t xml:space="preserve"> 禁止在金沙江干流、长江一级支流、水生生物保护区和长江流域禁捕水域开展天然渔业资源生产性捕捞。</w:t>
            </w:r>
          </w:p>
        </w:tc>
        <w:tc>
          <w:tcPr>
            <w:tcW w:w="2322" w:type="dxa"/>
            <w:vAlign w:val="center"/>
          </w:tcPr>
          <w:p>
            <w:pPr>
              <w:pStyle w:val="24"/>
              <w:pBdr>
                <w:bottom w:val="none" w:color="auto" w:sz="0" w:space="0"/>
              </w:pBdr>
              <w:rPr>
                <w:color w:val="auto"/>
                <w:sz w:val="21"/>
                <w:szCs w:val="21"/>
                <w:highlight w:val="none"/>
              </w:rPr>
            </w:pPr>
            <w:r>
              <w:rPr>
                <w:color w:val="auto"/>
                <w:sz w:val="21"/>
                <w:szCs w:val="21"/>
                <w:highlight w:val="none"/>
              </w:rPr>
              <w:t>项目</w:t>
            </w:r>
            <w:r>
              <w:rPr>
                <w:rFonts w:hint="eastAsia"/>
                <w:color w:val="auto"/>
                <w:sz w:val="21"/>
                <w:szCs w:val="21"/>
                <w:highlight w:val="none"/>
              </w:rPr>
              <w:t>为</w:t>
            </w:r>
            <w:r>
              <w:rPr>
                <w:rFonts w:hint="eastAsia"/>
                <w:color w:val="auto"/>
                <w:sz w:val="21"/>
                <w:szCs w:val="21"/>
                <w:highlight w:val="none"/>
                <w:lang w:val="en-US" w:eastAsia="zh-CN"/>
              </w:rPr>
              <w:t>塑料制品制造</w:t>
            </w:r>
            <w:r>
              <w:rPr>
                <w:rFonts w:hint="eastAsia"/>
                <w:color w:val="auto"/>
                <w:sz w:val="21"/>
                <w:szCs w:val="21"/>
                <w:highlight w:val="none"/>
              </w:rPr>
              <w:t>项目，</w:t>
            </w:r>
            <w:r>
              <w:rPr>
                <w:color w:val="auto"/>
                <w:sz w:val="21"/>
                <w:szCs w:val="21"/>
                <w:highlight w:val="none"/>
              </w:rPr>
              <w:t>不涉及天然渔业资源生产性捕捞。</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sz w:val="21"/>
                <w:szCs w:val="21"/>
                <w:highlight w:val="none"/>
              </w:rPr>
            </w:pPr>
            <w:r>
              <w:rPr>
                <w:rFonts w:cs="方正仿宋_GBK"/>
                <w:b/>
                <w:bCs/>
                <w:color w:val="auto"/>
                <w:kern w:val="0"/>
                <w:sz w:val="21"/>
                <w:szCs w:val="21"/>
                <w:highlight w:val="none"/>
                <w:lang w:bidi="ar"/>
              </w:rPr>
              <w:t>第九条</w:t>
            </w:r>
            <w:r>
              <w:rPr>
                <w:rFonts w:cs="方正仿宋_GBK"/>
                <w:color w:val="auto"/>
                <w:kern w:val="0"/>
                <w:sz w:val="21"/>
                <w:szCs w:val="21"/>
                <w:highlight w:val="none"/>
                <w:lang w:bidi="ar"/>
              </w:rPr>
              <w:t xml:space="preserve"> 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322" w:type="dxa"/>
            <w:vAlign w:val="center"/>
          </w:tcPr>
          <w:p>
            <w:pPr>
              <w:pStyle w:val="24"/>
              <w:pBdr>
                <w:bottom w:val="none" w:color="auto" w:sz="0" w:space="0"/>
              </w:pBdr>
              <w:rPr>
                <w:color w:val="auto"/>
                <w:sz w:val="21"/>
                <w:szCs w:val="21"/>
                <w:highlight w:val="none"/>
              </w:rPr>
            </w:pPr>
            <w:r>
              <w:rPr>
                <w:color w:val="auto"/>
                <w:sz w:val="21"/>
                <w:szCs w:val="21"/>
                <w:highlight w:val="none"/>
              </w:rPr>
              <w:t>项目</w:t>
            </w:r>
            <w:r>
              <w:rPr>
                <w:rFonts w:hint="eastAsia"/>
                <w:color w:val="auto"/>
                <w:sz w:val="21"/>
                <w:szCs w:val="21"/>
                <w:highlight w:val="none"/>
                <w:lang w:val="en-US" w:eastAsia="zh-CN"/>
              </w:rPr>
              <w:t>属于牛栏江流域</w:t>
            </w:r>
            <w:r>
              <w:rPr>
                <w:color w:val="auto"/>
                <w:sz w:val="21"/>
                <w:szCs w:val="21"/>
                <w:highlight w:val="none"/>
              </w:rPr>
              <w:t>，距离</w:t>
            </w:r>
            <w:r>
              <w:rPr>
                <w:rFonts w:hint="eastAsia"/>
                <w:color w:val="auto"/>
                <w:sz w:val="21"/>
                <w:szCs w:val="21"/>
                <w:highlight w:val="none"/>
                <w:lang w:val="en-US" w:eastAsia="zh-CN"/>
              </w:rPr>
              <w:t>牛栏江支流前进河2470</w:t>
            </w:r>
            <w:r>
              <w:rPr>
                <w:color w:val="auto"/>
                <w:sz w:val="21"/>
                <w:szCs w:val="21"/>
                <w:highlight w:val="none"/>
              </w:rPr>
              <w:t>m，不在金沙江干流、长江一级支流和九大高原湖泊岸线一公里范围内， 项目为</w:t>
            </w:r>
            <w:r>
              <w:rPr>
                <w:rFonts w:hint="eastAsia"/>
                <w:color w:val="auto"/>
                <w:sz w:val="21"/>
                <w:szCs w:val="21"/>
                <w:highlight w:val="none"/>
                <w:lang w:val="en-US" w:eastAsia="zh-CN"/>
              </w:rPr>
              <w:t>塑料制品制造</w:t>
            </w:r>
            <w:r>
              <w:rPr>
                <w:rFonts w:hint="eastAsia"/>
                <w:color w:val="auto"/>
                <w:sz w:val="21"/>
                <w:szCs w:val="21"/>
                <w:highlight w:val="none"/>
              </w:rPr>
              <w:t>项目，</w:t>
            </w:r>
            <w:r>
              <w:rPr>
                <w:color w:val="auto"/>
                <w:sz w:val="21"/>
                <w:szCs w:val="21"/>
                <w:highlight w:val="none"/>
              </w:rPr>
              <w:t>不涉及尾矿库、冶炼渣库和磷石膏库。</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szCs w:val="32"/>
                <w:highlight w:val="none"/>
              </w:rPr>
            </w:pPr>
            <w:r>
              <w:rPr>
                <w:rFonts w:cs="方正仿宋_GBK"/>
                <w:b/>
                <w:bCs/>
                <w:color w:val="auto"/>
                <w:kern w:val="0"/>
                <w:szCs w:val="31"/>
                <w:highlight w:val="none"/>
                <w:lang w:bidi="ar"/>
              </w:rPr>
              <w:t>第十条</w:t>
            </w:r>
            <w:r>
              <w:rPr>
                <w:rFonts w:cs="方正仿宋_GBK"/>
                <w:color w:val="auto"/>
                <w:kern w:val="0"/>
                <w:szCs w:val="31"/>
                <w:highlight w:val="none"/>
                <w:lang w:bidi="ar"/>
              </w:rPr>
              <w:t xml:space="preserve"> 禁止在合规园区外新建、扩建钢铁、石化、化工、焦化、建材、有色、制浆造纸行业中的高污染项目。</w:t>
            </w:r>
          </w:p>
        </w:tc>
        <w:tc>
          <w:tcPr>
            <w:tcW w:w="2322" w:type="dxa"/>
            <w:vAlign w:val="center"/>
          </w:tcPr>
          <w:p>
            <w:pPr>
              <w:adjustRightInd w:val="0"/>
              <w:snapToGrid w:val="0"/>
              <w:jc w:val="center"/>
              <w:rPr>
                <w:color w:val="auto"/>
                <w:highlight w:val="none"/>
              </w:rPr>
            </w:pPr>
            <w:r>
              <w:rPr>
                <w:color w:val="auto"/>
                <w:highlight w:val="none"/>
              </w:rPr>
              <w:t>项目位于</w:t>
            </w:r>
            <w:r>
              <w:rPr>
                <w:rFonts w:hint="eastAsia"/>
                <w:color w:val="auto"/>
                <w:highlight w:val="none"/>
                <w:lang w:val="en-US" w:eastAsia="zh-CN"/>
              </w:rPr>
              <w:t>寻甸县仁德街道三月三村</w:t>
            </w:r>
            <w:r>
              <w:rPr>
                <w:color w:val="auto"/>
                <w:highlight w:val="none"/>
              </w:rPr>
              <w:t>，</w:t>
            </w:r>
            <w:r>
              <w:rPr>
                <w:rFonts w:hint="eastAsia"/>
                <w:color w:val="auto"/>
                <w:highlight w:val="none"/>
              </w:rPr>
              <w:t>项目不属于钢铁、石化、化工、焦化、建材。有色、制浆造纸行业等高污染项目。</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szCs w:val="32"/>
                <w:highlight w:val="none"/>
              </w:rPr>
            </w:pPr>
            <w:r>
              <w:rPr>
                <w:rFonts w:cs="方正仿宋_GBK"/>
                <w:b/>
                <w:bCs/>
                <w:color w:val="auto"/>
                <w:kern w:val="0"/>
                <w:szCs w:val="31"/>
                <w:highlight w:val="none"/>
                <w:lang w:bidi="ar"/>
              </w:rPr>
              <w:t>第十一条</w:t>
            </w:r>
            <w:r>
              <w:rPr>
                <w:rFonts w:cs="方正仿宋_GBK"/>
                <w:color w:val="auto"/>
                <w:kern w:val="0"/>
                <w:szCs w:val="31"/>
                <w:highlight w:val="none"/>
                <w:lang w:bidi="ar"/>
              </w:rPr>
              <w:t xml:space="preserve"> 禁止新建、扩建不符合国家石化、现代煤化工等产业布局规划的项目。禁止列入《云南省城镇人口密集区危险化学品生产企业搬迁改造名单》的搬迁改造企业在原址新建、扩建危险化学品生产项目。</w:t>
            </w:r>
          </w:p>
        </w:tc>
        <w:tc>
          <w:tcPr>
            <w:tcW w:w="2322" w:type="dxa"/>
            <w:vAlign w:val="center"/>
          </w:tcPr>
          <w:p>
            <w:pPr>
              <w:adjustRightInd w:val="0"/>
              <w:snapToGrid w:val="0"/>
              <w:jc w:val="center"/>
              <w:rPr>
                <w:color w:val="auto"/>
                <w:highlight w:val="none"/>
              </w:rPr>
            </w:pPr>
            <w:r>
              <w:rPr>
                <w:rFonts w:hint="eastAsia"/>
                <w:color w:val="auto"/>
                <w:highlight w:val="none"/>
              </w:rPr>
              <w:t>本项目为</w:t>
            </w:r>
            <w:r>
              <w:rPr>
                <w:rFonts w:hint="eastAsia"/>
                <w:color w:val="auto"/>
                <w:highlight w:val="none"/>
                <w:lang w:val="en-US" w:eastAsia="zh-CN"/>
              </w:rPr>
              <w:t>塑料制品制造项目</w:t>
            </w:r>
            <w:r>
              <w:rPr>
                <w:rFonts w:hint="eastAsia"/>
                <w:color w:val="auto"/>
                <w:highlight w:val="none"/>
              </w:rPr>
              <w:t>，不属于</w:t>
            </w:r>
            <w:r>
              <w:rPr>
                <w:rFonts w:cs="方正仿宋_GBK"/>
                <w:color w:val="auto"/>
                <w:kern w:val="0"/>
                <w:szCs w:val="31"/>
                <w:highlight w:val="none"/>
                <w:lang w:bidi="ar"/>
              </w:rPr>
              <w:t>石化、现代煤化工等规划的项目</w:t>
            </w:r>
            <w:r>
              <w:rPr>
                <w:rFonts w:hint="eastAsia" w:cs="方正仿宋_GBK"/>
                <w:color w:val="auto"/>
                <w:kern w:val="0"/>
                <w:szCs w:val="31"/>
                <w:highlight w:val="none"/>
                <w:lang w:bidi="ar"/>
              </w:rPr>
              <w:t>，不属于</w:t>
            </w:r>
            <w:r>
              <w:rPr>
                <w:rFonts w:cs="方正仿宋_GBK"/>
                <w:color w:val="auto"/>
                <w:kern w:val="0"/>
                <w:szCs w:val="31"/>
                <w:highlight w:val="none"/>
                <w:lang w:bidi="ar"/>
              </w:rPr>
              <w:t>新建、扩建危险化学品生产项目</w:t>
            </w:r>
            <w:r>
              <w:rPr>
                <w:color w:val="auto"/>
                <w:highlight w:val="none"/>
              </w:rPr>
              <w:t>。</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vAlign w:val="center"/>
          </w:tcPr>
          <w:p>
            <w:pPr>
              <w:widowControl/>
              <w:adjustRightInd w:val="0"/>
              <w:snapToGrid w:val="0"/>
              <w:jc w:val="center"/>
              <w:rPr>
                <w:color w:val="auto"/>
                <w:szCs w:val="32"/>
                <w:highlight w:val="none"/>
              </w:rPr>
            </w:pPr>
            <w:r>
              <w:rPr>
                <w:rFonts w:cs="方正仿宋_GBK"/>
                <w:b/>
                <w:bCs/>
                <w:color w:val="auto"/>
                <w:kern w:val="0"/>
                <w:szCs w:val="31"/>
                <w:highlight w:val="none"/>
                <w:lang w:bidi="ar"/>
              </w:rPr>
              <w:t>第十二条</w:t>
            </w:r>
            <w:r>
              <w:rPr>
                <w:rFonts w:cs="方正仿宋_GBK"/>
                <w:color w:val="auto"/>
                <w:kern w:val="0"/>
                <w:szCs w:val="31"/>
                <w:highlight w:val="none"/>
                <w:lang w:bidi="ar"/>
              </w:rPr>
              <w:t xml:space="preserve"> 禁止新建、扩建法律法规和相关政策明令禁止的</w:t>
            </w:r>
            <w:r>
              <w:rPr>
                <w:rFonts w:hint="eastAsia" w:cs="方正仿宋_GBK"/>
                <w:color w:val="auto"/>
                <w:kern w:val="0"/>
                <w:szCs w:val="31"/>
                <w:highlight w:val="none"/>
                <w:lang w:bidi="ar"/>
              </w:rPr>
              <w:t>落</w:t>
            </w:r>
            <w:r>
              <w:rPr>
                <w:rFonts w:cs="方正仿宋_GBK"/>
                <w:color w:val="auto"/>
                <w:kern w:val="0"/>
                <w:szCs w:val="31"/>
                <w:highlight w:val="none"/>
                <w:lang w:bidi="ar"/>
              </w:rPr>
              <w:t>后产能项目，依法依规关停退出能耗、环保、质量、安全不达标产能和技术落后产能。禁止新建、扩建不符合国家产能置换</w:t>
            </w:r>
            <w:r>
              <w:rPr>
                <w:rFonts w:hint="eastAsia" w:cs="方正仿宋_GBK"/>
                <w:color w:val="auto"/>
                <w:kern w:val="0"/>
                <w:szCs w:val="31"/>
                <w:highlight w:val="none"/>
                <w:lang w:eastAsia="zh-CN" w:bidi="ar"/>
              </w:rPr>
              <w:t>要求</w:t>
            </w:r>
            <w:r>
              <w:rPr>
                <w:rFonts w:cs="方正仿宋_GBK"/>
                <w:color w:val="auto"/>
                <w:kern w:val="0"/>
                <w:szCs w:val="31"/>
                <w:highlight w:val="none"/>
                <w:lang w:bidi="ar"/>
              </w:rPr>
              <w:t>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322" w:type="dxa"/>
            <w:vAlign w:val="center"/>
          </w:tcPr>
          <w:p>
            <w:pPr>
              <w:adjustRightInd w:val="0"/>
              <w:snapToGrid w:val="0"/>
              <w:jc w:val="center"/>
              <w:rPr>
                <w:color w:val="auto"/>
                <w:highlight w:val="none"/>
              </w:rPr>
            </w:pPr>
            <w:r>
              <w:rPr>
                <w:color w:val="auto"/>
                <w:szCs w:val="21"/>
                <w:highlight w:val="none"/>
              </w:rPr>
              <w:t>本项目属于</w:t>
            </w:r>
            <w:r>
              <w:rPr>
                <w:rFonts w:hint="eastAsia"/>
                <w:color w:val="auto"/>
                <w:highlight w:val="none"/>
                <w:lang w:val="en-US" w:eastAsia="zh-CN"/>
              </w:rPr>
              <w:t>塑料制品制造项目，</w:t>
            </w:r>
            <w:r>
              <w:rPr>
                <w:color w:val="auto"/>
                <w:szCs w:val="21"/>
                <w:highlight w:val="none"/>
              </w:rPr>
              <w:t>项目符合国家、地方产业政策要求，不属于落后产能项目，不属于高毒高残留以及对环境影响大的农药原药生产装置。</w:t>
            </w:r>
          </w:p>
        </w:tc>
        <w:tc>
          <w:tcPr>
            <w:tcW w:w="785" w:type="dxa"/>
            <w:vAlign w:val="center"/>
          </w:tcPr>
          <w:p>
            <w:pPr>
              <w:adjustRightInd w:val="0"/>
              <w:snapToGrid w:val="0"/>
              <w:jc w:val="center"/>
              <w:rPr>
                <w:color w:val="auto"/>
                <w:highlight w:val="none"/>
              </w:rPr>
            </w:pPr>
            <w:r>
              <w:rPr>
                <w:rFonts w:hint="eastAsia"/>
                <w:color w:val="auto"/>
                <w:highlight w:val="none"/>
              </w:rPr>
              <w:t>符合</w:t>
            </w:r>
          </w:p>
        </w:tc>
      </w:tr>
    </w:tbl>
    <w:p>
      <w:pPr>
        <w:spacing w:line="360" w:lineRule="auto"/>
        <w:ind w:firstLine="480" w:firstLineChars="200"/>
        <w:rPr>
          <w:color w:val="auto"/>
          <w:sz w:val="24"/>
          <w:szCs w:val="20"/>
          <w:highlight w:val="none"/>
        </w:rPr>
      </w:pPr>
      <w:r>
        <w:rPr>
          <w:rFonts w:hint="eastAsia"/>
          <w:color w:val="auto"/>
          <w:sz w:val="24"/>
          <w:szCs w:val="20"/>
          <w:highlight w:val="none"/>
        </w:rPr>
        <w:t>综上所述，本项目建设符合相关法律法规及政策。</w:t>
      </w:r>
    </w:p>
    <w:p>
      <w:pPr>
        <w:pStyle w:val="21"/>
        <w:spacing w:after="0" w:line="360" w:lineRule="auto"/>
        <w:rPr>
          <w:color w:val="auto"/>
          <w:sz w:val="24"/>
          <w:szCs w:val="20"/>
          <w:highlight w:val="none"/>
        </w:rPr>
      </w:pPr>
    </w:p>
    <w:p>
      <w:pPr>
        <w:pStyle w:val="22"/>
        <w:spacing w:before="0" w:after="0" w:line="360" w:lineRule="auto"/>
        <w:ind w:left="0" w:right="0"/>
        <w:rPr>
          <w:color w:val="auto"/>
          <w:highlight w:val="none"/>
        </w:rPr>
        <w:sectPr>
          <w:type w:val="continuous"/>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pStyle w:val="2"/>
        <w:tabs>
          <w:tab w:val="left" w:pos="4140"/>
        </w:tabs>
        <w:spacing w:before="0" w:after="0" w:line="360" w:lineRule="auto"/>
        <w:rPr>
          <w:color w:val="auto"/>
          <w:sz w:val="32"/>
          <w:highlight w:val="none"/>
        </w:rPr>
      </w:pPr>
      <w:bookmarkStart w:id="750" w:name="_Toc259129404"/>
      <w:bookmarkStart w:id="751" w:name="_Toc275730688"/>
      <w:bookmarkStart w:id="752" w:name="_Toc114494717"/>
      <w:bookmarkStart w:id="753" w:name="_Toc75908747"/>
      <w:bookmarkStart w:id="754" w:name="_Toc341369706"/>
      <w:bookmarkStart w:id="755" w:name="_Toc259130767"/>
      <w:bookmarkStart w:id="756" w:name="_Toc259104514"/>
      <w:bookmarkStart w:id="757" w:name="_Toc367282270"/>
      <w:bookmarkStart w:id="758" w:name="_Toc259105194"/>
      <w:bookmarkStart w:id="759" w:name="_Toc367281687"/>
      <w:bookmarkStart w:id="760" w:name="_Toc275002327"/>
      <w:bookmarkStart w:id="761" w:name="_Toc12486"/>
      <w:r>
        <w:rPr>
          <w:color w:val="auto"/>
          <w:sz w:val="32"/>
          <w:highlight w:val="none"/>
        </w:rPr>
        <w:t>9、环境影响经济损益分析</w:t>
      </w:r>
      <w:bookmarkEnd w:id="750"/>
      <w:bookmarkEnd w:id="751"/>
      <w:bookmarkEnd w:id="752"/>
      <w:bookmarkEnd w:id="753"/>
      <w:bookmarkEnd w:id="754"/>
      <w:bookmarkEnd w:id="755"/>
      <w:bookmarkEnd w:id="756"/>
      <w:bookmarkEnd w:id="757"/>
      <w:bookmarkEnd w:id="758"/>
      <w:bookmarkEnd w:id="759"/>
      <w:bookmarkEnd w:id="760"/>
      <w:bookmarkEnd w:id="761"/>
    </w:p>
    <w:p>
      <w:pPr>
        <w:spacing w:line="360" w:lineRule="auto"/>
        <w:ind w:firstLine="480" w:firstLineChars="200"/>
        <w:rPr>
          <w:color w:val="auto"/>
          <w:sz w:val="24"/>
          <w:highlight w:val="none"/>
        </w:rPr>
      </w:pPr>
      <w:r>
        <w:rPr>
          <w:color w:val="auto"/>
          <w:sz w:val="24"/>
          <w:highlight w:val="none"/>
        </w:rPr>
        <w:t>按照《建设项目环境影响评价技术</w:t>
      </w:r>
      <w:r>
        <w:rPr>
          <w:rFonts w:hint="eastAsia"/>
          <w:color w:val="auto"/>
          <w:sz w:val="24"/>
          <w:highlight w:val="none"/>
          <w:lang w:eastAsia="zh-CN"/>
        </w:rPr>
        <w:t>导</w:t>
      </w:r>
      <w:r>
        <w:rPr>
          <w:color w:val="auto"/>
          <w:sz w:val="24"/>
          <w:highlight w:val="none"/>
        </w:rPr>
        <w:t>则 总纲》（HJ2.1-2016）的规定，环境影响经济损益分析主要是以建设项目实施后的环境影响预测与环境质量现状进行比较，从环境影响的正负两方面，以定性与定量相结合的方式，对建设项目的环境影响后果（包括直接和间接影响、不利和有利影响）进行货币化经济损益核算，估算建设项目环境影响的经济价值；目的是从环境经济效益角度分析评价建设项目的可行性，促使项目建设过程中进一步优化污染防治方案，严格落实环保投资，确保污染治理效果，降低环境影响范围和程度，体现环境影响评价的源头预防作用，避免出现为单纯追求发展经济而牺牲环境的状况，保护和改善环境，保障区域经济可持续发展动力，做到经济效益、社会效益和环境效益的和谐统一。</w:t>
      </w:r>
    </w:p>
    <w:p>
      <w:pPr>
        <w:pStyle w:val="3"/>
        <w:spacing w:before="0" w:after="0" w:line="360" w:lineRule="auto"/>
        <w:ind w:left="0"/>
        <w:rPr>
          <w:rFonts w:ascii="Times New Roman" w:hAnsi="Times New Roman" w:eastAsia="宋体"/>
          <w:color w:val="auto"/>
          <w:highlight w:val="none"/>
        </w:rPr>
      </w:pPr>
      <w:bookmarkStart w:id="762" w:name="_Toc18534"/>
      <w:bookmarkStart w:id="763" w:name="_Toc933"/>
      <w:r>
        <w:rPr>
          <w:rFonts w:ascii="Times New Roman" w:hAnsi="Times New Roman" w:eastAsia="宋体"/>
          <w:color w:val="auto"/>
          <w:highlight w:val="none"/>
        </w:rPr>
        <w:t>9.1环境保护投资</w:t>
      </w:r>
      <w:bookmarkEnd w:id="762"/>
      <w:bookmarkEnd w:id="763"/>
    </w:p>
    <w:p>
      <w:pPr>
        <w:pStyle w:val="537"/>
        <w:rPr>
          <w:rFonts w:cs="Times New Roman"/>
          <w:bCs/>
          <w:color w:val="auto"/>
          <w:szCs w:val="24"/>
          <w:highlight w:val="none"/>
        </w:rPr>
      </w:pPr>
      <w:r>
        <w:rPr>
          <w:rFonts w:cs="Times New Roman"/>
          <w:color w:val="auto"/>
          <w:highlight w:val="none"/>
        </w:rPr>
        <w:t>本项目环保投资</w:t>
      </w:r>
      <w:r>
        <w:rPr>
          <w:rFonts w:cs="Times New Roman"/>
          <w:bCs/>
          <w:color w:val="auto"/>
          <w:szCs w:val="24"/>
          <w:highlight w:val="none"/>
        </w:rPr>
        <w:t>详见表9.1-1。</w:t>
      </w:r>
    </w:p>
    <w:p>
      <w:pPr>
        <w:spacing w:line="360" w:lineRule="auto"/>
        <w:jc w:val="center"/>
        <w:rPr>
          <w:b/>
          <w:bCs/>
          <w:color w:val="auto"/>
          <w:szCs w:val="21"/>
          <w:highlight w:val="none"/>
        </w:rPr>
      </w:pPr>
      <w:r>
        <w:rPr>
          <w:b/>
          <w:bCs/>
          <w:color w:val="auto"/>
          <w:szCs w:val="21"/>
          <w:highlight w:val="none"/>
        </w:rPr>
        <w:t>表9.1-1   环保投资分项估算表</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20"/>
        <w:gridCol w:w="1485"/>
        <w:gridCol w:w="2736"/>
        <w:gridCol w:w="960"/>
        <w:gridCol w:w="1149"/>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0" w:type="dxa"/>
            <w:gridSpan w:val="2"/>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类别</w:t>
            </w:r>
          </w:p>
        </w:tc>
        <w:tc>
          <w:tcPr>
            <w:tcW w:w="1485"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污染源</w:t>
            </w:r>
          </w:p>
        </w:tc>
        <w:tc>
          <w:tcPr>
            <w:tcW w:w="2736"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措施说明</w:t>
            </w:r>
          </w:p>
        </w:tc>
        <w:tc>
          <w:tcPr>
            <w:tcW w:w="960"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数量</w:t>
            </w:r>
          </w:p>
        </w:tc>
        <w:tc>
          <w:tcPr>
            <w:tcW w:w="1149"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投资</w:t>
            </w:r>
          </w:p>
          <w:p>
            <w:pPr>
              <w:adjustRightInd w:val="0"/>
              <w:snapToGrid w:val="0"/>
              <w:jc w:val="center"/>
              <w:rPr>
                <w:b/>
                <w:bCs/>
                <w:color w:val="auto"/>
                <w:szCs w:val="21"/>
                <w:highlight w:val="none"/>
              </w:rPr>
            </w:pPr>
            <w:r>
              <w:rPr>
                <w:b/>
                <w:bCs/>
                <w:color w:val="auto"/>
                <w:szCs w:val="21"/>
                <w:highlight w:val="none"/>
              </w:rPr>
              <w:t>（万元）</w:t>
            </w:r>
          </w:p>
        </w:tc>
        <w:tc>
          <w:tcPr>
            <w:tcW w:w="1072"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00" w:type="dxa"/>
            <w:vMerge w:val="restart"/>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施工期</w:t>
            </w:r>
          </w:p>
        </w:tc>
        <w:tc>
          <w:tcPr>
            <w:tcW w:w="72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废气</w:t>
            </w:r>
          </w:p>
        </w:tc>
        <w:tc>
          <w:tcPr>
            <w:tcW w:w="1485"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扬尘</w:t>
            </w:r>
          </w:p>
        </w:tc>
        <w:tc>
          <w:tcPr>
            <w:tcW w:w="2736" w:type="dxa"/>
            <w:tcBorders>
              <w:tl2br w:val="nil"/>
              <w:tr2bl w:val="nil"/>
            </w:tcBorders>
            <w:vAlign w:val="center"/>
          </w:tcPr>
          <w:p>
            <w:pPr>
              <w:adjustRightInd w:val="0"/>
              <w:snapToGrid w:val="0"/>
              <w:jc w:val="center"/>
              <w:rPr>
                <w:bCs/>
                <w:color w:val="auto"/>
                <w:szCs w:val="21"/>
                <w:highlight w:val="none"/>
              </w:rPr>
            </w:pPr>
            <w:r>
              <w:rPr>
                <w:color w:val="auto"/>
                <w:szCs w:val="21"/>
                <w:highlight w:val="none"/>
              </w:rPr>
              <w:t>篷布覆盖、密闭、洒水降尘设施。</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1.</w:t>
            </w:r>
            <w:r>
              <w:rPr>
                <w:rFonts w:hint="eastAsia"/>
                <w:bCs/>
                <w:color w:val="auto"/>
                <w:szCs w:val="21"/>
                <w:highlight w:val="none"/>
              </w:rPr>
              <w:t>5</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restart"/>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废水</w:t>
            </w:r>
          </w:p>
        </w:tc>
        <w:tc>
          <w:tcPr>
            <w:tcW w:w="1485" w:type="dxa"/>
            <w:tcBorders>
              <w:tl2br w:val="nil"/>
              <w:tr2bl w:val="nil"/>
            </w:tcBorders>
            <w:vAlign w:val="center"/>
          </w:tcPr>
          <w:p>
            <w:pPr>
              <w:adjustRightInd w:val="0"/>
              <w:snapToGrid w:val="0"/>
              <w:jc w:val="center"/>
              <w:rPr>
                <w:color w:val="auto"/>
                <w:kern w:val="0"/>
                <w:szCs w:val="21"/>
                <w:highlight w:val="none"/>
              </w:rPr>
            </w:pPr>
            <w:r>
              <w:rPr>
                <w:rFonts w:hint="eastAsia"/>
                <w:color w:val="auto"/>
                <w:kern w:val="0"/>
                <w:szCs w:val="21"/>
                <w:highlight w:val="none"/>
              </w:rPr>
              <w:t>施工废水</w:t>
            </w:r>
          </w:p>
        </w:tc>
        <w:tc>
          <w:tcPr>
            <w:tcW w:w="2736" w:type="dxa"/>
            <w:tcBorders>
              <w:tl2br w:val="nil"/>
              <w:tr2bl w:val="nil"/>
            </w:tcBorders>
            <w:vAlign w:val="center"/>
          </w:tcPr>
          <w:p>
            <w:pPr>
              <w:adjustRightInd w:val="0"/>
              <w:snapToGrid w:val="0"/>
              <w:jc w:val="center"/>
              <w:rPr>
                <w:color w:val="auto"/>
                <w:szCs w:val="21"/>
                <w:highlight w:val="none"/>
              </w:rPr>
            </w:pPr>
            <w:r>
              <w:rPr>
                <w:color w:val="auto"/>
                <w:szCs w:val="21"/>
                <w:highlight w:val="none"/>
              </w:rPr>
              <w:t>1个容积</w:t>
            </w:r>
            <w:r>
              <w:rPr>
                <w:rFonts w:hint="eastAsia"/>
                <w:color w:val="auto"/>
                <w:szCs w:val="21"/>
                <w:highlight w:val="none"/>
              </w:rPr>
              <w:t>0.5</w:t>
            </w:r>
            <w:r>
              <w:rPr>
                <w:color w:val="auto"/>
                <w:szCs w:val="21"/>
                <w:highlight w:val="none"/>
              </w:rPr>
              <w:t>m</w:t>
            </w:r>
            <w:r>
              <w:rPr>
                <w:color w:val="auto"/>
                <w:szCs w:val="21"/>
                <w:highlight w:val="none"/>
                <w:vertAlign w:val="superscript"/>
              </w:rPr>
              <w:t>3</w:t>
            </w:r>
            <w:r>
              <w:rPr>
                <w:color w:val="auto"/>
                <w:szCs w:val="21"/>
                <w:highlight w:val="none"/>
              </w:rPr>
              <w:t>的临时沉淀池。</w:t>
            </w:r>
          </w:p>
        </w:tc>
        <w:tc>
          <w:tcPr>
            <w:tcW w:w="960" w:type="dxa"/>
            <w:tcBorders>
              <w:tl2br w:val="nil"/>
              <w:tr2bl w:val="nil"/>
            </w:tcBorders>
            <w:vAlign w:val="center"/>
          </w:tcPr>
          <w:p>
            <w:pPr>
              <w:adjustRightInd w:val="0"/>
              <w:snapToGrid w:val="0"/>
              <w:jc w:val="center"/>
              <w:rPr>
                <w:bCs/>
                <w:color w:val="auto"/>
                <w:szCs w:val="21"/>
                <w:highlight w:val="none"/>
              </w:rPr>
            </w:pPr>
            <w:r>
              <w:rPr>
                <w:color w:val="auto"/>
                <w:szCs w:val="21"/>
                <w:highlight w:val="none"/>
              </w:rPr>
              <w:t>1个</w:t>
            </w:r>
          </w:p>
        </w:tc>
        <w:tc>
          <w:tcPr>
            <w:tcW w:w="1149"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rPr>
              <w:t>0.5</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color w:val="auto"/>
                <w:kern w:val="0"/>
                <w:szCs w:val="21"/>
                <w:highlight w:val="none"/>
              </w:rPr>
            </w:pPr>
            <w:r>
              <w:rPr>
                <w:color w:val="auto"/>
                <w:highlight w:val="none"/>
              </w:rPr>
              <w:t>生活废水</w:t>
            </w:r>
          </w:p>
        </w:tc>
        <w:tc>
          <w:tcPr>
            <w:tcW w:w="2736" w:type="dxa"/>
            <w:tcBorders>
              <w:tl2br w:val="nil"/>
              <w:tr2bl w:val="nil"/>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rPr>
              <w:t>依托</w:t>
            </w:r>
            <w:r>
              <w:rPr>
                <w:rFonts w:hint="eastAsia"/>
                <w:color w:val="auto"/>
                <w:szCs w:val="21"/>
                <w:highlight w:val="none"/>
                <w:lang w:val="en-US" w:eastAsia="zh-CN"/>
              </w:rPr>
              <w:t>厂区内</w:t>
            </w:r>
            <w:r>
              <w:rPr>
                <w:color w:val="auto"/>
                <w:szCs w:val="21"/>
                <w:highlight w:val="none"/>
                <w:lang w:val="zh-CN"/>
              </w:rPr>
              <w:t>现有</w:t>
            </w:r>
            <w:r>
              <w:rPr>
                <w:rFonts w:hint="eastAsia"/>
                <w:color w:val="auto"/>
                <w:szCs w:val="21"/>
                <w:highlight w:val="none"/>
                <w:lang w:val="en-US" w:eastAsia="zh-CN"/>
              </w:rPr>
              <w:t>化粪池处理</w:t>
            </w:r>
          </w:p>
        </w:tc>
        <w:tc>
          <w:tcPr>
            <w:tcW w:w="960"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rPr>
              <w:t>/</w:t>
            </w:r>
          </w:p>
        </w:tc>
        <w:tc>
          <w:tcPr>
            <w:tcW w:w="1072"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噪声</w:t>
            </w:r>
          </w:p>
        </w:tc>
        <w:tc>
          <w:tcPr>
            <w:tcW w:w="1485" w:type="dxa"/>
            <w:tcBorders>
              <w:tl2br w:val="nil"/>
              <w:tr2bl w:val="nil"/>
            </w:tcBorders>
            <w:vAlign w:val="center"/>
          </w:tcPr>
          <w:p>
            <w:pPr>
              <w:adjustRightInd w:val="0"/>
              <w:snapToGrid w:val="0"/>
              <w:jc w:val="center"/>
              <w:rPr>
                <w:color w:val="auto"/>
                <w:kern w:val="0"/>
                <w:szCs w:val="21"/>
                <w:highlight w:val="none"/>
              </w:rPr>
            </w:pPr>
            <w:r>
              <w:rPr>
                <w:color w:val="auto"/>
                <w:kern w:val="0"/>
                <w:szCs w:val="21"/>
                <w:highlight w:val="none"/>
              </w:rPr>
              <w:t>施工设备噪声</w:t>
            </w:r>
          </w:p>
        </w:tc>
        <w:tc>
          <w:tcPr>
            <w:tcW w:w="2736" w:type="dxa"/>
            <w:tcBorders>
              <w:tl2br w:val="nil"/>
              <w:tr2bl w:val="nil"/>
            </w:tcBorders>
            <w:vAlign w:val="center"/>
          </w:tcPr>
          <w:p>
            <w:pPr>
              <w:adjustRightInd w:val="0"/>
              <w:snapToGrid w:val="0"/>
              <w:jc w:val="center"/>
              <w:rPr>
                <w:color w:val="auto"/>
                <w:szCs w:val="21"/>
                <w:highlight w:val="none"/>
              </w:rPr>
            </w:pPr>
            <w:r>
              <w:rPr>
                <w:color w:val="auto"/>
                <w:szCs w:val="21"/>
                <w:highlight w:val="none"/>
              </w:rPr>
              <w:t>减速、禁鸣标识。</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0.</w:t>
            </w:r>
            <w:r>
              <w:rPr>
                <w:rFonts w:hint="eastAsia"/>
                <w:bCs/>
                <w:color w:val="auto"/>
                <w:szCs w:val="21"/>
                <w:highlight w:val="none"/>
              </w:rPr>
              <w:t>1</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固废</w:t>
            </w:r>
          </w:p>
        </w:tc>
        <w:tc>
          <w:tcPr>
            <w:tcW w:w="1485"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建筑垃圾</w:t>
            </w:r>
          </w:p>
        </w:tc>
        <w:tc>
          <w:tcPr>
            <w:tcW w:w="2736" w:type="dxa"/>
            <w:tcBorders>
              <w:tl2br w:val="nil"/>
              <w:tr2bl w:val="nil"/>
            </w:tcBorders>
            <w:vAlign w:val="center"/>
          </w:tcPr>
          <w:p>
            <w:pPr>
              <w:adjustRightInd w:val="0"/>
              <w:snapToGrid w:val="0"/>
              <w:jc w:val="center"/>
              <w:rPr>
                <w:bCs/>
                <w:color w:val="auto"/>
                <w:szCs w:val="21"/>
                <w:highlight w:val="none"/>
              </w:rPr>
            </w:pPr>
            <w:r>
              <w:rPr>
                <w:color w:val="auto"/>
                <w:szCs w:val="21"/>
                <w:highlight w:val="none"/>
              </w:rPr>
              <w:t>不可利用部分建筑垃圾委托有资质的建筑垃圾承运企业运输至建筑垃圾消纳处置场，禁止随意处置和堆放。</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lang w:val="en-US" w:eastAsia="zh-CN"/>
              </w:rPr>
              <w:t>2</w:t>
            </w:r>
            <w:r>
              <w:rPr>
                <w:rFonts w:hint="eastAsia"/>
                <w:bCs/>
                <w:color w:val="auto"/>
                <w:szCs w:val="21"/>
                <w:highlight w:val="none"/>
              </w:rPr>
              <w:t>.5</w:t>
            </w:r>
          </w:p>
        </w:tc>
        <w:tc>
          <w:tcPr>
            <w:tcW w:w="1072" w:type="dxa"/>
            <w:tcBorders>
              <w:tl2br w:val="nil"/>
              <w:tr2bl w:val="nil"/>
            </w:tcBorders>
            <w:vAlign w:val="center"/>
          </w:tcPr>
          <w:p>
            <w:pPr>
              <w:adjustRightInd w:val="0"/>
              <w:snapToGrid w:val="0"/>
              <w:jc w:val="center"/>
              <w:rPr>
                <w:color w:val="auto"/>
                <w:szCs w:val="21"/>
                <w:highlight w:val="none"/>
              </w:rPr>
            </w:pPr>
            <w:r>
              <w:rPr>
                <w:bCs/>
                <w:color w:val="auto"/>
                <w:szCs w:val="21"/>
                <w:highlight w:val="none"/>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400" w:type="dxa"/>
            <w:vMerge w:val="restart"/>
            <w:tcBorders>
              <w:tl2br w:val="nil"/>
              <w:tr2bl w:val="nil"/>
            </w:tcBorders>
            <w:vAlign w:val="center"/>
          </w:tcPr>
          <w:p>
            <w:pPr>
              <w:adjustRightInd w:val="0"/>
              <w:snapToGrid w:val="0"/>
              <w:jc w:val="center"/>
              <w:rPr>
                <w:bCs/>
                <w:color w:val="auto"/>
                <w:szCs w:val="21"/>
                <w:highlight w:val="none"/>
              </w:rPr>
            </w:pPr>
            <w:r>
              <w:rPr>
                <w:bCs/>
                <w:color w:val="auto"/>
                <w:szCs w:val="21"/>
                <w:highlight w:val="none"/>
              </w:rPr>
              <w:t>营运期</w:t>
            </w:r>
          </w:p>
        </w:tc>
        <w:tc>
          <w:tcPr>
            <w:tcW w:w="720" w:type="dxa"/>
            <w:vMerge w:val="restart"/>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废气</w:t>
            </w:r>
          </w:p>
        </w:tc>
        <w:tc>
          <w:tcPr>
            <w:tcW w:w="1485" w:type="dxa"/>
            <w:tcBorders>
              <w:tl2br w:val="nil"/>
              <w:tr2bl w:val="nil"/>
            </w:tcBorders>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热熔挤出废气</w:t>
            </w:r>
          </w:p>
        </w:tc>
        <w:tc>
          <w:tcPr>
            <w:tcW w:w="2736"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集气罩（</w:t>
            </w:r>
            <w:r>
              <w:rPr>
                <w:rFonts w:hint="eastAsia"/>
                <w:bCs/>
                <w:color w:val="auto"/>
                <w:szCs w:val="21"/>
                <w:highlight w:val="none"/>
                <w:lang w:val="en-US" w:eastAsia="zh-CN"/>
              </w:rPr>
              <w:t>每台注塑机口各1个，共6个</w:t>
            </w:r>
            <w:r>
              <w:rPr>
                <w:bCs/>
                <w:color w:val="auto"/>
                <w:szCs w:val="21"/>
                <w:highlight w:val="none"/>
              </w:rPr>
              <w:t>）</w:t>
            </w:r>
          </w:p>
        </w:tc>
        <w:tc>
          <w:tcPr>
            <w:tcW w:w="960"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lang w:val="en-US" w:eastAsia="zh-CN"/>
              </w:rPr>
              <w:t>6</w:t>
            </w:r>
            <w:r>
              <w:rPr>
                <w:bCs/>
                <w:color w:val="auto"/>
                <w:szCs w:val="21"/>
                <w:highlight w:val="none"/>
              </w:rPr>
              <w:t>个</w:t>
            </w:r>
          </w:p>
        </w:tc>
        <w:tc>
          <w:tcPr>
            <w:tcW w:w="1149" w:type="dxa"/>
            <w:tcBorders>
              <w:tl2br w:val="nil"/>
              <w:tr2bl w:val="nil"/>
            </w:tcBorders>
            <w:vAlign w:val="center"/>
          </w:tcPr>
          <w:p>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2</w:t>
            </w:r>
          </w:p>
        </w:tc>
        <w:tc>
          <w:tcPr>
            <w:tcW w:w="1072" w:type="dxa"/>
            <w:tcBorders>
              <w:tl2br w:val="nil"/>
              <w:tr2bl w:val="nil"/>
            </w:tcBorders>
            <w:vAlign w:val="center"/>
          </w:tcPr>
          <w:p>
            <w:pPr>
              <w:adjustRightInd w:val="0"/>
              <w:snapToGrid w:val="0"/>
              <w:jc w:val="center"/>
              <w:rPr>
                <w:bCs/>
                <w:color w:val="auto"/>
                <w:szCs w:val="21"/>
                <w:highlight w:val="none"/>
              </w:rPr>
            </w:pPr>
            <w:r>
              <w:rPr>
                <w:rStyle w:val="68"/>
                <w:rFonts w:hint="eastAsia"/>
                <w:color w:val="auto"/>
                <w:kern w:val="0"/>
                <w:highlight w:val="none"/>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有组织有机废气</w:t>
            </w:r>
          </w:p>
        </w:tc>
        <w:tc>
          <w:tcPr>
            <w:tcW w:w="2736"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lang w:val="en-US" w:eastAsia="zh-CN"/>
              </w:rPr>
              <w:t>三级活性炭吸附装置</w:t>
            </w:r>
            <w:r>
              <w:rPr>
                <w:bCs/>
                <w:color w:val="auto"/>
                <w:szCs w:val="21"/>
                <w:highlight w:val="none"/>
              </w:rPr>
              <w:t>+</w:t>
            </w:r>
            <w:r>
              <w:rPr>
                <w:rFonts w:hint="eastAsia"/>
                <w:bCs/>
                <w:color w:val="auto"/>
                <w:szCs w:val="21"/>
                <w:highlight w:val="none"/>
                <w:lang w:val="en-US" w:eastAsia="zh-CN"/>
              </w:rPr>
              <w:t>15</w:t>
            </w:r>
            <w:r>
              <w:rPr>
                <w:bCs/>
                <w:color w:val="auto"/>
                <w:szCs w:val="21"/>
                <w:highlight w:val="none"/>
              </w:rPr>
              <w:t>m高排气筒</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1套</w:t>
            </w:r>
          </w:p>
        </w:tc>
        <w:tc>
          <w:tcPr>
            <w:tcW w:w="1149" w:type="dxa"/>
            <w:tcBorders>
              <w:tl2br w:val="nil"/>
              <w:tr2bl w:val="nil"/>
            </w:tcBorders>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10</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无组织废气</w:t>
            </w:r>
          </w:p>
        </w:tc>
        <w:tc>
          <w:tcPr>
            <w:tcW w:w="2736"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lang w:val="en-US" w:eastAsia="zh-CN"/>
              </w:rPr>
              <w:t>密闭设备</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lang w:val="en-US" w:eastAsia="zh-CN"/>
              </w:rPr>
              <w:t>3</w:t>
            </w:r>
            <w:r>
              <w:rPr>
                <w:rFonts w:hint="eastAsia"/>
                <w:bCs/>
                <w:color w:val="auto"/>
                <w:szCs w:val="21"/>
                <w:highlight w:val="none"/>
              </w:rPr>
              <w:t>.5</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restart"/>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废水</w:t>
            </w:r>
          </w:p>
        </w:tc>
        <w:tc>
          <w:tcPr>
            <w:tcW w:w="1485" w:type="dxa"/>
            <w:tcBorders>
              <w:tl2br w:val="nil"/>
              <w:tr2bl w:val="nil"/>
            </w:tcBorders>
            <w:vAlign w:val="center"/>
          </w:tcPr>
          <w:p>
            <w:pPr>
              <w:adjustRightInd w:val="0"/>
              <w:snapToGrid w:val="0"/>
              <w:jc w:val="center"/>
              <w:rPr>
                <w:color w:val="auto"/>
                <w:szCs w:val="21"/>
                <w:highlight w:val="none"/>
              </w:rPr>
            </w:pPr>
            <w:r>
              <w:rPr>
                <w:color w:val="auto"/>
                <w:szCs w:val="21"/>
                <w:highlight w:val="none"/>
              </w:rPr>
              <w:t>雨水</w:t>
            </w:r>
          </w:p>
        </w:tc>
        <w:tc>
          <w:tcPr>
            <w:tcW w:w="2736" w:type="dxa"/>
            <w:tcBorders>
              <w:tl2br w:val="nil"/>
              <w:tr2bl w:val="nil"/>
            </w:tcBorders>
            <w:vAlign w:val="center"/>
          </w:tcPr>
          <w:p>
            <w:pPr>
              <w:adjustRightInd w:val="0"/>
              <w:snapToGrid w:val="0"/>
              <w:jc w:val="center"/>
              <w:rPr>
                <w:color w:val="auto"/>
                <w:szCs w:val="21"/>
                <w:highlight w:val="none"/>
              </w:rPr>
            </w:pPr>
            <w:r>
              <w:rPr>
                <w:color w:val="auto"/>
                <w:szCs w:val="21"/>
                <w:highlight w:val="none"/>
              </w:rPr>
              <w:t>雨污分流系统</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1套</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依托已建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color w:val="auto"/>
                <w:szCs w:val="21"/>
                <w:highlight w:val="none"/>
              </w:rPr>
            </w:pPr>
            <w:r>
              <w:rPr>
                <w:color w:val="auto"/>
                <w:szCs w:val="21"/>
                <w:highlight w:val="none"/>
              </w:rPr>
              <w:t>生产废水</w:t>
            </w:r>
          </w:p>
        </w:tc>
        <w:tc>
          <w:tcPr>
            <w:tcW w:w="2736" w:type="dxa"/>
            <w:tcBorders>
              <w:tl2br w:val="nil"/>
              <w:tr2bl w:val="nil"/>
            </w:tcBorders>
            <w:vAlign w:val="center"/>
          </w:tcPr>
          <w:p>
            <w:pPr>
              <w:adjustRightInd w:val="0"/>
              <w:snapToGrid w:val="0"/>
              <w:jc w:val="center"/>
              <w:rPr>
                <w:color w:val="auto"/>
                <w:szCs w:val="21"/>
                <w:highlight w:val="none"/>
              </w:rPr>
            </w:pPr>
            <w:r>
              <w:rPr>
                <w:color w:val="auto"/>
                <w:szCs w:val="21"/>
                <w:highlight w:val="none"/>
              </w:rPr>
              <w:t>容积</w:t>
            </w:r>
            <w:r>
              <w:rPr>
                <w:rFonts w:hint="eastAsia"/>
                <w:color w:val="auto"/>
                <w:szCs w:val="21"/>
                <w:highlight w:val="none"/>
                <w:lang w:val="en-US" w:eastAsia="zh-CN"/>
              </w:rPr>
              <w:t>31</w:t>
            </w:r>
            <w:r>
              <w:rPr>
                <w:color w:val="auto"/>
                <w:szCs w:val="21"/>
                <w:highlight w:val="none"/>
              </w:rPr>
              <w:t>m</w:t>
            </w:r>
            <w:r>
              <w:rPr>
                <w:color w:val="auto"/>
                <w:szCs w:val="21"/>
                <w:highlight w:val="none"/>
                <w:vertAlign w:val="superscript"/>
              </w:rPr>
              <w:t>3</w:t>
            </w:r>
            <w:r>
              <w:rPr>
                <w:color w:val="auto"/>
                <w:szCs w:val="21"/>
                <w:highlight w:val="none"/>
              </w:rPr>
              <w:t>的冷却</w:t>
            </w:r>
            <w:r>
              <w:rPr>
                <w:rFonts w:hint="eastAsia"/>
                <w:color w:val="auto"/>
                <w:szCs w:val="21"/>
                <w:highlight w:val="none"/>
                <w:lang w:val="en-US" w:eastAsia="zh-CN"/>
              </w:rPr>
              <w:t>循环</w:t>
            </w:r>
            <w:r>
              <w:rPr>
                <w:color w:val="auto"/>
                <w:szCs w:val="21"/>
                <w:highlight w:val="none"/>
              </w:rPr>
              <w:t>水池</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1个</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2</w:t>
            </w:r>
          </w:p>
        </w:tc>
        <w:tc>
          <w:tcPr>
            <w:tcW w:w="1072" w:type="dxa"/>
            <w:tcBorders>
              <w:tl2br w:val="nil"/>
              <w:tr2bl w:val="nil"/>
            </w:tcBorders>
            <w:vAlign w:val="center"/>
          </w:tcPr>
          <w:p>
            <w:pPr>
              <w:adjustRightInd w:val="0"/>
              <w:snapToGrid w:val="0"/>
              <w:jc w:val="center"/>
              <w:rPr>
                <w:bCs/>
                <w:color w:val="auto"/>
                <w:szCs w:val="21"/>
                <w:highlight w:val="none"/>
              </w:rPr>
            </w:pPr>
            <w:r>
              <w:rPr>
                <w:rFonts w:hint="eastAsia"/>
                <w:bCs/>
                <w:color w:val="auto"/>
                <w:szCs w:val="21"/>
                <w:highlight w:val="none"/>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color w:val="auto"/>
                <w:szCs w:val="21"/>
                <w:highlight w:val="none"/>
              </w:rPr>
            </w:pPr>
            <w:r>
              <w:rPr>
                <w:color w:val="auto"/>
                <w:szCs w:val="21"/>
                <w:highlight w:val="none"/>
              </w:rPr>
              <w:t>生活污水处理</w:t>
            </w:r>
          </w:p>
        </w:tc>
        <w:tc>
          <w:tcPr>
            <w:tcW w:w="2736" w:type="dxa"/>
            <w:tcBorders>
              <w:tl2br w:val="nil"/>
              <w:tr2bl w:val="nil"/>
            </w:tcBorders>
            <w:vAlign w:val="center"/>
          </w:tcPr>
          <w:p>
            <w:pPr>
              <w:adjustRightInd w:val="0"/>
              <w:snapToGrid w:val="0"/>
              <w:jc w:val="center"/>
              <w:rPr>
                <w:color w:val="auto"/>
                <w:szCs w:val="21"/>
                <w:highlight w:val="none"/>
              </w:rPr>
            </w:pPr>
            <w:r>
              <w:rPr>
                <w:color w:val="auto"/>
                <w:kern w:val="0"/>
                <w:szCs w:val="21"/>
                <w:highlight w:val="none"/>
              </w:rPr>
              <w:t>1个</w:t>
            </w:r>
            <w:r>
              <w:rPr>
                <w:rFonts w:hint="eastAsia"/>
                <w:color w:val="auto"/>
                <w:kern w:val="0"/>
                <w:szCs w:val="21"/>
                <w:highlight w:val="none"/>
                <w:lang w:val="en-US" w:eastAsia="zh-CN"/>
              </w:rPr>
              <w:t>27</w:t>
            </w:r>
            <w:r>
              <w:rPr>
                <w:color w:val="auto"/>
                <w:kern w:val="0"/>
                <w:szCs w:val="21"/>
                <w:highlight w:val="none"/>
              </w:rPr>
              <w:t>m</w:t>
            </w:r>
            <w:r>
              <w:rPr>
                <w:color w:val="auto"/>
                <w:kern w:val="0"/>
                <w:szCs w:val="21"/>
                <w:highlight w:val="none"/>
                <w:vertAlign w:val="superscript"/>
              </w:rPr>
              <w:t>3</w:t>
            </w:r>
            <w:r>
              <w:rPr>
                <w:color w:val="auto"/>
                <w:highlight w:val="none"/>
              </w:rPr>
              <w:t>化粪池</w:t>
            </w:r>
          </w:p>
        </w:tc>
        <w:tc>
          <w:tcPr>
            <w:tcW w:w="960" w:type="dxa"/>
            <w:tcBorders>
              <w:tl2br w:val="nil"/>
              <w:tr2bl w:val="nil"/>
            </w:tcBorders>
            <w:vAlign w:val="center"/>
          </w:tcPr>
          <w:p>
            <w:pPr>
              <w:adjustRightInd w:val="0"/>
              <w:snapToGrid w:val="0"/>
              <w:jc w:val="center"/>
              <w:rPr>
                <w:rFonts w:hint="eastAsia" w:eastAsia="宋体"/>
                <w:bCs/>
                <w:color w:val="auto"/>
                <w:szCs w:val="21"/>
                <w:highlight w:val="none"/>
                <w:lang w:val="en-US" w:eastAsia="zh-CN"/>
              </w:rPr>
            </w:pPr>
            <w:r>
              <w:rPr>
                <w:color w:val="auto"/>
                <w:szCs w:val="21"/>
                <w:highlight w:val="none"/>
              </w:rPr>
              <w:t>1</w:t>
            </w:r>
            <w:r>
              <w:rPr>
                <w:rFonts w:hint="eastAsia"/>
                <w:color w:val="auto"/>
                <w:szCs w:val="21"/>
                <w:highlight w:val="none"/>
                <w:lang w:val="en-US" w:eastAsia="zh-CN"/>
              </w:rPr>
              <w:t>个</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依托已建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噪声</w:t>
            </w:r>
          </w:p>
        </w:tc>
        <w:tc>
          <w:tcPr>
            <w:tcW w:w="1485" w:type="dxa"/>
            <w:tcBorders>
              <w:tl2br w:val="nil"/>
              <w:tr2bl w:val="nil"/>
            </w:tcBorders>
            <w:vAlign w:val="center"/>
          </w:tcPr>
          <w:p>
            <w:pPr>
              <w:adjustRightInd w:val="0"/>
              <w:snapToGrid w:val="0"/>
              <w:jc w:val="center"/>
              <w:rPr>
                <w:color w:val="auto"/>
                <w:szCs w:val="21"/>
                <w:highlight w:val="none"/>
              </w:rPr>
            </w:pPr>
            <w:r>
              <w:rPr>
                <w:color w:val="auto"/>
                <w:szCs w:val="21"/>
                <w:highlight w:val="none"/>
              </w:rPr>
              <w:t>噪声防治</w:t>
            </w:r>
          </w:p>
        </w:tc>
        <w:tc>
          <w:tcPr>
            <w:tcW w:w="2736" w:type="dxa"/>
            <w:tcBorders>
              <w:tl2br w:val="nil"/>
              <w:tr2bl w:val="nil"/>
            </w:tcBorders>
            <w:vAlign w:val="center"/>
          </w:tcPr>
          <w:p>
            <w:pPr>
              <w:adjustRightInd w:val="0"/>
              <w:snapToGrid w:val="0"/>
              <w:jc w:val="center"/>
              <w:rPr>
                <w:color w:val="auto"/>
                <w:szCs w:val="21"/>
                <w:highlight w:val="none"/>
              </w:rPr>
            </w:pPr>
            <w:r>
              <w:rPr>
                <w:color w:val="auto"/>
                <w:szCs w:val="21"/>
                <w:highlight w:val="none"/>
              </w:rPr>
              <w:t>消声、减震、隔声。</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2</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restart"/>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固废</w:t>
            </w:r>
          </w:p>
        </w:tc>
        <w:tc>
          <w:tcPr>
            <w:tcW w:w="1485" w:type="dxa"/>
            <w:tcBorders>
              <w:tl2br w:val="nil"/>
              <w:tr2bl w:val="nil"/>
            </w:tcBorders>
            <w:vAlign w:val="center"/>
          </w:tcPr>
          <w:p>
            <w:pPr>
              <w:adjustRightInd w:val="0"/>
              <w:snapToGrid w:val="0"/>
              <w:jc w:val="center"/>
              <w:rPr>
                <w:color w:val="auto"/>
                <w:kern w:val="0"/>
                <w:szCs w:val="21"/>
                <w:highlight w:val="none"/>
              </w:rPr>
            </w:pPr>
            <w:r>
              <w:rPr>
                <w:color w:val="auto"/>
                <w:kern w:val="0"/>
                <w:szCs w:val="21"/>
                <w:highlight w:val="none"/>
              </w:rPr>
              <w:t>生活垃圾</w:t>
            </w:r>
          </w:p>
        </w:tc>
        <w:tc>
          <w:tcPr>
            <w:tcW w:w="2736" w:type="dxa"/>
            <w:tcBorders>
              <w:tl2br w:val="nil"/>
              <w:tr2bl w:val="nil"/>
            </w:tcBorders>
            <w:vAlign w:val="center"/>
          </w:tcPr>
          <w:p>
            <w:pPr>
              <w:pStyle w:val="9"/>
              <w:adjustRightInd w:val="0"/>
              <w:snapToGrid w:val="0"/>
              <w:ind w:firstLine="0" w:firstLineChars="0"/>
              <w:jc w:val="center"/>
              <w:rPr>
                <w:color w:val="auto"/>
                <w:sz w:val="21"/>
                <w:szCs w:val="21"/>
                <w:highlight w:val="none"/>
              </w:rPr>
            </w:pPr>
            <w:r>
              <w:rPr>
                <w:color w:val="auto"/>
                <w:sz w:val="21"/>
                <w:szCs w:val="21"/>
                <w:highlight w:val="none"/>
              </w:rPr>
              <w:t>生活垃圾收集桶、环卫部门清运、处置。</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rFonts w:hint="eastAsia" w:eastAsia="宋体"/>
                <w:bCs/>
                <w:color w:val="auto"/>
                <w:szCs w:val="21"/>
                <w:highlight w:val="none"/>
                <w:lang w:val="en-US" w:eastAsia="zh-CN"/>
              </w:rPr>
            </w:pPr>
            <w:r>
              <w:rPr>
                <w:bCs/>
                <w:color w:val="auto"/>
                <w:szCs w:val="21"/>
                <w:highlight w:val="none"/>
              </w:rPr>
              <w:t>0.</w:t>
            </w:r>
            <w:r>
              <w:rPr>
                <w:rFonts w:hint="eastAsia"/>
                <w:bCs/>
                <w:color w:val="auto"/>
                <w:szCs w:val="21"/>
                <w:highlight w:val="none"/>
                <w:lang w:val="en-US" w:eastAsia="zh-CN"/>
              </w:rPr>
              <w:t>2</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color w:val="auto"/>
                <w:kern w:val="0"/>
                <w:szCs w:val="21"/>
                <w:highlight w:val="none"/>
              </w:rPr>
            </w:pPr>
            <w:r>
              <w:rPr>
                <w:color w:val="auto"/>
                <w:kern w:val="0"/>
                <w:szCs w:val="21"/>
                <w:highlight w:val="none"/>
              </w:rPr>
              <w:t>一般固废暂存间</w:t>
            </w:r>
          </w:p>
        </w:tc>
        <w:tc>
          <w:tcPr>
            <w:tcW w:w="2736" w:type="dxa"/>
            <w:tcBorders>
              <w:tl2br w:val="nil"/>
              <w:tr2bl w:val="nil"/>
            </w:tcBorders>
            <w:vAlign w:val="center"/>
          </w:tcPr>
          <w:p>
            <w:pPr>
              <w:pStyle w:val="9"/>
              <w:adjustRightInd w:val="0"/>
              <w:snapToGrid w:val="0"/>
              <w:ind w:firstLine="0" w:firstLineChars="0"/>
              <w:jc w:val="center"/>
              <w:rPr>
                <w:color w:val="auto"/>
                <w:sz w:val="21"/>
                <w:szCs w:val="21"/>
                <w:highlight w:val="none"/>
              </w:rPr>
            </w:pPr>
            <w:r>
              <w:rPr>
                <w:color w:val="auto"/>
                <w:sz w:val="21"/>
                <w:szCs w:val="21"/>
                <w:highlight w:val="none"/>
              </w:rPr>
              <w:t>设置一个10m</w:t>
            </w:r>
            <w:r>
              <w:rPr>
                <w:color w:val="auto"/>
                <w:sz w:val="21"/>
                <w:szCs w:val="21"/>
                <w:highlight w:val="none"/>
                <w:vertAlign w:val="superscript"/>
              </w:rPr>
              <w:t>2</w:t>
            </w:r>
            <w:r>
              <w:rPr>
                <w:color w:val="auto"/>
                <w:sz w:val="21"/>
                <w:szCs w:val="21"/>
                <w:highlight w:val="none"/>
              </w:rPr>
              <w:t>的一般固废堆存区。</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0.5</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color w:val="auto"/>
                <w:kern w:val="0"/>
                <w:szCs w:val="21"/>
                <w:highlight w:val="none"/>
              </w:rPr>
            </w:pPr>
            <w:r>
              <w:rPr>
                <w:color w:val="auto"/>
                <w:kern w:val="0"/>
                <w:szCs w:val="21"/>
                <w:highlight w:val="none"/>
              </w:rPr>
              <w:t>危险废物</w:t>
            </w:r>
          </w:p>
        </w:tc>
        <w:tc>
          <w:tcPr>
            <w:tcW w:w="2736" w:type="dxa"/>
            <w:tcBorders>
              <w:tl2br w:val="nil"/>
              <w:tr2bl w:val="nil"/>
            </w:tcBorders>
            <w:vAlign w:val="center"/>
          </w:tcPr>
          <w:p>
            <w:pPr>
              <w:pStyle w:val="9"/>
              <w:adjustRightInd w:val="0"/>
              <w:snapToGrid w:val="0"/>
              <w:ind w:firstLine="0" w:firstLineChars="0"/>
              <w:jc w:val="center"/>
              <w:rPr>
                <w:color w:val="auto"/>
                <w:sz w:val="21"/>
                <w:szCs w:val="21"/>
                <w:highlight w:val="none"/>
              </w:rPr>
            </w:pPr>
            <w:r>
              <w:rPr>
                <w:color w:val="auto"/>
                <w:sz w:val="21"/>
                <w:szCs w:val="21"/>
                <w:highlight w:val="none"/>
              </w:rPr>
              <w:t>委托有资质的单位处理。</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3</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1485" w:type="dxa"/>
            <w:tcBorders>
              <w:tl2br w:val="nil"/>
              <w:tr2bl w:val="nil"/>
            </w:tcBorders>
            <w:vAlign w:val="center"/>
          </w:tcPr>
          <w:p>
            <w:pPr>
              <w:adjustRightInd w:val="0"/>
              <w:snapToGrid w:val="0"/>
              <w:jc w:val="center"/>
              <w:rPr>
                <w:color w:val="auto"/>
                <w:kern w:val="0"/>
                <w:szCs w:val="21"/>
                <w:highlight w:val="none"/>
              </w:rPr>
            </w:pPr>
            <w:r>
              <w:rPr>
                <w:color w:val="auto"/>
                <w:kern w:val="0"/>
                <w:szCs w:val="21"/>
                <w:highlight w:val="none"/>
              </w:rPr>
              <w:t>危废处置</w:t>
            </w:r>
          </w:p>
        </w:tc>
        <w:tc>
          <w:tcPr>
            <w:tcW w:w="2736" w:type="dxa"/>
            <w:tcBorders>
              <w:tl2br w:val="nil"/>
              <w:tr2bl w:val="nil"/>
            </w:tcBorders>
            <w:vAlign w:val="center"/>
          </w:tcPr>
          <w:p>
            <w:pPr>
              <w:pStyle w:val="9"/>
              <w:adjustRightInd w:val="0"/>
              <w:snapToGrid w:val="0"/>
              <w:ind w:firstLine="0" w:firstLineChars="0"/>
              <w:jc w:val="center"/>
              <w:rPr>
                <w:color w:val="auto"/>
                <w:sz w:val="21"/>
                <w:szCs w:val="21"/>
                <w:highlight w:val="none"/>
              </w:rPr>
            </w:pPr>
            <w:r>
              <w:rPr>
                <w:color w:val="auto"/>
                <w:sz w:val="21"/>
                <w:szCs w:val="21"/>
                <w:highlight w:val="none"/>
              </w:rPr>
              <w:t>危废收集容器、1间</w:t>
            </w:r>
            <w:r>
              <w:rPr>
                <w:rFonts w:hint="eastAsia"/>
                <w:color w:val="auto"/>
                <w:sz w:val="21"/>
                <w:szCs w:val="21"/>
                <w:highlight w:val="none"/>
                <w:lang w:val="en-US" w:eastAsia="zh-CN"/>
              </w:rPr>
              <w:t>5</w:t>
            </w:r>
            <w:r>
              <w:rPr>
                <w:color w:val="auto"/>
                <w:sz w:val="21"/>
                <w:szCs w:val="21"/>
                <w:highlight w:val="none"/>
              </w:rPr>
              <w:t>m</w:t>
            </w:r>
            <w:r>
              <w:rPr>
                <w:color w:val="auto"/>
                <w:sz w:val="21"/>
                <w:szCs w:val="21"/>
                <w:highlight w:val="none"/>
                <w:vertAlign w:val="superscript"/>
              </w:rPr>
              <w:t>2</w:t>
            </w:r>
            <w:r>
              <w:rPr>
                <w:color w:val="auto"/>
                <w:sz w:val="21"/>
                <w:szCs w:val="21"/>
                <w:highlight w:val="none"/>
              </w:rPr>
              <w:t>的危废暂存间</w:t>
            </w:r>
            <w:r>
              <w:rPr>
                <w:rFonts w:hint="eastAsia"/>
                <w:color w:val="auto"/>
                <w:sz w:val="21"/>
                <w:szCs w:val="21"/>
                <w:highlight w:val="none"/>
                <w:lang w:eastAsia="zh-CN"/>
              </w:rPr>
              <w:t>，</w:t>
            </w:r>
            <w:r>
              <w:rPr>
                <w:rStyle w:val="68"/>
                <w:rFonts w:hint="eastAsia"/>
                <w:color w:val="auto"/>
                <w:kern w:val="0"/>
                <w:highlight w:val="none"/>
              </w:rPr>
              <w:t>拟采用</w:t>
            </w:r>
            <w:r>
              <w:rPr>
                <w:color w:val="auto"/>
                <w:sz w:val="21"/>
                <w:szCs w:val="21"/>
                <w:highlight w:val="none"/>
              </w:rPr>
              <w:t>在现有的水泥硬化基础上新增2.0mmHDPE膜</w:t>
            </w:r>
            <w:r>
              <w:rPr>
                <w:color w:val="auto"/>
                <w:szCs w:val="21"/>
                <w:highlight w:val="none"/>
              </w:rPr>
              <w:t>进行防渗</w:t>
            </w:r>
            <w:r>
              <w:rPr>
                <w:rFonts w:hint="eastAsia"/>
                <w:color w:val="auto"/>
                <w:szCs w:val="21"/>
                <w:highlight w:val="none"/>
              </w:rPr>
              <w:t>；</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5</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restart"/>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环境风险</w:t>
            </w:r>
          </w:p>
        </w:tc>
        <w:tc>
          <w:tcPr>
            <w:tcW w:w="4221" w:type="dxa"/>
            <w:gridSpan w:val="2"/>
            <w:tcBorders>
              <w:tl2br w:val="nil"/>
              <w:tr2bl w:val="nil"/>
            </w:tcBorders>
            <w:vAlign w:val="center"/>
          </w:tcPr>
          <w:p>
            <w:pPr>
              <w:pStyle w:val="9"/>
              <w:adjustRightInd w:val="0"/>
              <w:snapToGrid w:val="0"/>
              <w:ind w:firstLine="0" w:firstLineChars="0"/>
              <w:jc w:val="center"/>
              <w:rPr>
                <w:color w:val="auto"/>
                <w:sz w:val="21"/>
                <w:szCs w:val="21"/>
                <w:highlight w:val="none"/>
              </w:rPr>
            </w:pPr>
            <w:r>
              <w:rPr>
                <w:color w:val="auto"/>
                <w:sz w:val="21"/>
                <w:szCs w:val="21"/>
                <w:highlight w:val="none"/>
                <w:lang w:val="zh-CN"/>
              </w:rPr>
              <w:t>生产车间</w:t>
            </w:r>
            <w:r>
              <w:rPr>
                <w:rFonts w:hint="eastAsia"/>
                <w:color w:val="auto"/>
                <w:sz w:val="21"/>
                <w:szCs w:val="21"/>
                <w:highlight w:val="none"/>
                <w:lang w:val="zh-CN"/>
              </w:rPr>
              <w:t>设有</w:t>
            </w:r>
            <w:r>
              <w:rPr>
                <w:color w:val="auto"/>
                <w:sz w:val="21"/>
                <w:szCs w:val="21"/>
                <w:highlight w:val="none"/>
                <w:lang w:val="zh-CN"/>
              </w:rPr>
              <w:t>明显的警示标志以及应急物品</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0.2</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720" w:type="dxa"/>
            <w:vMerge w:val="continue"/>
            <w:tcBorders>
              <w:tl2br w:val="nil"/>
              <w:tr2bl w:val="nil"/>
            </w:tcBorders>
            <w:vAlign w:val="center"/>
          </w:tcPr>
          <w:p>
            <w:pPr>
              <w:adjustRightInd w:val="0"/>
              <w:snapToGrid w:val="0"/>
              <w:jc w:val="center"/>
              <w:rPr>
                <w:bCs/>
                <w:color w:val="auto"/>
                <w:szCs w:val="21"/>
                <w:highlight w:val="none"/>
              </w:rPr>
            </w:pPr>
          </w:p>
        </w:tc>
        <w:tc>
          <w:tcPr>
            <w:tcW w:w="4221" w:type="dxa"/>
            <w:gridSpan w:val="2"/>
            <w:tcBorders>
              <w:tl2br w:val="nil"/>
              <w:tr2bl w:val="nil"/>
            </w:tcBorders>
            <w:vAlign w:val="center"/>
          </w:tcPr>
          <w:p>
            <w:pPr>
              <w:pStyle w:val="9"/>
              <w:adjustRightInd w:val="0"/>
              <w:snapToGrid w:val="0"/>
              <w:ind w:firstLine="0" w:firstLineChars="0"/>
              <w:jc w:val="center"/>
              <w:rPr>
                <w:color w:val="auto"/>
                <w:sz w:val="21"/>
                <w:szCs w:val="21"/>
                <w:highlight w:val="none"/>
              </w:rPr>
            </w:pPr>
            <w:r>
              <w:rPr>
                <w:color w:val="auto"/>
                <w:sz w:val="21"/>
                <w:szCs w:val="21"/>
                <w:highlight w:val="none"/>
                <w:lang w:val="zh-CN"/>
              </w:rPr>
              <w:t>制定突发环境事件应急预案</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1.8</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2205" w:type="dxa"/>
            <w:gridSpan w:val="2"/>
            <w:vMerge w:val="restart"/>
            <w:tcBorders>
              <w:tl2br w:val="nil"/>
              <w:tr2bl w:val="nil"/>
            </w:tcBorders>
            <w:vAlign w:val="center"/>
          </w:tcPr>
          <w:p>
            <w:pPr>
              <w:adjustRightInd w:val="0"/>
              <w:snapToGrid w:val="0"/>
              <w:jc w:val="center"/>
              <w:rPr>
                <w:color w:val="auto"/>
                <w:szCs w:val="21"/>
                <w:highlight w:val="none"/>
              </w:rPr>
            </w:pPr>
            <w:r>
              <w:rPr>
                <w:bCs/>
                <w:color w:val="auto"/>
                <w:szCs w:val="21"/>
                <w:highlight w:val="none"/>
              </w:rPr>
              <w:t>其他</w:t>
            </w:r>
          </w:p>
        </w:tc>
        <w:tc>
          <w:tcPr>
            <w:tcW w:w="2736" w:type="dxa"/>
            <w:tcBorders>
              <w:tl2br w:val="nil"/>
              <w:tr2bl w:val="nil"/>
            </w:tcBorders>
            <w:vAlign w:val="center"/>
          </w:tcPr>
          <w:p>
            <w:pPr>
              <w:adjustRightInd w:val="0"/>
              <w:snapToGrid w:val="0"/>
              <w:jc w:val="center"/>
              <w:textAlignment w:val="baseline"/>
              <w:rPr>
                <w:color w:val="auto"/>
                <w:szCs w:val="21"/>
                <w:highlight w:val="none"/>
              </w:rPr>
            </w:pPr>
            <w:r>
              <w:rPr>
                <w:color w:val="auto"/>
                <w:szCs w:val="21"/>
                <w:highlight w:val="none"/>
              </w:rPr>
              <w:t>环保标识设置</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数个</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1</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2205" w:type="dxa"/>
            <w:gridSpan w:val="2"/>
            <w:vMerge w:val="continue"/>
            <w:tcBorders>
              <w:tl2br w:val="nil"/>
              <w:tr2bl w:val="nil"/>
            </w:tcBorders>
            <w:vAlign w:val="center"/>
          </w:tcPr>
          <w:p>
            <w:pPr>
              <w:adjustRightInd w:val="0"/>
              <w:snapToGrid w:val="0"/>
              <w:jc w:val="center"/>
              <w:rPr>
                <w:bCs/>
                <w:color w:val="auto"/>
                <w:szCs w:val="21"/>
                <w:highlight w:val="none"/>
              </w:rPr>
            </w:pPr>
          </w:p>
        </w:tc>
        <w:tc>
          <w:tcPr>
            <w:tcW w:w="2736" w:type="dxa"/>
            <w:tcBorders>
              <w:tl2br w:val="nil"/>
              <w:tr2bl w:val="nil"/>
            </w:tcBorders>
            <w:vAlign w:val="center"/>
          </w:tcPr>
          <w:p>
            <w:pPr>
              <w:adjustRightInd w:val="0"/>
              <w:snapToGrid w:val="0"/>
              <w:jc w:val="center"/>
              <w:textAlignment w:val="baseline"/>
              <w:rPr>
                <w:color w:val="auto"/>
                <w:szCs w:val="21"/>
                <w:highlight w:val="none"/>
              </w:rPr>
            </w:pPr>
            <w:r>
              <w:rPr>
                <w:color w:val="auto"/>
                <w:szCs w:val="21"/>
                <w:highlight w:val="none"/>
              </w:rPr>
              <w:t>规范化排口</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1</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0" w:type="dxa"/>
            <w:vMerge w:val="continue"/>
            <w:tcBorders>
              <w:tl2br w:val="nil"/>
              <w:tr2bl w:val="nil"/>
            </w:tcBorders>
            <w:vAlign w:val="center"/>
          </w:tcPr>
          <w:p>
            <w:pPr>
              <w:adjustRightInd w:val="0"/>
              <w:snapToGrid w:val="0"/>
              <w:jc w:val="center"/>
              <w:rPr>
                <w:bCs/>
                <w:color w:val="auto"/>
                <w:szCs w:val="21"/>
                <w:highlight w:val="none"/>
              </w:rPr>
            </w:pPr>
          </w:p>
        </w:tc>
        <w:tc>
          <w:tcPr>
            <w:tcW w:w="2205" w:type="dxa"/>
            <w:gridSpan w:val="2"/>
            <w:vMerge w:val="continue"/>
            <w:tcBorders>
              <w:tl2br w:val="nil"/>
              <w:tr2bl w:val="nil"/>
            </w:tcBorders>
            <w:vAlign w:val="center"/>
          </w:tcPr>
          <w:p>
            <w:pPr>
              <w:adjustRightInd w:val="0"/>
              <w:snapToGrid w:val="0"/>
              <w:jc w:val="center"/>
              <w:rPr>
                <w:bCs/>
                <w:color w:val="auto"/>
                <w:szCs w:val="21"/>
                <w:highlight w:val="none"/>
              </w:rPr>
            </w:pPr>
          </w:p>
        </w:tc>
        <w:tc>
          <w:tcPr>
            <w:tcW w:w="2736" w:type="dxa"/>
            <w:tcBorders>
              <w:tl2br w:val="nil"/>
              <w:tr2bl w:val="nil"/>
            </w:tcBorders>
            <w:vAlign w:val="center"/>
          </w:tcPr>
          <w:p>
            <w:pPr>
              <w:adjustRightInd w:val="0"/>
              <w:snapToGrid w:val="0"/>
              <w:jc w:val="center"/>
              <w:textAlignment w:val="baseline"/>
              <w:rPr>
                <w:color w:val="auto"/>
                <w:szCs w:val="21"/>
                <w:highlight w:val="none"/>
              </w:rPr>
            </w:pPr>
            <w:r>
              <w:rPr>
                <w:color w:val="auto"/>
                <w:szCs w:val="21"/>
                <w:highlight w:val="none"/>
              </w:rPr>
              <w:t>环保监理及管理</w:t>
            </w:r>
          </w:p>
        </w:tc>
        <w:tc>
          <w:tcPr>
            <w:tcW w:w="960"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c>
          <w:tcPr>
            <w:tcW w:w="1149" w:type="dxa"/>
            <w:tcBorders>
              <w:tl2br w:val="nil"/>
              <w:tr2bl w:val="nil"/>
            </w:tcBorders>
            <w:vAlign w:val="center"/>
          </w:tcPr>
          <w:p>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5</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6301" w:type="dxa"/>
            <w:gridSpan w:val="5"/>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总计</w:t>
            </w:r>
          </w:p>
        </w:tc>
        <w:tc>
          <w:tcPr>
            <w:tcW w:w="1149" w:type="dxa"/>
            <w:tcBorders>
              <w:tl2br w:val="nil"/>
              <w:tr2bl w:val="nil"/>
            </w:tcBorders>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41.8</w:t>
            </w:r>
          </w:p>
        </w:tc>
        <w:tc>
          <w:tcPr>
            <w:tcW w:w="1072"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w:t>
            </w:r>
          </w:p>
        </w:tc>
      </w:tr>
    </w:tbl>
    <w:p>
      <w:pPr>
        <w:spacing w:line="360" w:lineRule="auto"/>
        <w:ind w:firstLine="480"/>
        <w:rPr>
          <w:bCs/>
          <w:color w:val="auto"/>
          <w:kern w:val="0"/>
          <w:sz w:val="24"/>
          <w:highlight w:val="none"/>
        </w:rPr>
      </w:pPr>
      <w:r>
        <w:rPr>
          <w:bCs/>
          <w:color w:val="auto"/>
          <w:kern w:val="0"/>
          <w:sz w:val="24"/>
          <w:highlight w:val="none"/>
        </w:rPr>
        <w:t>本项目总投资为</w:t>
      </w:r>
      <w:r>
        <w:rPr>
          <w:rFonts w:hint="eastAsia"/>
          <w:bCs/>
          <w:color w:val="auto"/>
          <w:kern w:val="0"/>
          <w:sz w:val="24"/>
          <w:highlight w:val="none"/>
          <w:lang w:val="en-US" w:eastAsia="zh-CN"/>
        </w:rPr>
        <w:t>500</w:t>
      </w:r>
      <w:r>
        <w:rPr>
          <w:bCs/>
          <w:color w:val="auto"/>
          <w:kern w:val="0"/>
          <w:sz w:val="24"/>
          <w:highlight w:val="none"/>
        </w:rPr>
        <w:t>万元，其中环保投资为</w:t>
      </w:r>
      <w:r>
        <w:rPr>
          <w:rFonts w:hint="eastAsia"/>
          <w:bCs/>
          <w:color w:val="auto"/>
          <w:kern w:val="0"/>
          <w:sz w:val="24"/>
          <w:highlight w:val="none"/>
          <w:lang w:val="en-US" w:eastAsia="zh-CN"/>
        </w:rPr>
        <w:t>41.8</w:t>
      </w:r>
      <w:r>
        <w:rPr>
          <w:bCs/>
          <w:color w:val="auto"/>
          <w:kern w:val="0"/>
          <w:sz w:val="24"/>
          <w:highlight w:val="none"/>
        </w:rPr>
        <w:t>万元，占总投资的</w:t>
      </w:r>
      <w:r>
        <w:rPr>
          <w:rFonts w:hint="eastAsia"/>
          <w:bCs/>
          <w:color w:val="auto"/>
          <w:kern w:val="0"/>
          <w:sz w:val="24"/>
          <w:highlight w:val="none"/>
          <w:lang w:val="en-US" w:eastAsia="zh-CN"/>
        </w:rPr>
        <w:t>8.36</w:t>
      </w:r>
      <w:r>
        <w:rPr>
          <w:bCs/>
          <w:color w:val="auto"/>
          <w:kern w:val="0"/>
          <w:sz w:val="24"/>
          <w:highlight w:val="none"/>
        </w:rPr>
        <w:t>%。</w:t>
      </w:r>
      <w:r>
        <w:rPr>
          <w:color w:val="auto"/>
          <w:sz w:val="24"/>
          <w:highlight w:val="none"/>
        </w:rPr>
        <w:t>建设资金全部为企业自筹。</w:t>
      </w:r>
    </w:p>
    <w:p>
      <w:pPr>
        <w:pStyle w:val="3"/>
        <w:spacing w:before="0" w:after="0" w:line="360" w:lineRule="auto"/>
        <w:ind w:left="0"/>
        <w:rPr>
          <w:rFonts w:ascii="Times New Roman" w:hAnsi="Times New Roman" w:eastAsia="宋体"/>
          <w:bCs w:val="0"/>
          <w:color w:val="auto"/>
          <w:highlight w:val="none"/>
        </w:rPr>
      </w:pPr>
      <w:bookmarkStart w:id="764" w:name="_Toc928"/>
      <w:bookmarkStart w:id="765" w:name="_Toc512245057"/>
      <w:bookmarkStart w:id="766" w:name="_Toc22769"/>
      <w:r>
        <w:rPr>
          <w:rFonts w:ascii="Times New Roman" w:hAnsi="Times New Roman" w:eastAsia="宋体"/>
          <w:bCs w:val="0"/>
          <w:color w:val="auto"/>
          <w:highlight w:val="none"/>
        </w:rPr>
        <w:t>9.2环境效益分析</w:t>
      </w:r>
      <w:bookmarkEnd w:id="764"/>
      <w:bookmarkEnd w:id="765"/>
      <w:bookmarkEnd w:id="766"/>
    </w:p>
    <w:p>
      <w:pPr>
        <w:spacing w:line="360" w:lineRule="auto"/>
        <w:ind w:firstLine="480" w:firstLineChars="200"/>
        <w:jc w:val="left"/>
        <w:rPr>
          <w:color w:val="auto"/>
          <w:sz w:val="24"/>
          <w:highlight w:val="none"/>
        </w:rPr>
      </w:pPr>
      <w:r>
        <w:rPr>
          <w:color w:val="auto"/>
          <w:sz w:val="24"/>
          <w:highlight w:val="none"/>
        </w:rPr>
        <w:t>根据上表估算结果，本项目计划环保投资</w:t>
      </w:r>
      <w:r>
        <w:rPr>
          <w:rFonts w:hint="eastAsia"/>
          <w:color w:val="auto"/>
          <w:sz w:val="24"/>
          <w:highlight w:val="none"/>
          <w:lang w:val="en-US" w:eastAsia="zh-CN"/>
        </w:rPr>
        <w:t>41.8</w:t>
      </w:r>
      <w:r>
        <w:rPr>
          <w:color w:val="auto"/>
          <w:sz w:val="24"/>
          <w:highlight w:val="none"/>
        </w:rPr>
        <w:t>万元，占项目投资总额的</w:t>
      </w:r>
      <w:r>
        <w:rPr>
          <w:rFonts w:hint="eastAsia"/>
          <w:color w:val="auto"/>
          <w:sz w:val="24"/>
          <w:highlight w:val="none"/>
          <w:lang w:val="en-US" w:eastAsia="zh-CN"/>
        </w:rPr>
        <w:t>8.36</w:t>
      </w:r>
      <w:r>
        <w:rPr>
          <w:color w:val="auto"/>
          <w:sz w:val="24"/>
          <w:highlight w:val="none"/>
        </w:rPr>
        <w:t>%。通过各项环境保护措施的实施，本项目各项污染物有了不同程度的下降，对于区域环境空气质量及地表水环境质量的改善，将起到积极的促进作用。由此可见，本项目的环保投资保证了项目的污染物排放浓度均能达标，环境效益显著。</w:t>
      </w:r>
    </w:p>
    <w:p>
      <w:pPr>
        <w:spacing w:line="360" w:lineRule="auto"/>
        <w:ind w:firstLine="480" w:firstLineChars="200"/>
        <w:jc w:val="left"/>
        <w:rPr>
          <w:color w:val="auto"/>
          <w:sz w:val="24"/>
          <w:highlight w:val="none"/>
        </w:rPr>
      </w:pPr>
      <w:r>
        <w:rPr>
          <w:color w:val="auto"/>
          <w:sz w:val="24"/>
          <w:highlight w:val="none"/>
        </w:rPr>
        <w:t>由工程分析和环保措施经济技术论证可知，项目运营过程中每年会产生一定量的废水、废气及固体废物等。采取相应措施后，项目废水回用</w:t>
      </w:r>
      <w:r>
        <w:rPr>
          <w:rFonts w:hint="eastAsia"/>
          <w:color w:val="auto"/>
          <w:sz w:val="24"/>
          <w:highlight w:val="none"/>
          <w:lang w:val="en-US" w:eastAsia="zh-CN"/>
        </w:rPr>
        <w:t>或清运至水质净化厂</w:t>
      </w:r>
      <w:r>
        <w:rPr>
          <w:color w:val="auto"/>
          <w:sz w:val="24"/>
          <w:highlight w:val="none"/>
        </w:rPr>
        <w:t>，不外排，废气均可达标排放，厂界噪声满足标准要求，固体废物得到安全处置。通过各种治理措施削减后，污染物浓度及排放量大大降低，从而带来一定的环境效益。</w:t>
      </w:r>
    </w:p>
    <w:p>
      <w:pPr>
        <w:spacing w:line="360" w:lineRule="auto"/>
        <w:ind w:firstLine="480" w:firstLineChars="200"/>
        <w:jc w:val="left"/>
        <w:rPr>
          <w:color w:val="auto"/>
          <w:sz w:val="24"/>
          <w:highlight w:val="none"/>
        </w:rPr>
      </w:pPr>
      <w:r>
        <w:rPr>
          <w:color w:val="auto"/>
          <w:sz w:val="24"/>
          <w:highlight w:val="none"/>
        </w:rPr>
        <w:t>环保投资的经济效益分为直接和间接经济效益，直接经济效益主要表现为污染物综合利用和节约资源产生的效益，间接经济效益主要是减少污染排放对环境产生的长期累计效益。由于间接</w:t>
      </w:r>
      <w:r>
        <w:rPr>
          <w:rFonts w:hint="eastAsia"/>
          <w:color w:val="auto"/>
          <w:sz w:val="24"/>
          <w:highlight w:val="none"/>
          <w:lang w:eastAsia="zh-CN"/>
        </w:rPr>
        <w:t>效益难以</w:t>
      </w:r>
      <w:r>
        <w:rPr>
          <w:color w:val="auto"/>
          <w:sz w:val="24"/>
          <w:highlight w:val="none"/>
        </w:rPr>
        <w:t>直接以经济衡量，本次只对直接经济效益进行分析。</w:t>
      </w:r>
    </w:p>
    <w:p>
      <w:pPr>
        <w:spacing w:line="360" w:lineRule="auto"/>
        <w:ind w:firstLine="480" w:firstLineChars="200"/>
        <w:jc w:val="left"/>
        <w:rPr>
          <w:color w:val="auto"/>
          <w:sz w:val="24"/>
          <w:highlight w:val="none"/>
        </w:rPr>
      </w:pPr>
      <w:r>
        <w:rPr>
          <w:color w:val="auto"/>
          <w:sz w:val="24"/>
          <w:highlight w:val="none"/>
        </w:rPr>
        <w:t>本项目回收的一般固废可外售</w:t>
      </w:r>
      <w:r>
        <w:rPr>
          <w:rFonts w:hint="eastAsia"/>
          <w:color w:val="auto"/>
          <w:sz w:val="24"/>
          <w:highlight w:val="none"/>
          <w:lang w:val="en-US" w:eastAsia="zh-CN"/>
        </w:rPr>
        <w:t>废品回收站</w:t>
      </w:r>
      <w:r>
        <w:rPr>
          <w:color w:val="auto"/>
          <w:sz w:val="24"/>
          <w:highlight w:val="none"/>
        </w:rPr>
        <w:t>，此部分费用可弥补部分环保设施的经营支出。如果考虑环保设施投入减少了对外环境排放的污染物，由此将带来环境改善、生态效益、居民居住环境的改善等积极影响，环保设施取得的经济效益是远远大于投入的，有着长远的环境和经济效益。</w:t>
      </w:r>
    </w:p>
    <w:p>
      <w:pPr>
        <w:pStyle w:val="3"/>
        <w:spacing w:before="0" w:after="0" w:line="360" w:lineRule="auto"/>
        <w:ind w:left="0"/>
        <w:rPr>
          <w:rFonts w:ascii="Times New Roman" w:hAnsi="Times New Roman" w:eastAsia="宋体"/>
          <w:bCs w:val="0"/>
          <w:color w:val="auto"/>
          <w:highlight w:val="none"/>
        </w:rPr>
      </w:pPr>
      <w:bookmarkStart w:id="767" w:name="_Toc27764"/>
      <w:bookmarkStart w:id="768" w:name="_Toc16000"/>
      <w:r>
        <w:rPr>
          <w:rFonts w:hint="eastAsia" w:ascii="Times New Roman" w:hAnsi="Times New Roman" w:eastAsia="宋体"/>
          <w:bCs w:val="0"/>
          <w:color w:val="auto"/>
          <w:highlight w:val="none"/>
        </w:rPr>
        <w:t>9</w:t>
      </w:r>
      <w:r>
        <w:rPr>
          <w:rFonts w:ascii="Times New Roman" w:hAnsi="Times New Roman" w:eastAsia="宋体"/>
          <w:bCs w:val="0"/>
          <w:color w:val="auto"/>
          <w:highlight w:val="none"/>
        </w:rPr>
        <w:t>.3社会效益分析</w:t>
      </w:r>
      <w:bookmarkEnd w:id="767"/>
      <w:bookmarkEnd w:id="768"/>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bookmarkStart w:id="769" w:name="_Toc4512"/>
      <w:r>
        <w:rPr>
          <w:rFonts w:hint="eastAsia" w:ascii="Times New Roman" w:hAnsi="Times New Roman" w:eastAsia="宋体" w:cs="Times New Roman"/>
          <w:color w:val="auto"/>
          <w:sz w:val="24"/>
          <w:highlight w:val="none"/>
          <w:lang w:val="en-US" w:eastAsia="zh-CN"/>
        </w:rPr>
        <w:t>项目年产50万个塑料框，塑料框主要用作蔬菜及水果储运箱，有利于寻甸县现代农业的发展。此外，项目的建设提供了就业岗位，可缓解当地就业压力，项目的建设具有一定的社会效益。</w:t>
      </w:r>
    </w:p>
    <w:p>
      <w:pPr>
        <w:pStyle w:val="3"/>
        <w:spacing w:before="0" w:after="0" w:line="360" w:lineRule="auto"/>
        <w:ind w:left="0"/>
        <w:rPr>
          <w:rFonts w:ascii="Times New Roman" w:hAnsi="Times New Roman" w:eastAsia="宋体"/>
          <w:bCs w:val="0"/>
          <w:color w:val="auto"/>
          <w:highlight w:val="none"/>
        </w:rPr>
      </w:pPr>
      <w:bookmarkStart w:id="770" w:name="_Toc12269"/>
      <w:r>
        <w:rPr>
          <w:rFonts w:hint="eastAsia" w:ascii="Times New Roman" w:hAnsi="Times New Roman" w:eastAsia="宋体"/>
          <w:bCs w:val="0"/>
          <w:color w:val="auto"/>
          <w:highlight w:val="none"/>
        </w:rPr>
        <w:t>9</w:t>
      </w:r>
      <w:r>
        <w:rPr>
          <w:rFonts w:ascii="Times New Roman" w:hAnsi="Times New Roman" w:eastAsia="宋体"/>
          <w:bCs w:val="0"/>
          <w:color w:val="auto"/>
          <w:highlight w:val="none"/>
        </w:rPr>
        <w:t>.4小结</w:t>
      </w:r>
      <w:bookmarkEnd w:id="769"/>
      <w:bookmarkEnd w:id="770"/>
    </w:p>
    <w:p>
      <w:pPr>
        <w:spacing w:line="360" w:lineRule="auto"/>
        <w:ind w:firstLine="480" w:firstLineChars="200"/>
        <w:rPr>
          <w:b/>
          <w:color w:val="auto"/>
          <w:sz w:val="24"/>
          <w:highlight w:val="none"/>
        </w:rPr>
      </w:pPr>
      <w:r>
        <w:rPr>
          <w:color w:val="auto"/>
          <w:sz w:val="24"/>
          <w:highlight w:val="none"/>
        </w:rPr>
        <w:t>该项目运用后，经济效益显著，社会效益明显。本环评要求投入</w:t>
      </w:r>
      <w:r>
        <w:rPr>
          <w:rFonts w:hint="eastAsia"/>
          <w:bCs/>
          <w:color w:val="auto"/>
          <w:kern w:val="0"/>
          <w:sz w:val="24"/>
          <w:highlight w:val="none"/>
          <w:lang w:val="en-US" w:eastAsia="zh-CN"/>
        </w:rPr>
        <w:t>41.8</w:t>
      </w:r>
      <w:r>
        <w:rPr>
          <w:color w:val="auto"/>
          <w:sz w:val="24"/>
          <w:highlight w:val="none"/>
        </w:rPr>
        <w:t>万元进行环境治理，能有效的保护环境而不致使当地环境功能发生变化。投入上述环保投资对建设项目的经济效益无影响，还能有效减少该项目的污染物排放，减轻项目建设所带来的环境污染，可最大限度减少发生环境污染事故的概率。</w:t>
      </w:r>
    </w:p>
    <w:p>
      <w:pPr>
        <w:spacing w:line="360" w:lineRule="auto"/>
        <w:rPr>
          <w:color w:val="auto"/>
          <w:highlight w:val="none"/>
        </w:rPr>
      </w:pPr>
    </w:p>
    <w:p>
      <w:pPr>
        <w:spacing w:line="360" w:lineRule="auto"/>
        <w:rPr>
          <w:color w:val="auto"/>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pStyle w:val="2"/>
        <w:tabs>
          <w:tab w:val="left" w:pos="4140"/>
        </w:tabs>
        <w:spacing w:before="0" w:after="0" w:line="360" w:lineRule="auto"/>
        <w:rPr>
          <w:color w:val="auto"/>
          <w:sz w:val="32"/>
          <w:highlight w:val="none"/>
        </w:rPr>
      </w:pPr>
      <w:bookmarkStart w:id="771" w:name="_Toc15878"/>
      <w:bookmarkStart w:id="772" w:name="_Toc367282278"/>
      <w:bookmarkStart w:id="773" w:name="_Toc341369714"/>
      <w:bookmarkStart w:id="774" w:name="_Toc367281695"/>
      <w:bookmarkStart w:id="775" w:name="_Toc275730696"/>
      <w:bookmarkStart w:id="776" w:name="_Toc75908755"/>
      <w:r>
        <w:rPr>
          <w:color w:val="auto"/>
          <w:sz w:val="32"/>
          <w:highlight w:val="none"/>
        </w:rPr>
        <w:t>10、环境管理与监测计划</w:t>
      </w:r>
      <w:bookmarkEnd w:id="771"/>
      <w:bookmarkEnd w:id="772"/>
      <w:bookmarkEnd w:id="773"/>
      <w:bookmarkEnd w:id="774"/>
      <w:bookmarkEnd w:id="775"/>
      <w:bookmarkEnd w:id="776"/>
    </w:p>
    <w:p>
      <w:pPr>
        <w:keepNext/>
        <w:keepLines/>
        <w:spacing w:line="360" w:lineRule="auto"/>
        <w:outlineLvl w:val="1"/>
        <w:rPr>
          <w:b/>
          <w:color w:val="auto"/>
          <w:sz w:val="28"/>
          <w:szCs w:val="32"/>
          <w:highlight w:val="none"/>
        </w:rPr>
      </w:pPr>
      <w:bookmarkStart w:id="777" w:name="_Toc75908756"/>
      <w:bookmarkStart w:id="778" w:name="_Toc272301757"/>
      <w:bookmarkStart w:id="779" w:name="_Toc341369715"/>
      <w:bookmarkStart w:id="780" w:name="_Toc367282279"/>
      <w:bookmarkStart w:id="781" w:name="_Toc367281696"/>
      <w:bookmarkStart w:id="782" w:name="_Toc275730697"/>
      <w:bookmarkStart w:id="783" w:name="_Toc275002336"/>
      <w:bookmarkStart w:id="784" w:name="_Toc21129"/>
      <w:bookmarkStart w:id="785" w:name="_Toc64276415"/>
      <w:r>
        <w:rPr>
          <w:b/>
          <w:color w:val="auto"/>
          <w:sz w:val="28"/>
          <w:szCs w:val="32"/>
          <w:highlight w:val="none"/>
        </w:rPr>
        <w:t>10.1 环境管理</w:t>
      </w:r>
      <w:bookmarkEnd w:id="777"/>
      <w:bookmarkEnd w:id="778"/>
      <w:bookmarkEnd w:id="779"/>
      <w:bookmarkEnd w:id="780"/>
      <w:bookmarkEnd w:id="781"/>
      <w:bookmarkEnd w:id="782"/>
      <w:bookmarkEnd w:id="783"/>
      <w:bookmarkEnd w:id="784"/>
    </w:p>
    <w:p>
      <w:pPr>
        <w:spacing w:line="360" w:lineRule="auto"/>
        <w:ind w:firstLine="480"/>
        <w:rPr>
          <w:color w:val="auto"/>
          <w:sz w:val="24"/>
          <w:szCs w:val="20"/>
          <w:highlight w:val="none"/>
        </w:rPr>
      </w:pPr>
      <w:r>
        <w:rPr>
          <w:color w:val="auto"/>
          <w:sz w:val="24"/>
          <w:szCs w:val="20"/>
          <w:highlight w:val="none"/>
        </w:rPr>
        <w:t>为最大限度的减少项目运营期废气污染对周边环境空气保护目标的影响，建设单位应加强对环保设施的运营管理，定期检查设施运行状况，及时进行维护、维修，尽可能杜绝非正常工况下的排放；定期开展监测，对项目产生的污染物的达标情况进行跟踪分析；积极配合环保行政主管部门监督管理工作的开展，做好周边民众的答疑、沟通工作，一旦发生环境污染事故，应立即启动应急预案并及时通报相关政府部门，按照应急预案要求做好事故处理工作。项目环境管理具体要求如下：</w:t>
      </w:r>
    </w:p>
    <w:p>
      <w:pPr>
        <w:spacing w:line="360" w:lineRule="auto"/>
        <w:ind w:firstLine="480"/>
        <w:rPr>
          <w:color w:val="auto"/>
          <w:sz w:val="24"/>
          <w:szCs w:val="20"/>
          <w:highlight w:val="none"/>
        </w:rPr>
      </w:pPr>
      <w:r>
        <w:rPr>
          <w:color w:val="auto"/>
          <w:sz w:val="24"/>
          <w:szCs w:val="20"/>
          <w:highlight w:val="none"/>
        </w:rPr>
        <w:t>（1）建立健全环境管理制度。</w:t>
      </w:r>
    </w:p>
    <w:p>
      <w:pPr>
        <w:spacing w:line="360" w:lineRule="auto"/>
        <w:ind w:firstLine="480"/>
        <w:rPr>
          <w:color w:val="auto"/>
          <w:sz w:val="24"/>
          <w:szCs w:val="20"/>
          <w:highlight w:val="none"/>
        </w:rPr>
      </w:pPr>
      <w:r>
        <w:rPr>
          <w:color w:val="auto"/>
          <w:sz w:val="24"/>
          <w:szCs w:val="20"/>
          <w:highlight w:val="none"/>
        </w:rPr>
        <w:t>（2）要加强环保宣传，提高全体员工的清洁生产意识。加强职业技术培训，提高环境管理人员的技术水平，以适应现代化生产管理的需要。</w:t>
      </w:r>
    </w:p>
    <w:p>
      <w:pPr>
        <w:spacing w:line="360" w:lineRule="auto"/>
        <w:ind w:firstLine="480"/>
        <w:rPr>
          <w:color w:val="auto"/>
          <w:sz w:val="24"/>
          <w:szCs w:val="20"/>
          <w:highlight w:val="none"/>
        </w:rPr>
      </w:pPr>
      <w:r>
        <w:rPr>
          <w:color w:val="auto"/>
          <w:sz w:val="24"/>
          <w:szCs w:val="20"/>
          <w:highlight w:val="none"/>
        </w:rPr>
        <w:t>（3）加强监测数据的统计管理，建立完善的污染源及污染物排放档案、数据记录</w:t>
      </w:r>
      <w:r>
        <w:rPr>
          <w:rFonts w:hint="eastAsia"/>
          <w:color w:val="auto"/>
          <w:sz w:val="24"/>
          <w:szCs w:val="20"/>
          <w:highlight w:val="none"/>
          <w:lang w:eastAsia="zh-CN"/>
        </w:rPr>
        <w:t>台账</w:t>
      </w:r>
      <w:r>
        <w:rPr>
          <w:color w:val="auto"/>
          <w:sz w:val="24"/>
          <w:szCs w:val="20"/>
          <w:highlight w:val="none"/>
        </w:rPr>
        <w:t>，制定总量控制指标，并纳入各级生产组织的经济考核体系，严格控制污染物排放总量。</w:t>
      </w:r>
    </w:p>
    <w:bookmarkEnd w:id="785"/>
    <w:p>
      <w:pPr>
        <w:keepNext/>
        <w:keepLines/>
        <w:spacing w:line="360" w:lineRule="auto"/>
        <w:outlineLvl w:val="1"/>
        <w:rPr>
          <w:b/>
          <w:color w:val="auto"/>
          <w:sz w:val="28"/>
          <w:szCs w:val="32"/>
          <w:highlight w:val="none"/>
        </w:rPr>
      </w:pPr>
      <w:bookmarkStart w:id="786" w:name="_Toc75908757"/>
      <w:bookmarkStart w:id="787" w:name="_Toc26311"/>
      <w:bookmarkStart w:id="788" w:name="_Toc275002340"/>
      <w:bookmarkStart w:id="789" w:name="_Toc367282283"/>
      <w:bookmarkStart w:id="790" w:name="_Toc367281700"/>
      <w:bookmarkStart w:id="791" w:name="_Toc275730701"/>
      <w:bookmarkStart w:id="792" w:name="_Toc233029263"/>
      <w:bookmarkStart w:id="793" w:name="_Toc272301761"/>
      <w:bookmarkStart w:id="794" w:name="_Toc341369719"/>
      <w:bookmarkStart w:id="795" w:name="_Toc112228111"/>
      <w:r>
        <w:rPr>
          <w:b/>
          <w:color w:val="auto"/>
          <w:sz w:val="28"/>
          <w:szCs w:val="32"/>
          <w:highlight w:val="none"/>
        </w:rPr>
        <w:t>10.2 污染物排放管理要求</w:t>
      </w:r>
      <w:bookmarkEnd w:id="786"/>
      <w:bookmarkEnd w:id="787"/>
    </w:p>
    <w:p>
      <w:pPr>
        <w:keepNext/>
        <w:keepLines/>
        <w:spacing w:line="360" w:lineRule="auto"/>
        <w:outlineLvl w:val="2"/>
        <w:rPr>
          <w:b/>
          <w:bCs/>
          <w:color w:val="auto"/>
          <w:sz w:val="24"/>
          <w:highlight w:val="none"/>
        </w:rPr>
      </w:pPr>
      <w:bookmarkStart w:id="796" w:name="_Toc75908758"/>
      <w:bookmarkStart w:id="797" w:name="_Toc18987"/>
      <w:r>
        <w:rPr>
          <w:b/>
          <w:bCs/>
          <w:color w:val="auto"/>
          <w:sz w:val="24"/>
          <w:highlight w:val="none"/>
        </w:rPr>
        <w:t>10.2.1 污染物排放清单</w:t>
      </w:r>
      <w:bookmarkEnd w:id="796"/>
      <w:bookmarkEnd w:id="797"/>
    </w:p>
    <w:p>
      <w:pPr>
        <w:spacing w:line="360" w:lineRule="auto"/>
        <w:ind w:firstLine="480"/>
        <w:rPr>
          <w:color w:val="auto"/>
          <w:sz w:val="24"/>
          <w:highlight w:val="none"/>
        </w:rPr>
      </w:pPr>
      <w:r>
        <w:rPr>
          <w:color w:val="auto"/>
          <w:sz w:val="24"/>
          <w:highlight w:val="none"/>
        </w:rPr>
        <w:t>根据项目排放污染物种类、污染防治措施等，评价列出了本项目污染物排放及相应管理要求清单。</w:t>
      </w:r>
    </w:p>
    <w:p>
      <w:pPr>
        <w:pStyle w:val="470"/>
        <w:spacing w:beforeLines="0" w:afterLines="0"/>
        <w:ind w:left="0" w:leftChars="0" w:firstLine="482"/>
        <w:outlineLvl w:val="3"/>
        <w:rPr>
          <w:rFonts w:ascii="Times New Roman" w:hAnsi="Times New Roman"/>
          <w:color w:val="auto"/>
          <w:sz w:val="24"/>
          <w:highlight w:val="none"/>
        </w:rPr>
      </w:pPr>
      <w:r>
        <w:rPr>
          <w:rFonts w:ascii="Times New Roman" w:hAnsi="Times New Roman"/>
          <w:color w:val="auto"/>
          <w:sz w:val="24"/>
          <w:highlight w:val="none"/>
        </w:rPr>
        <w:t>10.2.1.1 废气</w:t>
      </w:r>
    </w:p>
    <w:p>
      <w:pPr>
        <w:spacing w:line="360" w:lineRule="auto"/>
        <w:ind w:firstLine="480" w:firstLineChars="200"/>
        <w:jc w:val="left"/>
        <w:rPr>
          <w:color w:val="auto"/>
          <w:sz w:val="24"/>
          <w:highlight w:val="none"/>
        </w:rPr>
      </w:pPr>
      <w:r>
        <w:rPr>
          <w:color w:val="auto"/>
          <w:sz w:val="24"/>
          <w:highlight w:val="none"/>
        </w:rPr>
        <w:t>（1）有组织排放量核算</w:t>
      </w:r>
    </w:p>
    <w:p>
      <w:pPr>
        <w:spacing w:line="360" w:lineRule="auto"/>
        <w:jc w:val="center"/>
        <w:rPr>
          <w:b/>
          <w:snapToGrid w:val="0"/>
          <w:color w:val="auto"/>
          <w:sz w:val="24"/>
          <w:highlight w:val="none"/>
        </w:rPr>
      </w:pPr>
      <w:r>
        <w:rPr>
          <w:b/>
          <w:snapToGrid w:val="0"/>
          <w:color w:val="auto"/>
          <w:sz w:val="24"/>
          <w:highlight w:val="none"/>
        </w:rPr>
        <w:t>表10.2-1  大气污染物有组织排放量核算表</w:t>
      </w:r>
    </w:p>
    <w:tbl>
      <w:tblPr>
        <w:tblStyle w:val="55"/>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2672"/>
        <w:gridCol w:w="1231"/>
        <w:gridCol w:w="1290"/>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6" w:type="dxa"/>
            <w:shd w:val="clear" w:color="auto" w:fill="auto"/>
            <w:vAlign w:val="center"/>
          </w:tcPr>
          <w:p>
            <w:pPr>
              <w:jc w:val="center"/>
              <w:rPr>
                <w:color w:val="auto"/>
                <w:szCs w:val="21"/>
                <w:highlight w:val="none"/>
              </w:rPr>
            </w:pPr>
            <w:r>
              <w:rPr>
                <w:color w:val="auto"/>
                <w:szCs w:val="21"/>
                <w:highlight w:val="none"/>
              </w:rPr>
              <w:t>排放口编号</w:t>
            </w:r>
          </w:p>
        </w:tc>
        <w:tc>
          <w:tcPr>
            <w:tcW w:w="2672" w:type="dxa"/>
            <w:shd w:val="clear" w:color="auto" w:fill="auto"/>
            <w:vAlign w:val="center"/>
          </w:tcPr>
          <w:p>
            <w:pPr>
              <w:jc w:val="center"/>
              <w:rPr>
                <w:color w:val="auto"/>
                <w:szCs w:val="21"/>
                <w:highlight w:val="none"/>
              </w:rPr>
            </w:pPr>
            <w:r>
              <w:rPr>
                <w:color w:val="auto"/>
                <w:szCs w:val="21"/>
                <w:highlight w:val="none"/>
              </w:rPr>
              <w:t>污染物</w:t>
            </w:r>
          </w:p>
        </w:tc>
        <w:tc>
          <w:tcPr>
            <w:tcW w:w="1231" w:type="dxa"/>
            <w:shd w:val="clear" w:color="auto" w:fill="auto"/>
            <w:vAlign w:val="center"/>
          </w:tcPr>
          <w:p>
            <w:pPr>
              <w:jc w:val="center"/>
              <w:rPr>
                <w:color w:val="auto"/>
                <w:szCs w:val="21"/>
                <w:highlight w:val="none"/>
              </w:rPr>
            </w:pPr>
            <w:r>
              <w:rPr>
                <w:color w:val="auto"/>
                <w:szCs w:val="21"/>
                <w:highlight w:val="none"/>
              </w:rPr>
              <w:t>排放量</w:t>
            </w:r>
          </w:p>
          <w:p>
            <w:pPr>
              <w:jc w:val="center"/>
              <w:rPr>
                <w:color w:val="auto"/>
                <w:szCs w:val="21"/>
                <w:highlight w:val="none"/>
              </w:rPr>
            </w:pPr>
            <w:r>
              <w:rPr>
                <w:color w:val="auto"/>
                <w:szCs w:val="21"/>
                <w:highlight w:val="none"/>
              </w:rPr>
              <w:t>（t/a）</w:t>
            </w:r>
          </w:p>
        </w:tc>
        <w:tc>
          <w:tcPr>
            <w:tcW w:w="1290" w:type="dxa"/>
            <w:shd w:val="clear" w:color="auto" w:fill="auto"/>
            <w:vAlign w:val="center"/>
          </w:tcPr>
          <w:p>
            <w:pPr>
              <w:jc w:val="center"/>
              <w:rPr>
                <w:color w:val="auto"/>
                <w:szCs w:val="21"/>
                <w:highlight w:val="none"/>
              </w:rPr>
            </w:pPr>
            <w:r>
              <w:rPr>
                <w:color w:val="auto"/>
                <w:szCs w:val="21"/>
                <w:highlight w:val="none"/>
              </w:rPr>
              <w:t>排放速率</w:t>
            </w:r>
          </w:p>
          <w:p>
            <w:pPr>
              <w:jc w:val="center"/>
              <w:rPr>
                <w:color w:val="auto"/>
                <w:szCs w:val="21"/>
                <w:highlight w:val="none"/>
              </w:rPr>
            </w:pPr>
            <w:r>
              <w:rPr>
                <w:color w:val="auto"/>
                <w:szCs w:val="21"/>
                <w:highlight w:val="none"/>
              </w:rPr>
              <w:t>（kg/h）</w:t>
            </w:r>
          </w:p>
        </w:tc>
        <w:tc>
          <w:tcPr>
            <w:tcW w:w="1577" w:type="dxa"/>
            <w:shd w:val="clear" w:color="auto" w:fill="auto"/>
            <w:vAlign w:val="center"/>
          </w:tcPr>
          <w:p>
            <w:pPr>
              <w:jc w:val="center"/>
              <w:rPr>
                <w:color w:val="auto"/>
                <w:szCs w:val="21"/>
                <w:highlight w:val="none"/>
              </w:rPr>
            </w:pPr>
            <w:r>
              <w:rPr>
                <w:color w:val="auto"/>
                <w:szCs w:val="21"/>
                <w:highlight w:val="none"/>
              </w:rPr>
              <w:t>排放浓度</w:t>
            </w:r>
          </w:p>
          <w:p>
            <w:pPr>
              <w:jc w:val="center"/>
              <w:rPr>
                <w:color w:val="auto"/>
                <w:szCs w:val="21"/>
                <w:highlight w:val="none"/>
              </w:rPr>
            </w:pPr>
            <w:r>
              <w:rPr>
                <w:color w:val="auto"/>
                <w:szCs w:val="21"/>
                <w:highlight w:val="none"/>
              </w:rPr>
              <w:t>（mg/m</w:t>
            </w:r>
            <w:r>
              <w:rPr>
                <w:color w:val="auto"/>
                <w:szCs w:val="21"/>
                <w:highlight w:val="none"/>
                <w:vertAlign w:val="superscript"/>
              </w:rPr>
              <w:t>3</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6" w:type="dxa"/>
            <w:shd w:val="clear" w:color="auto" w:fill="auto"/>
            <w:vAlign w:val="center"/>
          </w:tcPr>
          <w:p>
            <w:pPr>
              <w:jc w:val="center"/>
              <w:rPr>
                <w:bCs/>
                <w:color w:val="auto"/>
                <w:szCs w:val="21"/>
                <w:highlight w:val="none"/>
              </w:rPr>
            </w:pPr>
            <w:r>
              <w:rPr>
                <w:bCs/>
                <w:color w:val="auto"/>
                <w:szCs w:val="21"/>
                <w:highlight w:val="none"/>
              </w:rPr>
              <w:t>G1</w:t>
            </w:r>
          </w:p>
          <w:p>
            <w:pPr>
              <w:jc w:val="center"/>
              <w:rPr>
                <w:color w:val="auto"/>
                <w:szCs w:val="21"/>
                <w:highlight w:val="none"/>
              </w:rPr>
            </w:pPr>
            <w:r>
              <w:rPr>
                <w:bCs/>
                <w:color w:val="auto"/>
                <w:szCs w:val="21"/>
                <w:highlight w:val="none"/>
              </w:rPr>
              <w:t>（1#排气筒）</w:t>
            </w:r>
          </w:p>
        </w:tc>
        <w:tc>
          <w:tcPr>
            <w:tcW w:w="2672" w:type="dxa"/>
            <w:shd w:val="clear" w:color="auto" w:fill="auto"/>
            <w:vAlign w:val="center"/>
          </w:tcPr>
          <w:p>
            <w:pPr>
              <w:jc w:val="center"/>
              <w:rPr>
                <w:color w:val="auto"/>
                <w:szCs w:val="21"/>
                <w:highlight w:val="none"/>
              </w:rPr>
            </w:pPr>
            <w:r>
              <w:rPr>
                <w:color w:val="auto"/>
                <w:szCs w:val="21"/>
                <w:highlight w:val="none"/>
              </w:rPr>
              <w:t>有机废气（非甲烷总烃）</w:t>
            </w:r>
          </w:p>
        </w:tc>
        <w:tc>
          <w:tcPr>
            <w:tcW w:w="1231"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0.6075</w:t>
            </w:r>
          </w:p>
        </w:tc>
        <w:tc>
          <w:tcPr>
            <w:tcW w:w="1290"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0.253</w:t>
            </w:r>
          </w:p>
        </w:tc>
        <w:tc>
          <w:tcPr>
            <w:tcW w:w="1577" w:type="dxa"/>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35.156</w:t>
            </w:r>
          </w:p>
        </w:tc>
      </w:tr>
    </w:tbl>
    <w:p>
      <w:pPr>
        <w:spacing w:line="360" w:lineRule="auto"/>
        <w:ind w:firstLine="482"/>
        <w:jc w:val="left"/>
        <w:rPr>
          <w:color w:val="auto"/>
          <w:sz w:val="24"/>
          <w:highlight w:val="none"/>
        </w:rPr>
      </w:pPr>
      <w:r>
        <w:rPr>
          <w:color w:val="auto"/>
          <w:sz w:val="24"/>
          <w:highlight w:val="none"/>
        </w:rPr>
        <w:t>（2）无组织排放量核算</w:t>
      </w:r>
    </w:p>
    <w:p>
      <w:pPr>
        <w:pStyle w:val="506"/>
        <w:spacing w:line="360" w:lineRule="auto"/>
        <w:rPr>
          <w:rFonts w:ascii="Times New Roman" w:hAnsi="Times New Roman"/>
          <w:snapToGrid w:val="0"/>
          <w:color w:val="auto"/>
          <w:sz w:val="24"/>
          <w:highlight w:val="none"/>
        </w:rPr>
      </w:pPr>
    </w:p>
    <w:p>
      <w:pPr>
        <w:pStyle w:val="506"/>
        <w:spacing w:line="360" w:lineRule="auto"/>
        <w:rPr>
          <w:rFonts w:ascii="Times New Roman" w:hAnsi="Times New Roman"/>
          <w:snapToGrid w:val="0"/>
          <w:color w:val="auto"/>
          <w:sz w:val="24"/>
          <w:highlight w:val="none"/>
        </w:rPr>
      </w:pPr>
    </w:p>
    <w:p>
      <w:pPr>
        <w:pStyle w:val="506"/>
        <w:spacing w:line="360" w:lineRule="auto"/>
        <w:rPr>
          <w:rFonts w:ascii="Times New Roman" w:hAnsi="Times New Roman"/>
          <w:snapToGrid w:val="0"/>
          <w:color w:val="auto"/>
          <w:sz w:val="24"/>
          <w:highlight w:val="none"/>
        </w:rPr>
      </w:pPr>
    </w:p>
    <w:p>
      <w:pPr>
        <w:pStyle w:val="506"/>
        <w:spacing w:line="360" w:lineRule="auto"/>
        <w:rPr>
          <w:rFonts w:ascii="Times New Roman" w:hAnsi="Times New Roman"/>
          <w:snapToGrid w:val="0"/>
          <w:color w:val="auto"/>
          <w:sz w:val="24"/>
          <w:highlight w:val="none"/>
        </w:rPr>
      </w:pPr>
    </w:p>
    <w:p>
      <w:pPr>
        <w:pStyle w:val="506"/>
        <w:spacing w:line="360" w:lineRule="auto"/>
        <w:rPr>
          <w:rFonts w:ascii="Times New Roman" w:hAnsi="Times New Roman"/>
          <w:snapToGrid w:val="0"/>
          <w:color w:val="auto"/>
          <w:highlight w:val="none"/>
        </w:rPr>
      </w:pPr>
      <w:r>
        <w:rPr>
          <w:rFonts w:ascii="Times New Roman" w:hAnsi="Times New Roman"/>
          <w:snapToGrid w:val="0"/>
          <w:color w:val="auto"/>
          <w:sz w:val="24"/>
          <w:highlight w:val="none"/>
        </w:rPr>
        <w:t>表10.2-2  大气污染物无组织排放量核算表</w:t>
      </w:r>
    </w:p>
    <w:tbl>
      <w:tblPr>
        <w:tblStyle w:val="55"/>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63"/>
        <w:gridCol w:w="879"/>
        <w:gridCol w:w="1265"/>
        <w:gridCol w:w="1274"/>
        <w:gridCol w:w="1315"/>
        <w:gridCol w:w="1195"/>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26" w:type="dxa"/>
            <w:vMerge w:val="restart"/>
            <w:shd w:val="clear" w:color="auto" w:fill="auto"/>
            <w:vAlign w:val="center"/>
          </w:tcPr>
          <w:p>
            <w:pPr>
              <w:jc w:val="center"/>
              <w:rPr>
                <w:color w:val="auto"/>
                <w:szCs w:val="21"/>
                <w:highlight w:val="none"/>
              </w:rPr>
            </w:pPr>
            <w:r>
              <w:rPr>
                <w:color w:val="auto"/>
                <w:szCs w:val="21"/>
                <w:highlight w:val="none"/>
              </w:rPr>
              <w:t>序号</w:t>
            </w:r>
          </w:p>
        </w:tc>
        <w:tc>
          <w:tcPr>
            <w:tcW w:w="963" w:type="dxa"/>
            <w:vMerge w:val="restart"/>
            <w:shd w:val="clear" w:color="auto" w:fill="auto"/>
            <w:vAlign w:val="center"/>
          </w:tcPr>
          <w:p>
            <w:pPr>
              <w:jc w:val="center"/>
              <w:rPr>
                <w:color w:val="auto"/>
                <w:szCs w:val="21"/>
                <w:highlight w:val="none"/>
              </w:rPr>
            </w:pPr>
            <w:r>
              <w:rPr>
                <w:color w:val="auto"/>
                <w:szCs w:val="21"/>
                <w:highlight w:val="none"/>
              </w:rPr>
              <w:t>排放口编号</w:t>
            </w:r>
          </w:p>
        </w:tc>
        <w:tc>
          <w:tcPr>
            <w:tcW w:w="879" w:type="dxa"/>
            <w:vMerge w:val="restart"/>
            <w:shd w:val="clear" w:color="auto" w:fill="auto"/>
            <w:vAlign w:val="center"/>
          </w:tcPr>
          <w:p>
            <w:pPr>
              <w:jc w:val="center"/>
              <w:rPr>
                <w:color w:val="auto"/>
                <w:szCs w:val="21"/>
                <w:highlight w:val="none"/>
              </w:rPr>
            </w:pPr>
            <w:r>
              <w:rPr>
                <w:color w:val="auto"/>
                <w:szCs w:val="21"/>
                <w:highlight w:val="none"/>
              </w:rPr>
              <w:t>产污环节</w:t>
            </w:r>
          </w:p>
        </w:tc>
        <w:tc>
          <w:tcPr>
            <w:tcW w:w="1265" w:type="dxa"/>
            <w:vMerge w:val="restart"/>
            <w:shd w:val="clear" w:color="auto" w:fill="auto"/>
            <w:vAlign w:val="center"/>
          </w:tcPr>
          <w:p>
            <w:pPr>
              <w:jc w:val="center"/>
              <w:rPr>
                <w:color w:val="auto"/>
                <w:szCs w:val="21"/>
                <w:highlight w:val="none"/>
              </w:rPr>
            </w:pPr>
            <w:r>
              <w:rPr>
                <w:color w:val="auto"/>
                <w:szCs w:val="21"/>
                <w:highlight w:val="none"/>
              </w:rPr>
              <w:t>污染物</w:t>
            </w:r>
          </w:p>
        </w:tc>
        <w:tc>
          <w:tcPr>
            <w:tcW w:w="1274" w:type="dxa"/>
            <w:vMerge w:val="restart"/>
            <w:shd w:val="clear" w:color="auto" w:fill="auto"/>
            <w:vAlign w:val="center"/>
          </w:tcPr>
          <w:p>
            <w:pPr>
              <w:jc w:val="center"/>
              <w:rPr>
                <w:color w:val="auto"/>
                <w:szCs w:val="21"/>
                <w:highlight w:val="none"/>
              </w:rPr>
            </w:pPr>
            <w:r>
              <w:rPr>
                <w:color w:val="auto"/>
                <w:szCs w:val="21"/>
                <w:highlight w:val="none"/>
              </w:rPr>
              <w:t>主要污染防治措施</w:t>
            </w:r>
          </w:p>
        </w:tc>
        <w:tc>
          <w:tcPr>
            <w:tcW w:w="2510" w:type="dxa"/>
            <w:gridSpan w:val="2"/>
            <w:shd w:val="clear" w:color="auto" w:fill="auto"/>
            <w:vAlign w:val="center"/>
          </w:tcPr>
          <w:p>
            <w:pPr>
              <w:jc w:val="center"/>
              <w:rPr>
                <w:color w:val="auto"/>
                <w:szCs w:val="21"/>
                <w:highlight w:val="none"/>
              </w:rPr>
            </w:pPr>
            <w:r>
              <w:rPr>
                <w:color w:val="auto"/>
                <w:szCs w:val="21"/>
                <w:highlight w:val="none"/>
              </w:rPr>
              <w:t>污染物排放标准</w:t>
            </w:r>
          </w:p>
        </w:tc>
        <w:tc>
          <w:tcPr>
            <w:tcW w:w="1229" w:type="dxa"/>
            <w:vMerge w:val="restart"/>
            <w:vAlign w:val="center"/>
          </w:tcPr>
          <w:p>
            <w:pPr>
              <w:jc w:val="center"/>
              <w:rPr>
                <w:color w:val="auto"/>
                <w:szCs w:val="21"/>
                <w:highlight w:val="none"/>
              </w:rPr>
            </w:pPr>
            <w:r>
              <w:rPr>
                <w:color w:val="auto"/>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color w:val="auto"/>
                <w:szCs w:val="21"/>
                <w:highlight w:val="none"/>
              </w:rPr>
            </w:pPr>
          </w:p>
        </w:tc>
        <w:tc>
          <w:tcPr>
            <w:tcW w:w="963" w:type="dxa"/>
            <w:vMerge w:val="continue"/>
            <w:shd w:val="clear" w:color="auto" w:fill="auto"/>
            <w:vAlign w:val="center"/>
          </w:tcPr>
          <w:p>
            <w:pPr>
              <w:jc w:val="center"/>
              <w:rPr>
                <w:color w:val="auto"/>
                <w:szCs w:val="21"/>
                <w:highlight w:val="none"/>
              </w:rPr>
            </w:pPr>
          </w:p>
        </w:tc>
        <w:tc>
          <w:tcPr>
            <w:tcW w:w="879" w:type="dxa"/>
            <w:vMerge w:val="continue"/>
            <w:shd w:val="clear" w:color="auto" w:fill="auto"/>
            <w:vAlign w:val="center"/>
          </w:tcPr>
          <w:p>
            <w:pPr>
              <w:jc w:val="center"/>
              <w:rPr>
                <w:color w:val="auto"/>
                <w:szCs w:val="21"/>
                <w:highlight w:val="none"/>
              </w:rPr>
            </w:pPr>
          </w:p>
        </w:tc>
        <w:tc>
          <w:tcPr>
            <w:tcW w:w="1265" w:type="dxa"/>
            <w:vMerge w:val="continue"/>
            <w:shd w:val="clear" w:color="auto" w:fill="auto"/>
            <w:vAlign w:val="center"/>
          </w:tcPr>
          <w:p>
            <w:pPr>
              <w:jc w:val="center"/>
              <w:rPr>
                <w:color w:val="auto"/>
                <w:szCs w:val="21"/>
                <w:highlight w:val="none"/>
              </w:rPr>
            </w:pPr>
          </w:p>
        </w:tc>
        <w:tc>
          <w:tcPr>
            <w:tcW w:w="1274" w:type="dxa"/>
            <w:vMerge w:val="continue"/>
            <w:shd w:val="clear" w:color="auto" w:fill="auto"/>
            <w:vAlign w:val="center"/>
          </w:tcPr>
          <w:p>
            <w:pPr>
              <w:jc w:val="center"/>
              <w:rPr>
                <w:color w:val="auto"/>
                <w:szCs w:val="21"/>
                <w:highlight w:val="none"/>
              </w:rPr>
            </w:pPr>
          </w:p>
        </w:tc>
        <w:tc>
          <w:tcPr>
            <w:tcW w:w="1315" w:type="dxa"/>
            <w:shd w:val="clear" w:color="auto" w:fill="auto"/>
            <w:vAlign w:val="center"/>
          </w:tcPr>
          <w:p>
            <w:pPr>
              <w:jc w:val="center"/>
              <w:rPr>
                <w:color w:val="auto"/>
                <w:szCs w:val="21"/>
                <w:highlight w:val="none"/>
              </w:rPr>
            </w:pPr>
            <w:r>
              <w:rPr>
                <w:color w:val="auto"/>
                <w:szCs w:val="21"/>
                <w:highlight w:val="none"/>
              </w:rPr>
              <w:t>标准名称</w:t>
            </w:r>
          </w:p>
        </w:tc>
        <w:tc>
          <w:tcPr>
            <w:tcW w:w="1195" w:type="dxa"/>
            <w:shd w:val="clear" w:color="auto" w:fill="auto"/>
            <w:vAlign w:val="center"/>
          </w:tcPr>
          <w:p>
            <w:pPr>
              <w:jc w:val="center"/>
              <w:rPr>
                <w:color w:val="auto"/>
                <w:szCs w:val="21"/>
                <w:highlight w:val="none"/>
              </w:rPr>
            </w:pPr>
            <w:r>
              <w:rPr>
                <w:color w:val="auto"/>
                <w:szCs w:val="21"/>
                <w:highlight w:val="none"/>
              </w:rPr>
              <w:t>浓度限值（</w:t>
            </w:r>
            <w:r>
              <w:rPr>
                <w:rFonts w:hint="eastAsia"/>
                <w:color w:val="auto"/>
                <w:szCs w:val="21"/>
                <w:highlight w:val="none"/>
              </w:rPr>
              <w:t>m</w:t>
            </w:r>
            <w:r>
              <w:rPr>
                <w:color w:val="auto"/>
                <w:szCs w:val="21"/>
                <w:highlight w:val="none"/>
              </w:rPr>
              <w:t>g/m</w:t>
            </w:r>
            <w:r>
              <w:rPr>
                <w:color w:val="auto"/>
                <w:szCs w:val="21"/>
                <w:highlight w:val="none"/>
                <w:vertAlign w:val="superscript"/>
              </w:rPr>
              <w:t>3</w:t>
            </w:r>
            <w:r>
              <w:rPr>
                <w:color w:val="auto"/>
                <w:szCs w:val="21"/>
                <w:highlight w:val="none"/>
              </w:rPr>
              <w:t>）</w:t>
            </w:r>
          </w:p>
        </w:tc>
        <w:tc>
          <w:tcPr>
            <w:tcW w:w="1229"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26" w:type="dxa"/>
            <w:shd w:val="clear" w:color="auto" w:fill="auto"/>
            <w:vAlign w:val="center"/>
          </w:tcPr>
          <w:p>
            <w:pPr>
              <w:jc w:val="center"/>
              <w:rPr>
                <w:color w:val="auto"/>
                <w:szCs w:val="21"/>
                <w:highlight w:val="none"/>
              </w:rPr>
            </w:pPr>
            <w:r>
              <w:rPr>
                <w:color w:val="auto"/>
                <w:szCs w:val="21"/>
                <w:highlight w:val="none"/>
              </w:rPr>
              <w:t>1</w:t>
            </w:r>
          </w:p>
        </w:tc>
        <w:tc>
          <w:tcPr>
            <w:tcW w:w="963" w:type="dxa"/>
            <w:shd w:val="clear" w:color="auto" w:fill="auto"/>
            <w:vAlign w:val="center"/>
          </w:tcPr>
          <w:p>
            <w:pPr>
              <w:jc w:val="center"/>
              <w:rPr>
                <w:color w:val="auto"/>
                <w:szCs w:val="21"/>
                <w:highlight w:val="none"/>
              </w:rPr>
            </w:pPr>
            <w:r>
              <w:rPr>
                <w:rFonts w:hint="eastAsia"/>
                <w:color w:val="auto"/>
                <w:kern w:val="0"/>
                <w:szCs w:val="21"/>
                <w:highlight w:val="none"/>
                <w:lang w:val="en-US" w:eastAsia="zh-CN"/>
              </w:rPr>
              <w:t>塑料框</w:t>
            </w:r>
            <w:r>
              <w:rPr>
                <w:color w:val="auto"/>
                <w:szCs w:val="21"/>
                <w:highlight w:val="none"/>
              </w:rPr>
              <w:t>生产线</w:t>
            </w:r>
          </w:p>
        </w:tc>
        <w:tc>
          <w:tcPr>
            <w:tcW w:w="879" w:type="dxa"/>
            <w:shd w:val="clear" w:color="auto" w:fill="auto"/>
            <w:vAlign w:val="center"/>
          </w:tcPr>
          <w:p>
            <w:pPr>
              <w:jc w:val="center"/>
              <w:rPr>
                <w:rFonts w:hint="default" w:eastAsia="宋体"/>
                <w:color w:val="auto"/>
                <w:szCs w:val="21"/>
                <w:highlight w:val="none"/>
                <w:lang w:val="en-US" w:eastAsia="zh-CN"/>
              </w:rPr>
            </w:pPr>
            <w:r>
              <w:rPr>
                <w:rFonts w:hint="eastAsia"/>
                <w:color w:val="auto"/>
                <w:spacing w:val="-4"/>
                <w:szCs w:val="21"/>
                <w:highlight w:val="none"/>
                <w:lang w:val="en-US" w:eastAsia="zh-CN"/>
              </w:rPr>
              <w:t>热熔注塑</w:t>
            </w:r>
          </w:p>
        </w:tc>
        <w:tc>
          <w:tcPr>
            <w:tcW w:w="1265" w:type="dxa"/>
            <w:shd w:val="clear" w:color="auto" w:fill="auto"/>
            <w:vAlign w:val="center"/>
          </w:tcPr>
          <w:p>
            <w:pPr>
              <w:jc w:val="center"/>
              <w:rPr>
                <w:color w:val="auto"/>
                <w:szCs w:val="21"/>
                <w:highlight w:val="none"/>
              </w:rPr>
            </w:pPr>
            <w:r>
              <w:rPr>
                <w:color w:val="auto"/>
                <w:szCs w:val="21"/>
                <w:highlight w:val="none"/>
              </w:rPr>
              <w:t>非甲烷总烃</w:t>
            </w:r>
          </w:p>
        </w:tc>
        <w:tc>
          <w:tcPr>
            <w:tcW w:w="1274" w:type="dxa"/>
            <w:shd w:val="clear" w:color="auto" w:fill="auto"/>
            <w:vAlign w:val="center"/>
          </w:tcPr>
          <w:p>
            <w:pPr>
              <w:jc w:val="center"/>
              <w:rPr>
                <w:color w:val="auto"/>
                <w:szCs w:val="21"/>
                <w:highlight w:val="none"/>
              </w:rPr>
            </w:pPr>
            <w:r>
              <w:rPr>
                <w:color w:val="auto"/>
                <w:szCs w:val="21"/>
                <w:highlight w:val="none"/>
              </w:rPr>
              <w:t>加强车间通风</w:t>
            </w:r>
          </w:p>
        </w:tc>
        <w:tc>
          <w:tcPr>
            <w:tcW w:w="1315" w:type="dxa"/>
            <w:vMerge w:val="restart"/>
            <w:shd w:val="clear" w:color="auto" w:fill="auto"/>
            <w:vAlign w:val="center"/>
          </w:tcPr>
          <w:p>
            <w:pPr>
              <w:jc w:val="center"/>
              <w:rPr>
                <w:color w:val="auto"/>
                <w:szCs w:val="21"/>
                <w:highlight w:val="none"/>
              </w:rPr>
            </w:pPr>
            <w:r>
              <w:rPr>
                <w:color w:val="auto"/>
                <w:szCs w:val="21"/>
                <w:highlight w:val="none"/>
              </w:rPr>
              <w:t>《合成树脂工业污染物排放标准》（GB31572-2015）表9规定的企业边界大气污染物浓度限值</w:t>
            </w:r>
          </w:p>
        </w:tc>
        <w:tc>
          <w:tcPr>
            <w:tcW w:w="1195" w:type="dxa"/>
            <w:shd w:val="clear" w:color="auto" w:fill="auto"/>
            <w:vAlign w:val="center"/>
          </w:tcPr>
          <w:p>
            <w:pPr>
              <w:jc w:val="center"/>
              <w:rPr>
                <w:color w:val="auto"/>
                <w:szCs w:val="21"/>
                <w:highlight w:val="none"/>
              </w:rPr>
            </w:pPr>
            <w:r>
              <w:rPr>
                <w:rFonts w:hint="eastAsia"/>
                <w:color w:val="auto"/>
                <w:szCs w:val="21"/>
                <w:highlight w:val="none"/>
              </w:rPr>
              <w:t>4.0</w:t>
            </w:r>
          </w:p>
        </w:tc>
        <w:tc>
          <w:tcPr>
            <w:tcW w:w="1229" w:type="dxa"/>
            <w:vAlign w:val="center"/>
          </w:tcPr>
          <w:p>
            <w:pPr>
              <w:autoSpaceDE w:val="0"/>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0.3375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6" w:type="dxa"/>
            <w:vMerge w:val="restart"/>
            <w:shd w:val="clear" w:color="auto" w:fill="auto"/>
            <w:vAlign w:val="center"/>
          </w:tcPr>
          <w:p>
            <w:pPr>
              <w:jc w:val="center"/>
              <w:rPr>
                <w:color w:val="auto"/>
                <w:szCs w:val="21"/>
                <w:highlight w:val="none"/>
              </w:rPr>
            </w:pPr>
            <w:r>
              <w:rPr>
                <w:rFonts w:hint="eastAsia"/>
                <w:color w:val="auto"/>
                <w:szCs w:val="21"/>
                <w:highlight w:val="none"/>
              </w:rPr>
              <w:t>3</w:t>
            </w:r>
          </w:p>
        </w:tc>
        <w:tc>
          <w:tcPr>
            <w:tcW w:w="963" w:type="dxa"/>
            <w:vMerge w:val="restart"/>
            <w:shd w:val="clear" w:color="auto" w:fill="auto"/>
            <w:vAlign w:val="center"/>
          </w:tcPr>
          <w:p>
            <w:pPr>
              <w:jc w:val="center"/>
              <w:rPr>
                <w:color w:val="auto"/>
                <w:szCs w:val="21"/>
                <w:highlight w:val="none"/>
              </w:rPr>
            </w:pPr>
            <w:r>
              <w:rPr>
                <w:color w:val="auto"/>
                <w:szCs w:val="21"/>
                <w:highlight w:val="none"/>
              </w:rPr>
              <w:t>生产车间</w:t>
            </w:r>
          </w:p>
        </w:tc>
        <w:tc>
          <w:tcPr>
            <w:tcW w:w="879" w:type="dxa"/>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拌料</w:t>
            </w:r>
          </w:p>
        </w:tc>
        <w:tc>
          <w:tcPr>
            <w:tcW w:w="1265" w:type="dxa"/>
            <w:shd w:val="clear" w:color="auto" w:fill="auto"/>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粉尘</w:t>
            </w:r>
          </w:p>
        </w:tc>
        <w:tc>
          <w:tcPr>
            <w:tcW w:w="1274" w:type="dxa"/>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封闭装置内进行</w:t>
            </w:r>
          </w:p>
        </w:tc>
        <w:tc>
          <w:tcPr>
            <w:tcW w:w="1315" w:type="dxa"/>
            <w:vMerge w:val="continue"/>
            <w:shd w:val="clear" w:color="auto" w:fill="auto"/>
            <w:vAlign w:val="center"/>
          </w:tcPr>
          <w:p>
            <w:pPr>
              <w:jc w:val="center"/>
              <w:rPr>
                <w:color w:val="auto"/>
                <w:szCs w:val="21"/>
                <w:highlight w:val="none"/>
              </w:rPr>
            </w:pPr>
          </w:p>
        </w:tc>
        <w:tc>
          <w:tcPr>
            <w:tcW w:w="1195" w:type="dxa"/>
            <w:shd w:val="clear" w:color="auto" w:fill="auto"/>
            <w:vAlign w:val="center"/>
          </w:tcPr>
          <w:p>
            <w:pPr>
              <w:jc w:val="center"/>
              <w:rPr>
                <w:color w:val="auto"/>
                <w:szCs w:val="21"/>
                <w:highlight w:val="none"/>
              </w:rPr>
            </w:pPr>
            <w:r>
              <w:rPr>
                <w:rFonts w:hint="eastAsia"/>
                <w:color w:val="auto"/>
                <w:szCs w:val="21"/>
                <w:highlight w:val="none"/>
              </w:rPr>
              <w:t>1.0</w:t>
            </w:r>
          </w:p>
        </w:tc>
        <w:tc>
          <w:tcPr>
            <w:tcW w:w="1229"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6" w:type="dxa"/>
            <w:vMerge w:val="continue"/>
            <w:shd w:val="clear" w:color="auto" w:fill="auto"/>
            <w:vAlign w:val="center"/>
          </w:tcPr>
          <w:p>
            <w:pPr>
              <w:jc w:val="center"/>
              <w:rPr>
                <w:color w:val="auto"/>
                <w:highlight w:val="none"/>
              </w:rPr>
            </w:pPr>
          </w:p>
        </w:tc>
        <w:tc>
          <w:tcPr>
            <w:tcW w:w="963" w:type="dxa"/>
            <w:vMerge w:val="continue"/>
            <w:shd w:val="clear" w:color="auto" w:fill="auto"/>
            <w:vAlign w:val="center"/>
          </w:tcPr>
          <w:p>
            <w:pPr>
              <w:jc w:val="center"/>
              <w:rPr>
                <w:color w:val="auto"/>
                <w:highlight w:val="none"/>
              </w:rPr>
            </w:pPr>
          </w:p>
        </w:tc>
        <w:tc>
          <w:tcPr>
            <w:tcW w:w="879" w:type="dxa"/>
            <w:shd w:val="clear" w:color="auto" w:fill="auto"/>
            <w:vAlign w:val="center"/>
          </w:tcPr>
          <w:p>
            <w:pPr>
              <w:jc w:val="center"/>
              <w:rPr>
                <w:rFonts w:hint="eastAsia"/>
                <w:color w:val="auto"/>
                <w:spacing w:val="-4"/>
                <w:szCs w:val="21"/>
                <w:highlight w:val="none"/>
                <w:lang w:val="en-US" w:eastAsia="zh-CN"/>
              </w:rPr>
            </w:pPr>
            <w:r>
              <w:rPr>
                <w:rFonts w:hint="eastAsia"/>
                <w:color w:val="auto"/>
                <w:spacing w:val="-4"/>
                <w:szCs w:val="21"/>
                <w:highlight w:val="none"/>
                <w:lang w:val="en-US" w:eastAsia="zh-CN"/>
              </w:rPr>
              <w:t>破碎</w:t>
            </w:r>
          </w:p>
        </w:tc>
        <w:tc>
          <w:tcPr>
            <w:tcW w:w="1265" w:type="dxa"/>
            <w:shd w:val="clear" w:color="auto" w:fill="auto"/>
            <w:vAlign w:val="center"/>
          </w:tcPr>
          <w:p>
            <w:pPr>
              <w:jc w:val="center"/>
              <w:rPr>
                <w:rFonts w:hint="eastAsia"/>
                <w:color w:val="auto"/>
                <w:spacing w:val="-4"/>
                <w:szCs w:val="21"/>
                <w:highlight w:val="none"/>
                <w:lang w:val="en-US" w:eastAsia="zh-CN"/>
              </w:rPr>
            </w:pPr>
            <w:r>
              <w:rPr>
                <w:color w:val="auto"/>
                <w:szCs w:val="21"/>
                <w:highlight w:val="none"/>
              </w:rPr>
              <w:t>粉尘</w:t>
            </w:r>
          </w:p>
        </w:tc>
        <w:tc>
          <w:tcPr>
            <w:tcW w:w="1274" w:type="dxa"/>
            <w:shd w:val="clear" w:color="auto" w:fill="auto"/>
            <w:vAlign w:val="center"/>
          </w:tcPr>
          <w:p>
            <w:pPr>
              <w:jc w:val="center"/>
              <w:rPr>
                <w:rFonts w:hint="eastAsia"/>
                <w:color w:val="auto"/>
                <w:spacing w:val="-4"/>
                <w:szCs w:val="21"/>
                <w:highlight w:val="none"/>
                <w:lang w:val="en-US" w:eastAsia="zh-CN"/>
              </w:rPr>
            </w:pPr>
            <w:r>
              <w:rPr>
                <w:color w:val="auto"/>
                <w:spacing w:val="-4"/>
                <w:szCs w:val="21"/>
                <w:highlight w:val="none"/>
              </w:rPr>
              <w:t>规范生产操作，自然沉降</w:t>
            </w:r>
          </w:p>
        </w:tc>
        <w:tc>
          <w:tcPr>
            <w:tcW w:w="1315" w:type="dxa"/>
            <w:vMerge w:val="continue"/>
            <w:shd w:val="clear" w:color="auto" w:fill="auto"/>
            <w:vAlign w:val="center"/>
          </w:tcPr>
          <w:p>
            <w:pPr>
              <w:jc w:val="center"/>
              <w:rPr>
                <w:rFonts w:hint="eastAsia"/>
                <w:color w:val="auto"/>
                <w:spacing w:val="-4"/>
                <w:szCs w:val="21"/>
                <w:highlight w:val="none"/>
                <w:lang w:val="en-US" w:eastAsia="zh-CN"/>
              </w:rPr>
            </w:pPr>
          </w:p>
        </w:tc>
        <w:tc>
          <w:tcPr>
            <w:tcW w:w="1195" w:type="dxa"/>
            <w:shd w:val="clear" w:color="auto" w:fill="auto"/>
            <w:vAlign w:val="center"/>
          </w:tcPr>
          <w:p>
            <w:pPr>
              <w:jc w:val="center"/>
              <w:rPr>
                <w:rFonts w:hint="default"/>
                <w:color w:val="auto"/>
                <w:spacing w:val="-4"/>
                <w:szCs w:val="21"/>
                <w:highlight w:val="none"/>
                <w:lang w:val="en-US" w:eastAsia="zh-CN"/>
              </w:rPr>
            </w:pPr>
            <w:r>
              <w:rPr>
                <w:rFonts w:hint="eastAsia"/>
                <w:color w:val="auto"/>
                <w:spacing w:val="-4"/>
                <w:szCs w:val="21"/>
                <w:highlight w:val="none"/>
                <w:lang w:val="en-US" w:eastAsia="zh-CN"/>
              </w:rPr>
              <w:t>1.0</w:t>
            </w:r>
          </w:p>
        </w:tc>
        <w:tc>
          <w:tcPr>
            <w:tcW w:w="1229" w:type="dxa"/>
            <w:vAlign w:val="center"/>
          </w:tcPr>
          <w:p>
            <w:pPr>
              <w:jc w:val="center"/>
              <w:rPr>
                <w:rFonts w:hint="default"/>
                <w:color w:val="auto"/>
                <w:spacing w:val="-4"/>
                <w:szCs w:val="21"/>
                <w:highlight w:val="none"/>
                <w:lang w:val="en-US" w:eastAsia="zh-CN"/>
              </w:rPr>
            </w:pPr>
            <w:r>
              <w:rPr>
                <w:rFonts w:hint="eastAsia"/>
                <w:color w:val="auto"/>
                <w:spacing w:val="-4"/>
                <w:szCs w:val="21"/>
                <w:highlight w:val="none"/>
                <w:lang w:val="en-US" w:eastAsia="zh-CN"/>
              </w:rPr>
              <w:t>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shd w:val="clear" w:color="auto" w:fill="auto"/>
            <w:vAlign w:val="center"/>
          </w:tcPr>
          <w:p>
            <w:pPr>
              <w:jc w:val="center"/>
              <w:rPr>
                <w:color w:val="auto"/>
                <w:szCs w:val="21"/>
                <w:highlight w:val="none"/>
              </w:rPr>
            </w:pPr>
            <w:r>
              <w:rPr>
                <w:rFonts w:hint="eastAsia"/>
                <w:color w:val="auto"/>
                <w:szCs w:val="21"/>
                <w:highlight w:val="none"/>
              </w:rPr>
              <w:t>4</w:t>
            </w:r>
          </w:p>
        </w:tc>
        <w:tc>
          <w:tcPr>
            <w:tcW w:w="963" w:type="dxa"/>
            <w:shd w:val="clear" w:color="auto" w:fill="auto"/>
            <w:vAlign w:val="center"/>
          </w:tcPr>
          <w:p>
            <w:pPr>
              <w:jc w:val="center"/>
              <w:rPr>
                <w:color w:val="auto"/>
                <w:szCs w:val="21"/>
                <w:highlight w:val="none"/>
              </w:rPr>
            </w:pPr>
            <w:r>
              <w:rPr>
                <w:rFonts w:hint="eastAsia"/>
                <w:color w:val="auto"/>
                <w:spacing w:val="-4"/>
                <w:szCs w:val="21"/>
                <w:highlight w:val="none"/>
                <w:lang w:val="en-US" w:eastAsia="zh-CN"/>
              </w:rPr>
              <w:t>热熔注塑</w:t>
            </w:r>
            <w:r>
              <w:rPr>
                <w:color w:val="auto"/>
                <w:spacing w:val="-4"/>
                <w:szCs w:val="21"/>
                <w:highlight w:val="none"/>
              </w:rPr>
              <w:t>工序</w:t>
            </w:r>
          </w:p>
        </w:tc>
        <w:tc>
          <w:tcPr>
            <w:tcW w:w="879" w:type="dxa"/>
            <w:shd w:val="clear" w:color="auto" w:fill="auto"/>
            <w:vAlign w:val="center"/>
          </w:tcPr>
          <w:p>
            <w:pPr>
              <w:jc w:val="center"/>
              <w:rPr>
                <w:rFonts w:hint="eastAsia" w:eastAsia="宋体"/>
                <w:color w:val="auto"/>
                <w:spacing w:val="-4"/>
                <w:szCs w:val="21"/>
                <w:highlight w:val="none"/>
                <w:lang w:val="en-US" w:eastAsia="zh-CN"/>
              </w:rPr>
            </w:pPr>
            <w:r>
              <w:rPr>
                <w:rFonts w:hint="eastAsia"/>
                <w:color w:val="auto"/>
                <w:spacing w:val="-4"/>
                <w:szCs w:val="21"/>
                <w:highlight w:val="none"/>
                <w:lang w:val="en-US" w:eastAsia="zh-CN"/>
              </w:rPr>
              <w:t>注塑</w:t>
            </w:r>
          </w:p>
        </w:tc>
        <w:tc>
          <w:tcPr>
            <w:tcW w:w="1265" w:type="dxa"/>
            <w:shd w:val="clear" w:color="auto" w:fill="auto"/>
            <w:vAlign w:val="center"/>
          </w:tcPr>
          <w:p>
            <w:pPr>
              <w:jc w:val="center"/>
              <w:rPr>
                <w:color w:val="auto"/>
                <w:szCs w:val="21"/>
                <w:highlight w:val="none"/>
              </w:rPr>
            </w:pPr>
            <w:r>
              <w:rPr>
                <w:color w:val="auto"/>
                <w:szCs w:val="21"/>
                <w:highlight w:val="none"/>
              </w:rPr>
              <w:t>臭气浓度</w:t>
            </w:r>
          </w:p>
        </w:tc>
        <w:tc>
          <w:tcPr>
            <w:tcW w:w="1274" w:type="dxa"/>
            <w:shd w:val="clear" w:color="auto" w:fill="auto"/>
            <w:vAlign w:val="center"/>
          </w:tcPr>
          <w:p>
            <w:pPr>
              <w:jc w:val="center"/>
              <w:rPr>
                <w:color w:val="auto"/>
                <w:spacing w:val="-4"/>
                <w:szCs w:val="21"/>
                <w:highlight w:val="none"/>
              </w:rPr>
            </w:pPr>
            <w:r>
              <w:rPr>
                <w:color w:val="auto"/>
                <w:spacing w:val="-4"/>
                <w:szCs w:val="21"/>
                <w:highlight w:val="none"/>
              </w:rPr>
              <w:t>加强车间通风</w:t>
            </w:r>
          </w:p>
        </w:tc>
        <w:tc>
          <w:tcPr>
            <w:tcW w:w="1315" w:type="dxa"/>
            <w:vMerge w:val="continue"/>
            <w:shd w:val="clear" w:color="auto" w:fill="auto"/>
            <w:vAlign w:val="center"/>
          </w:tcPr>
          <w:p>
            <w:pPr>
              <w:jc w:val="center"/>
              <w:rPr>
                <w:color w:val="auto"/>
                <w:szCs w:val="21"/>
                <w:highlight w:val="none"/>
              </w:rPr>
            </w:pPr>
          </w:p>
        </w:tc>
        <w:tc>
          <w:tcPr>
            <w:tcW w:w="1195" w:type="dxa"/>
            <w:shd w:val="clear" w:color="auto" w:fill="auto"/>
            <w:vAlign w:val="center"/>
          </w:tcPr>
          <w:p>
            <w:pPr>
              <w:jc w:val="center"/>
              <w:rPr>
                <w:bCs/>
                <w:color w:val="auto"/>
                <w:szCs w:val="21"/>
                <w:highlight w:val="none"/>
              </w:rPr>
            </w:pPr>
            <w:r>
              <w:rPr>
                <w:bCs/>
                <w:color w:val="auto"/>
                <w:szCs w:val="21"/>
                <w:highlight w:val="none"/>
              </w:rPr>
              <w:t>＜20</w:t>
            </w:r>
          </w:p>
          <w:p>
            <w:pPr>
              <w:jc w:val="center"/>
              <w:rPr>
                <w:color w:val="auto"/>
                <w:szCs w:val="21"/>
                <w:highlight w:val="none"/>
              </w:rPr>
            </w:pPr>
            <w:r>
              <w:rPr>
                <w:rFonts w:hint="eastAsia"/>
                <w:bCs/>
                <w:color w:val="auto"/>
                <w:szCs w:val="21"/>
                <w:highlight w:val="none"/>
              </w:rPr>
              <w:t>(</w:t>
            </w:r>
            <w:r>
              <w:rPr>
                <w:bCs/>
                <w:color w:val="auto"/>
                <w:szCs w:val="21"/>
                <w:highlight w:val="none"/>
              </w:rPr>
              <w:t>无量纲</w:t>
            </w:r>
            <w:r>
              <w:rPr>
                <w:rFonts w:hint="eastAsia"/>
                <w:bCs/>
                <w:color w:val="auto"/>
                <w:szCs w:val="21"/>
                <w:highlight w:val="none"/>
              </w:rPr>
              <w:t>)</w:t>
            </w:r>
          </w:p>
        </w:tc>
        <w:tc>
          <w:tcPr>
            <w:tcW w:w="1229" w:type="dxa"/>
            <w:vAlign w:val="center"/>
          </w:tcPr>
          <w:p>
            <w:pPr>
              <w:jc w:val="center"/>
              <w:rPr>
                <w:bCs/>
                <w:color w:val="auto"/>
                <w:szCs w:val="21"/>
                <w:highlight w:val="none"/>
              </w:rPr>
            </w:pPr>
            <w:r>
              <w:rPr>
                <w:rFonts w:hint="eastAsia"/>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33" w:type="dxa"/>
            <w:gridSpan w:val="4"/>
            <w:vMerge w:val="restart"/>
            <w:shd w:val="clear" w:color="auto" w:fill="auto"/>
            <w:vAlign w:val="center"/>
          </w:tcPr>
          <w:p>
            <w:pPr>
              <w:jc w:val="center"/>
              <w:rPr>
                <w:bCs/>
                <w:color w:val="auto"/>
                <w:szCs w:val="21"/>
                <w:highlight w:val="none"/>
              </w:rPr>
            </w:pPr>
            <w:r>
              <w:rPr>
                <w:b/>
                <w:color w:val="auto"/>
                <w:szCs w:val="21"/>
                <w:highlight w:val="none"/>
              </w:rPr>
              <w:t>无组织排放总计</w:t>
            </w:r>
          </w:p>
        </w:tc>
        <w:tc>
          <w:tcPr>
            <w:tcW w:w="2589" w:type="dxa"/>
            <w:gridSpan w:val="2"/>
            <w:shd w:val="clear" w:color="auto" w:fill="auto"/>
            <w:vAlign w:val="center"/>
          </w:tcPr>
          <w:p>
            <w:pPr>
              <w:jc w:val="center"/>
              <w:rPr>
                <w:bCs/>
                <w:color w:val="auto"/>
                <w:szCs w:val="21"/>
                <w:highlight w:val="none"/>
              </w:rPr>
            </w:pPr>
            <w:r>
              <w:rPr>
                <w:color w:val="auto"/>
                <w:szCs w:val="21"/>
                <w:highlight w:val="none"/>
              </w:rPr>
              <w:t>有机废气（非甲烷总烃）</w:t>
            </w:r>
          </w:p>
        </w:tc>
        <w:tc>
          <w:tcPr>
            <w:tcW w:w="2424" w:type="dxa"/>
            <w:gridSpan w:val="2"/>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kern w:val="0"/>
                <w:szCs w:val="21"/>
                <w:highlight w:val="none"/>
                <w:lang w:val="en-US" w:eastAsia="zh-CN"/>
              </w:rPr>
              <w:t>0.3375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33" w:type="dxa"/>
            <w:gridSpan w:val="4"/>
            <w:vMerge w:val="continue"/>
            <w:shd w:val="clear" w:color="auto" w:fill="auto"/>
            <w:vAlign w:val="center"/>
          </w:tcPr>
          <w:p>
            <w:pPr>
              <w:jc w:val="center"/>
              <w:rPr>
                <w:bCs/>
                <w:color w:val="auto"/>
                <w:szCs w:val="21"/>
                <w:highlight w:val="none"/>
              </w:rPr>
            </w:pPr>
          </w:p>
        </w:tc>
        <w:tc>
          <w:tcPr>
            <w:tcW w:w="2589" w:type="dxa"/>
            <w:gridSpan w:val="2"/>
            <w:shd w:val="clear" w:color="auto" w:fill="auto"/>
            <w:vAlign w:val="center"/>
          </w:tcPr>
          <w:p>
            <w:pPr>
              <w:jc w:val="center"/>
              <w:rPr>
                <w:bCs/>
                <w:color w:val="auto"/>
                <w:szCs w:val="21"/>
                <w:highlight w:val="none"/>
              </w:rPr>
            </w:pPr>
            <w:r>
              <w:rPr>
                <w:color w:val="auto"/>
                <w:szCs w:val="21"/>
                <w:highlight w:val="none"/>
              </w:rPr>
              <w:t>颗粒物</w:t>
            </w:r>
          </w:p>
        </w:tc>
        <w:tc>
          <w:tcPr>
            <w:tcW w:w="2424" w:type="dxa"/>
            <w:gridSpan w:val="2"/>
            <w:shd w:val="clear" w:color="auto" w:fill="auto"/>
            <w:vAlign w:val="center"/>
          </w:tcPr>
          <w:p>
            <w:pPr>
              <w:autoSpaceDE w:val="0"/>
              <w:autoSpaceDN w:val="0"/>
              <w:jc w:val="center"/>
              <w:rPr>
                <w:rFonts w:hint="default" w:eastAsia="宋体"/>
                <w:color w:val="auto"/>
                <w:szCs w:val="21"/>
                <w:highlight w:val="none"/>
                <w:lang w:val="en-US" w:eastAsia="zh-CN"/>
              </w:rPr>
            </w:pPr>
            <w:r>
              <w:rPr>
                <w:rFonts w:hint="eastAsia"/>
                <w:color w:val="auto"/>
                <w:kern w:val="0"/>
                <w:szCs w:val="21"/>
                <w:highlight w:val="none"/>
                <w:lang w:val="en-US" w:eastAsia="zh-CN"/>
              </w:rPr>
              <w:t>0.06324</w:t>
            </w:r>
          </w:p>
        </w:tc>
      </w:tr>
    </w:tbl>
    <w:p>
      <w:pPr>
        <w:spacing w:line="360" w:lineRule="auto"/>
        <w:ind w:firstLine="482"/>
        <w:rPr>
          <w:color w:val="auto"/>
          <w:sz w:val="24"/>
          <w:highlight w:val="none"/>
        </w:rPr>
      </w:pPr>
      <w:r>
        <w:rPr>
          <w:color w:val="auto"/>
          <w:sz w:val="24"/>
          <w:highlight w:val="none"/>
        </w:rPr>
        <w:t>（3）项目大气污染物年排放量核算</w:t>
      </w:r>
    </w:p>
    <w:p>
      <w:pPr>
        <w:pStyle w:val="506"/>
        <w:spacing w:line="360" w:lineRule="auto"/>
        <w:rPr>
          <w:rFonts w:ascii="Times New Roman" w:hAnsi="Times New Roman"/>
          <w:snapToGrid w:val="0"/>
          <w:color w:val="auto"/>
          <w:sz w:val="24"/>
          <w:highlight w:val="none"/>
        </w:rPr>
      </w:pPr>
      <w:r>
        <w:rPr>
          <w:rFonts w:ascii="Times New Roman" w:hAnsi="Times New Roman"/>
          <w:snapToGrid w:val="0"/>
          <w:color w:val="auto"/>
          <w:sz w:val="24"/>
          <w:highlight w:val="none"/>
        </w:rPr>
        <w:t>表10.2-3  大气污染物年排放量核算表</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2913"/>
        <w:gridCol w:w="4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7" w:type="dxa"/>
            <w:shd w:val="clear" w:color="auto" w:fill="auto"/>
            <w:vAlign w:val="center"/>
          </w:tcPr>
          <w:p>
            <w:pPr>
              <w:pStyle w:val="396"/>
              <w:adjustRightInd/>
              <w:spacing w:line="240" w:lineRule="auto"/>
              <w:rPr>
                <w:b/>
                <w:snapToGrid w:val="0"/>
                <w:color w:val="auto"/>
                <w:sz w:val="21"/>
                <w:szCs w:val="21"/>
                <w:highlight w:val="none"/>
              </w:rPr>
            </w:pPr>
            <w:r>
              <w:rPr>
                <w:b/>
                <w:snapToGrid w:val="0"/>
                <w:color w:val="auto"/>
                <w:sz w:val="21"/>
                <w:szCs w:val="21"/>
                <w:highlight w:val="none"/>
              </w:rPr>
              <w:t>序号</w:t>
            </w:r>
          </w:p>
        </w:tc>
        <w:tc>
          <w:tcPr>
            <w:tcW w:w="2913" w:type="dxa"/>
            <w:shd w:val="clear" w:color="auto" w:fill="auto"/>
            <w:vAlign w:val="center"/>
          </w:tcPr>
          <w:p>
            <w:pPr>
              <w:pStyle w:val="396"/>
              <w:adjustRightInd/>
              <w:spacing w:line="240" w:lineRule="auto"/>
              <w:rPr>
                <w:b/>
                <w:snapToGrid w:val="0"/>
                <w:color w:val="auto"/>
                <w:sz w:val="21"/>
                <w:szCs w:val="21"/>
                <w:highlight w:val="none"/>
              </w:rPr>
            </w:pPr>
            <w:r>
              <w:rPr>
                <w:b/>
                <w:snapToGrid w:val="0"/>
                <w:color w:val="auto"/>
                <w:sz w:val="21"/>
                <w:szCs w:val="21"/>
                <w:highlight w:val="none"/>
              </w:rPr>
              <w:t>污染物</w:t>
            </w:r>
          </w:p>
        </w:tc>
        <w:tc>
          <w:tcPr>
            <w:tcW w:w="4029" w:type="dxa"/>
            <w:shd w:val="clear" w:color="auto" w:fill="auto"/>
            <w:vAlign w:val="center"/>
          </w:tcPr>
          <w:p>
            <w:pPr>
              <w:pStyle w:val="396"/>
              <w:adjustRightInd/>
              <w:spacing w:line="240" w:lineRule="auto"/>
              <w:rPr>
                <w:b/>
                <w:color w:val="auto"/>
                <w:sz w:val="21"/>
                <w:szCs w:val="21"/>
                <w:highlight w:val="none"/>
              </w:rPr>
            </w:pPr>
            <w:r>
              <w:rPr>
                <w:b/>
                <w:snapToGrid w:val="0"/>
                <w:color w:val="auto"/>
                <w:sz w:val="21"/>
                <w:szCs w:val="21"/>
                <w:highlight w:val="none"/>
              </w:rPr>
              <w:t>年排放量</w:t>
            </w:r>
            <w:r>
              <w:rPr>
                <w:b/>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7" w:type="dxa"/>
            <w:shd w:val="clear" w:color="auto" w:fill="auto"/>
            <w:vAlign w:val="center"/>
          </w:tcPr>
          <w:p>
            <w:pPr>
              <w:pStyle w:val="396"/>
              <w:adjustRightInd/>
              <w:spacing w:line="240" w:lineRule="auto"/>
              <w:rPr>
                <w:snapToGrid w:val="0"/>
                <w:color w:val="auto"/>
                <w:sz w:val="21"/>
                <w:szCs w:val="21"/>
                <w:highlight w:val="none"/>
              </w:rPr>
            </w:pPr>
            <w:r>
              <w:rPr>
                <w:snapToGrid w:val="0"/>
                <w:color w:val="auto"/>
                <w:sz w:val="21"/>
                <w:szCs w:val="21"/>
                <w:highlight w:val="none"/>
              </w:rPr>
              <w:t>1</w:t>
            </w:r>
          </w:p>
        </w:tc>
        <w:tc>
          <w:tcPr>
            <w:tcW w:w="2913" w:type="dxa"/>
            <w:shd w:val="clear" w:color="auto" w:fill="auto"/>
            <w:vAlign w:val="center"/>
          </w:tcPr>
          <w:p>
            <w:pPr>
              <w:pStyle w:val="396"/>
              <w:adjustRightInd/>
              <w:spacing w:line="240" w:lineRule="auto"/>
              <w:rPr>
                <w:snapToGrid w:val="0"/>
                <w:color w:val="auto"/>
                <w:sz w:val="21"/>
                <w:szCs w:val="21"/>
                <w:highlight w:val="none"/>
              </w:rPr>
            </w:pPr>
            <w:r>
              <w:rPr>
                <w:snapToGrid w:val="0"/>
                <w:color w:val="auto"/>
                <w:sz w:val="21"/>
                <w:szCs w:val="21"/>
                <w:highlight w:val="none"/>
              </w:rPr>
              <w:t>非甲烷总烃</w:t>
            </w:r>
          </w:p>
        </w:tc>
        <w:tc>
          <w:tcPr>
            <w:tcW w:w="4029" w:type="dxa"/>
            <w:shd w:val="clear" w:color="auto" w:fill="auto"/>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7" w:type="dxa"/>
            <w:shd w:val="clear" w:color="auto" w:fill="auto"/>
            <w:vAlign w:val="center"/>
          </w:tcPr>
          <w:p>
            <w:pPr>
              <w:pStyle w:val="396"/>
              <w:adjustRightInd/>
              <w:spacing w:line="240" w:lineRule="auto"/>
              <w:rPr>
                <w:snapToGrid w:val="0"/>
                <w:color w:val="auto"/>
                <w:sz w:val="21"/>
                <w:szCs w:val="21"/>
                <w:highlight w:val="none"/>
              </w:rPr>
            </w:pPr>
            <w:r>
              <w:rPr>
                <w:snapToGrid w:val="0"/>
                <w:color w:val="auto"/>
                <w:sz w:val="21"/>
                <w:szCs w:val="21"/>
                <w:highlight w:val="none"/>
              </w:rPr>
              <w:t>2</w:t>
            </w:r>
          </w:p>
        </w:tc>
        <w:tc>
          <w:tcPr>
            <w:tcW w:w="2913" w:type="dxa"/>
            <w:shd w:val="clear" w:color="auto" w:fill="auto"/>
            <w:vAlign w:val="center"/>
          </w:tcPr>
          <w:p>
            <w:pPr>
              <w:pStyle w:val="396"/>
              <w:adjustRightInd/>
              <w:spacing w:line="240" w:lineRule="auto"/>
              <w:rPr>
                <w:snapToGrid w:val="0"/>
                <w:color w:val="auto"/>
                <w:sz w:val="21"/>
                <w:szCs w:val="21"/>
                <w:highlight w:val="none"/>
              </w:rPr>
            </w:pPr>
            <w:r>
              <w:rPr>
                <w:rFonts w:hint="eastAsia"/>
                <w:snapToGrid w:val="0"/>
                <w:color w:val="auto"/>
                <w:sz w:val="21"/>
                <w:szCs w:val="21"/>
                <w:highlight w:val="none"/>
              </w:rPr>
              <w:t>颗粒物</w:t>
            </w:r>
          </w:p>
        </w:tc>
        <w:tc>
          <w:tcPr>
            <w:tcW w:w="4029" w:type="dxa"/>
            <w:shd w:val="clear" w:color="auto" w:fill="auto"/>
            <w:vAlign w:val="center"/>
          </w:tcPr>
          <w:p>
            <w:pPr>
              <w:jc w:val="center"/>
              <w:rPr>
                <w:rFonts w:hint="default" w:eastAsia="宋体"/>
                <w:color w:val="auto"/>
                <w:highlight w:val="none"/>
                <w:lang w:val="en-US" w:eastAsia="zh-CN"/>
              </w:rPr>
            </w:pPr>
            <w:r>
              <w:rPr>
                <w:rFonts w:hint="eastAsia"/>
                <w:color w:val="auto"/>
                <w:highlight w:val="none"/>
                <w:lang w:val="en-US" w:eastAsia="zh-CN"/>
              </w:rPr>
              <w:t>0.6324</w:t>
            </w:r>
          </w:p>
        </w:tc>
      </w:tr>
    </w:tbl>
    <w:p>
      <w:pPr>
        <w:pStyle w:val="470"/>
        <w:spacing w:beforeLines="0" w:afterLines="0"/>
        <w:ind w:left="0" w:leftChars="0" w:firstLine="482"/>
        <w:outlineLvl w:val="3"/>
        <w:rPr>
          <w:rFonts w:ascii="Times New Roman" w:hAnsi="Times New Roman"/>
          <w:color w:val="auto"/>
          <w:sz w:val="24"/>
          <w:highlight w:val="none"/>
        </w:rPr>
      </w:pPr>
      <w:r>
        <w:rPr>
          <w:rFonts w:ascii="Times New Roman" w:hAnsi="Times New Roman"/>
          <w:color w:val="auto"/>
          <w:sz w:val="24"/>
          <w:highlight w:val="none"/>
        </w:rPr>
        <w:t>10.2.1.2 其他污染物</w:t>
      </w:r>
    </w:p>
    <w:p>
      <w:pPr>
        <w:spacing w:line="360" w:lineRule="auto"/>
        <w:ind w:firstLine="480"/>
        <w:rPr>
          <w:color w:val="auto"/>
          <w:sz w:val="24"/>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spacing w:line="360" w:lineRule="auto"/>
        <w:ind w:firstLine="482" w:firstLineChars="200"/>
        <w:jc w:val="center"/>
        <w:rPr>
          <w:snapToGrid w:val="0"/>
          <w:color w:val="auto"/>
          <w:sz w:val="24"/>
          <w:highlight w:val="none"/>
        </w:rPr>
      </w:pPr>
      <w:r>
        <w:rPr>
          <w:b/>
          <w:bCs/>
          <w:color w:val="auto"/>
          <w:sz w:val="24"/>
          <w:highlight w:val="none"/>
        </w:rPr>
        <w:t>表10.2-4  污染源排放清单</w:t>
      </w:r>
    </w:p>
    <w:tbl>
      <w:tblPr>
        <w:tblStyle w:val="55"/>
        <w:tblW w:w="13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
        <w:gridCol w:w="1430"/>
        <w:gridCol w:w="992"/>
        <w:gridCol w:w="591"/>
        <w:gridCol w:w="995"/>
        <w:gridCol w:w="2756"/>
        <w:gridCol w:w="1144"/>
        <w:gridCol w:w="892"/>
        <w:gridCol w:w="697"/>
        <w:gridCol w:w="2117"/>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restart"/>
            <w:vAlign w:val="center"/>
          </w:tcPr>
          <w:p>
            <w:pPr>
              <w:jc w:val="center"/>
              <w:rPr>
                <w:b/>
                <w:color w:val="auto"/>
                <w:spacing w:val="-4"/>
                <w:szCs w:val="21"/>
                <w:highlight w:val="none"/>
              </w:rPr>
            </w:pPr>
            <w:r>
              <w:rPr>
                <w:b/>
                <w:color w:val="auto"/>
                <w:spacing w:val="-4"/>
                <w:szCs w:val="21"/>
                <w:highlight w:val="none"/>
              </w:rPr>
              <w:t>类别</w:t>
            </w:r>
          </w:p>
        </w:tc>
        <w:tc>
          <w:tcPr>
            <w:tcW w:w="1430" w:type="dxa"/>
            <w:vMerge w:val="restart"/>
            <w:vAlign w:val="center"/>
          </w:tcPr>
          <w:p>
            <w:pPr>
              <w:jc w:val="center"/>
              <w:rPr>
                <w:b/>
                <w:color w:val="auto"/>
                <w:spacing w:val="-4"/>
                <w:szCs w:val="21"/>
                <w:highlight w:val="none"/>
              </w:rPr>
            </w:pPr>
            <w:r>
              <w:rPr>
                <w:b/>
                <w:color w:val="auto"/>
                <w:spacing w:val="-4"/>
                <w:szCs w:val="21"/>
                <w:highlight w:val="none"/>
              </w:rPr>
              <w:t>污染源</w:t>
            </w:r>
          </w:p>
        </w:tc>
        <w:tc>
          <w:tcPr>
            <w:tcW w:w="992" w:type="dxa"/>
            <w:vMerge w:val="restart"/>
            <w:vAlign w:val="center"/>
          </w:tcPr>
          <w:p>
            <w:pPr>
              <w:jc w:val="center"/>
              <w:rPr>
                <w:b/>
                <w:color w:val="auto"/>
                <w:spacing w:val="-4"/>
                <w:szCs w:val="21"/>
                <w:highlight w:val="none"/>
              </w:rPr>
            </w:pPr>
            <w:r>
              <w:rPr>
                <w:b/>
                <w:color w:val="auto"/>
                <w:spacing w:val="-4"/>
                <w:szCs w:val="21"/>
                <w:highlight w:val="none"/>
              </w:rPr>
              <w:t>污染物</w:t>
            </w:r>
          </w:p>
        </w:tc>
        <w:tc>
          <w:tcPr>
            <w:tcW w:w="1586" w:type="dxa"/>
            <w:gridSpan w:val="2"/>
            <w:vAlign w:val="center"/>
          </w:tcPr>
          <w:p>
            <w:pPr>
              <w:jc w:val="center"/>
              <w:rPr>
                <w:b/>
                <w:color w:val="auto"/>
                <w:spacing w:val="-4"/>
                <w:szCs w:val="21"/>
                <w:highlight w:val="none"/>
              </w:rPr>
            </w:pPr>
            <w:r>
              <w:rPr>
                <w:b/>
                <w:color w:val="auto"/>
                <w:spacing w:val="-4"/>
                <w:szCs w:val="21"/>
                <w:highlight w:val="none"/>
              </w:rPr>
              <w:t>污染物产生</w:t>
            </w:r>
          </w:p>
        </w:tc>
        <w:tc>
          <w:tcPr>
            <w:tcW w:w="3900" w:type="dxa"/>
            <w:gridSpan w:val="2"/>
            <w:vAlign w:val="center"/>
          </w:tcPr>
          <w:p>
            <w:pPr>
              <w:jc w:val="center"/>
              <w:rPr>
                <w:b/>
                <w:color w:val="auto"/>
                <w:spacing w:val="-4"/>
                <w:szCs w:val="21"/>
                <w:highlight w:val="none"/>
              </w:rPr>
            </w:pPr>
            <w:r>
              <w:rPr>
                <w:b/>
                <w:color w:val="auto"/>
                <w:spacing w:val="-4"/>
                <w:szCs w:val="21"/>
                <w:highlight w:val="none"/>
              </w:rPr>
              <w:t>污染防治措施</w:t>
            </w:r>
          </w:p>
        </w:tc>
        <w:tc>
          <w:tcPr>
            <w:tcW w:w="1589" w:type="dxa"/>
            <w:gridSpan w:val="2"/>
            <w:vAlign w:val="center"/>
          </w:tcPr>
          <w:p>
            <w:pPr>
              <w:jc w:val="center"/>
              <w:rPr>
                <w:b/>
                <w:color w:val="auto"/>
                <w:spacing w:val="-4"/>
                <w:szCs w:val="21"/>
                <w:highlight w:val="none"/>
              </w:rPr>
            </w:pPr>
            <w:r>
              <w:rPr>
                <w:b/>
                <w:color w:val="auto"/>
                <w:spacing w:val="-4"/>
                <w:szCs w:val="21"/>
                <w:highlight w:val="none"/>
              </w:rPr>
              <w:t>污染物排放</w:t>
            </w:r>
          </w:p>
        </w:tc>
        <w:tc>
          <w:tcPr>
            <w:tcW w:w="2117" w:type="dxa"/>
            <w:vMerge w:val="restart"/>
            <w:vAlign w:val="center"/>
          </w:tcPr>
          <w:p>
            <w:pPr>
              <w:jc w:val="center"/>
              <w:rPr>
                <w:b/>
                <w:color w:val="auto"/>
                <w:spacing w:val="-4"/>
                <w:szCs w:val="21"/>
                <w:highlight w:val="none"/>
              </w:rPr>
            </w:pPr>
            <w:r>
              <w:rPr>
                <w:b/>
                <w:color w:val="auto"/>
                <w:spacing w:val="-4"/>
                <w:szCs w:val="21"/>
                <w:highlight w:val="none"/>
              </w:rPr>
              <w:t>排放标准限值</w:t>
            </w:r>
          </w:p>
        </w:tc>
        <w:tc>
          <w:tcPr>
            <w:tcW w:w="1621" w:type="dxa"/>
            <w:vMerge w:val="restart"/>
            <w:vAlign w:val="center"/>
          </w:tcPr>
          <w:p>
            <w:pPr>
              <w:jc w:val="center"/>
              <w:rPr>
                <w:b/>
                <w:color w:val="auto"/>
                <w:spacing w:val="-4"/>
                <w:szCs w:val="21"/>
                <w:highlight w:val="none"/>
              </w:rPr>
            </w:pPr>
            <w:r>
              <w:rPr>
                <w:b/>
                <w:color w:val="auto"/>
                <w:spacing w:val="-4"/>
                <w:szCs w:val="21"/>
                <w:highlight w:val="none"/>
              </w:rPr>
              <w:t>排放方式及去向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pacing w:val="-4"/>
                <w:szCs w:val="21"/>
                <w:highlight w:val="none"/>
              </w:rPr>
            </w:pPr>
          </w:p>
        </w:tc>
        <w:tc>
          <w:tcPr>
            <w:tcW w:w="1430" w:type="dxa"/>
            <w:vMerge w:val="continue"/>
            <w:vAlign w:val="center"/>
          </w:tcPr>
          <w:p>
            <w:pPr>
              <w:jc w:val="center"/>
              <w:rPr>
                <w:color w:val="auto"/>
                <w:spacing w:val="-4"/>
                <w:szCs w:val="21"/>
                <w:highlight w:val="none"/>
              </w:rPr>
            </w:pPr>
          </w:p>
        </w:tc>
        <w:tc>
          <w:tcPr>
            <w:tcW w:w="992" w:type="dxa"/>
            <w:vMerge w:val="continue"/>
            <w:vAlign w:val="center"/>
          </w:tcPr>
          <w:p>
            <w:pPr>
              <w:jc w:val="center"/>
              <w:rPr>
                <w:b/>
                <w:color w:val="auto"/>
                <w:spacing w:val="-4"/>
                <w:szCs w:val="21"/>
                <w:highlight w:val="none"/>
              </w:rPr>
            </w:pPr>
          </w:p>
        </w:tc>
        <w:tc>
          <w:tcPr>
            <w:tcW w:w="591" w:type="dxa"/>
            <w:vAlign w:val="center"/>
          </w:tcPr>
          <w:p>
            <w:pPr>
              <w:jc w:val="center"/>
              <w:rPr>
                <w:b/>
                <w:color w:val="auto"/>
                <w:spacing w:val="-4"/>
                <w:szCs w:val="21"/>
                <w:highlight w:val="none"/>
              </w:rPr>
            </w:pPr>
            <w:r>
              <w:rPr>
                <w:b/>
                <w:color w:val="auto"/>
                <w:spacing w:val="-4"/>
                <w:szCs w:val="21"/>
                <w:highlight w:val="none"/>
              </w:rPr>
              <w:t>产生浓度</w:t>
            </w:r>
          </w:p>
        </w:tc>
        <w:tc>
          <w:tcPr>
            <w:tcW w:w="995" w:type="dxa"/>
            <w:vAlign w:val="center"/>
          </w:tcPr>
          <w:p>
            <w:pPr>
              <w:jc w:val="center"/>
              <w:rPr>
                <w:b/>
                <w:color w:val="auto"/>
                <w:spacing w:val="-4"/>
                <w:szCs w:val="21"/>
                <w:highlight w:val="none"/>
              </w:rPr>
            </w:pPr>
            <w:r>
              <w:rPr>
                <w:b/>
                <w:color w:val="auto"/>
                <w:spacing w:val="-4"/>
                <w:szCs w:val="21"/>
                <w:highlight w:val="none"/>
              </w:rPr>
              <w:t>产生量</w:t>
            </w:r>
          </w:p>
          <w:p>
            <w:pPr>
              <w:jc w:val="center"/>
              <w:rPr>
                <w:b/>
                <w:color w:val="auto"/>
                <w:spacing w:val="-4"/>
                <w:szCs w:val="21"/>
                <w:highlight w:val="none"/>
              </w:rPr>
            </w:pPr>
            <w:r>
              <w:rPr>
                <w:b/>
                <w:color w:val="auto"/>
                <w:spacing w:val="-4"/>
                <w:szCs w:val="21"/>
                <w:highlight w:val="none"/>
              </w:rPr>
              <w:t>（t/a）</w:t>
            </w:r>
          </w:p>
        </w:tc>
        <w:tc>
          <w:tcPr>
            <w:tcW w:w="2756" w:type="dxa"/>
            <w:vAlign w:val="center"/>
          </w:tcPr>
          <w:p>
            <w:pPr>
              <w:jc w:val="center"/>
              <w:rPr>
                <w:b/>
                <w:color w:val="auto"/>
                <w:spacing w:val="-4"/>
                <w:szCs w:val="21"/>
                <w:highlight w:val="none"/>
              </w:rPr>
            </w:pPr>
            <w:r>
              <w:rPr>
                <w:b/>
                <w:color w:val="auto"/>
                <w:spacing w:val="-4"/>
                <w:szCs w:val="21"/>
                <w:highlight w:val="none"/>
              </w:rPr>
              <w:t>工艺</w:t>
            </w:r>
          </w:p>
        </w:tc>
        <w:tc>
          <w:tcPr>
            <w:tcW w:w="1144" w:type="dxa"/>
            <w:vAlign w:val="center"/>
          </w:tcPr>
          <w:p>
            <w:pPr>
              <w:jc w:val="center"/>
              <w:rPr>
                <w:b/>
                <w:color w:val="auto"/>
                <w:spacing w:val="-4"/>
                <w:szCs w:val="21"/>
                <w:highlight w:val="none"/>
              </w:rPr>
            </w:pPr>
            <w:r>
              <w:rPr>
                <w:b/>
                <w:color w:val="auto"/>
                <w:spacing w:val="-4"/>
                <w:szCs w:val="21"/>
                <w:highlight w:val="none"/>
              </w:rPr>
              <w:t>效率（%）</w:t>
            </w:r>
          </w:p>
        </w:tc>
        <w:tc>
          <w:tcPr>
            <w:tcW w:w="892" w:type="dxa"/>
            <w:vAlign w:val="center"/>
          </w:tcPr>
          <w:p>
            <w:pPr>
              <w:jc w:val="center"/>
              <w:rPr>
                <w:b/>
                <w:color w:val="auto"/>
                <w:spacing w:val="-4"/>
                <w:szCs w:val="21"/>
                <w:highlight w:val="none"/>
              </w:rPr>
            </w:pPr>
            <w:r>
              <w:rPr>
                <w:b/>
                <w:color w:val="auto"/>
                <w:spacing w:val="-4"/>
                <w:szCs w:val="21"/>
                <w:highlight w:val="none"/>
              </w:rPr>
              <w:t>排放浓度</w:t>
            </w:r>
          </w:p>
        </w:tc>
        <w:tc>
          <w:tcPr>
            <w:tcW w:w="697" w:type="dxa"/>
            <w:vAlign w:val="center"/>
          </w:tcPr>
          <w:p>
            <w:pPr>
              <w:jc w:val="center"/>
              <w:rPr>
                <w:b/>
                <w:color w:val="auto"/>
                <w:spacing w:val="-4"/>
                <w:szCs w:val="21"/>
                <w:highlight w:val="none"/>
              </w:rPr>
            </w:pPr>
            <w:r>
              <w:rPr>
                <w:b/>
                <w:color w:val="auto"/>
                <w:spacing w:val="-4"/>
                <w:szCs w:val="21"/>
                <w:highlight w:val="none"/>
              </w:rPr>
              <w:t>排放量</w:t>
            </w:r>
          </w:p>
          <w:p>
            <w:pPr>
              <w:jc w:val="center"/>
              <w:rPr>
                <w:b/>
                <w:color w:val="auto"/>
                <w:spacing w:val="-4"/>
                <w:szCs w:val="21"/>
                <w:highlight w:val="none"/>
              </w:rPr>
            </w:pPr>
            <w:r>
              <w:rPr>
                <w:b/>
                <w:color w:val="auto"/>
                <w:spacing w:val="-4"/>
                <w:szCs w:val="21"/>
                <w:highlight w:val="none"/>
              </w:rPr>
              <w:t>（t/a）</w:t>
            </w:r>
          </w:p>
        </w:tc>
        <w:tc>
          <w:tcPr>
            <w:tcW w:w="2117" w:type="dxa"/>
            <w:vMerge w:val="continue"/>
            <w:vAlign w:val="center"/>
          </w:tcPr>
          <w:p>
            <w:pPr>
              <w:jc w:val="center"/>
              <w:rPr>
                <w:color w:val="auto"/>
                <w:spacing w:val="-4"/>
                <w:szCs w:val="21"/>
                <w:highlight w:val="none"/>
              </w:rPr>
            </w:pPr>
          </w:p>
        </w:tc>
        <w:tc>
          <w:tcPr>
            <w:tcW w:w="1621" w:type="dxa"/>
            <w:vMerge w:val="continue"/>
            <w:vAlign w:val="center"/>
          </w:tcPr>
          <w:p>
            <w:pPr>
              <w:jc w:val="center"/>
              <w:rPr>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 w:hRule="atLeast"/>
        </w:trPr>
        <w:tc>
          <w:tcPr>
            <w:tcW w:w="308" w:type="dxa"/>
            <w:vMerge w:val="restart"/>
            <w:vAlign w:val="center"/>
          </w:tcPr>
          <w:p>
            <w:pPr>
              <w:jc w:val="center"/>
              <w:rPr>
                <w:rFonts w:hint="eastAsia" w:eastAsia="宋体"/>
                <w:b/>
                <w:color w:val="auto"/>
                <w:spacing w:val="-4"/>
                <w:szCs w:val="21"/>
                <w:highlight w:val="none"/>
                <w:lang w:val="en-US" w:eastAsia="zh-CN"/>
              </w:rPr>
            </w:pPr>
            <w:r>
              <w:rPr>
                <w:rFonts w:hint="eastAsia"/>
                <w:b/>
                <w:color w:val="auto"/>
                <w:spacing w:val="-4"/>
                <w:szCs w:val="21"/>
                <w:highlight w:val="none"/>
                <w:lang w:val="en-US" w:eastAsia="zh-CN"/>
              </w:rPr>
              <w:t>废气</w:t>
            </w:r>
          </w:p>
        </w:tc>
        <w:tc>
          <w:tcPr>
            <w:tcW w:w="1430" w:type="dxa"/>
            <w:vAlign w:val="center"/>
          </w:tcPr>
          <w:p>
            <w:pPr>
              <w:jc w:val="center"/>
              <w:rPr>
                <w:rFonts w:hint="default"/>
                <w:color w:val="auto"/>
                <w:spacing w:val="-4"/>
                <w:szCs w:val="21"/>
                <w:highlight w:val="none"/>
                <w:lang w:val="en-US" w:eastAsia="zh-CN"/>
              </w:rPr>
            </w:pPr>
            <w:r>
              <w:rPr>
                <w:rFonts w:hint="eastAsia"/>
                <w:color w:val="auto"/>
                <w:spacing w:val="-4"/>
                <w:szCs w:val="21"/>
                <w:highlight w:val="none"/>
                <w:lang w:val="en-US" w:eastAsia="zh-CN"/>
              </w:rPr>
              <w:t>拌料工序</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粉尘</w:t>
            </w:r>
          </w:p>
        </w:tc>
        <w:tc>
          <w:tcPr>
            <w:tcW w:w="5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0.63</w:t>
            </w:r>
          </w:p>
        </w:tc>
        <w:tc>
          <w:tcPr>
            <w:tcW w:w="27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封闭装置内进行，车间沉降后无组织排放</w:t>
            </w: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90</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0.063</w:t>
            </w:r>
          </w:p>
        </w:tc>
        <w:tc>
          <w:tcPr>
            <w:tcW w:w="2117" w:type="dxa"/>
            <w:vMerge w:val="restart"/>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《合成树脂工业污染物排放标准》（GB31572-2015</w:t>
            </w:r>
          </w:p>
        </w:tc>
        <w:tc>
          <w:tcPr>
            <w:tcW w:w="1621"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 w:hRule="atLeast"/>
        </w:trPr>
        <w:tc>
          <w:tcPr>
            <w:tcW w:w="308" w:type="dxa"/>
            <w:vMerge w:val="continue"/>
            <w:vAlign w:val="center"/>
          </w:tcPr>
          <w:p>
            <w:pPr>
              <w:jc w:val="center"/>
              <w:rPr>
                <w:b/>
                <w:color w:val="auto"/>
                <w:spacing w:val="-4"/>
                <w:szCs w:val="21"/>
                <w:highlight w:val="none"/>
              </w:rPr>
            </w:pPr>
          </w:p>
        </w:tc>
        <w:tc>
          <w:tcPr>
            <w:tcW w:w="1430" w:type="dxa"/>
            <w:vAlign w:val="center"/>
          </w:tcPr>
          <w:p>
            <w:pPr>
              <w:jc w:val="center"/>
              <w:rPr>
                <w:rFonts w:hint="default"/>
                <w:color w:val="auto"/>
                <w:spacing w:val="-4"/>
                <w:szCs w:val="21"/>
                <w:highlight w:val="none"/>
                <w:lang w:val="en-US" w:eastAsia="zh-CN"/>
              </w:rPr>
            </w:pPr>
            <w:r>
              <w:rPr>
                <w:rFonts w:hint="eastAsia"/>
                <w:color w:val="auto"/>
                <w:spacing w:val="-4"/>
                <w:szCs w:val="21"/>
                <w:highlight w:val="none"/>
                <w:lang w:val="en-US" w:eastAsia="zh-CN"/>
              </w:rPr>
              <w:t>破碎工序</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粉尘</w:t>
            </w:r>
          </w:p>
        </w:tc>
        <w:tc>
          <w:tcPr>
            <w:tcW w:w="5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0.0012</w:t>
            </w:r>
          </w:p>
        </w:tc>
        <w:tc>
          <w:tcPr>
            <w:tcW w:w="27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破碎过程全密闭，规范生产操作</w:t>
            </w: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80</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0.00024</w:t>
            </w:r>
          </w:p>
        </w:tc>
        <w:tc>
          <w:tcPr>
            <w:tcW w:w="2117" w:type="dxa"/>
            <w:vMerge w:val="continue"/>
            <w:vAlign w:val="center"/>
          </w:tcPr>
          <w:p>
            <w:pPr>
              <w:jc w:val="center"/>
              <w:rPr>
                <w:rFonts w:hint="eastAsia" w:ascii="Times New Roman" w:hAnsi="Times New Roman" w:eastAsia="宋体" w:cs="Times New Roman"/>
                <w:color w:val="auto"/>
                <w:szCs w:val="21"/>
                <w:highlight w:val="none"/>
                <w:lang w:val="en-US" w:eastAsia="zh-CN"/>
              </w:rPr>
            </w:pPr>
          </w:p>
        </w:tc>
        <w:tc>
          <w:tcPr>
            <w:tcW w:w="1621"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 w:hRule="atLeast"/>
        </w:trPr>
        <w:tc>
          <w:tcPr>
            <w:tcW w:w="308" w:type="dxa"/>
            <w:vMerge w:val="continue"/>
            <w:vAlign w:val="center"/>
          </w:tcPr>
          <w:p>
            <w:pPr>
              <w:jc w:val="center"/>
              <w:rPr>
                <w:b/>
                <w:color w:val="auto"/>
                <w:spacing w:val="-4"/>
                <w:szCs w:val="21"/>
                <w:highlight w:val="none"/>
              </w:rPr>
            </w:pPr>
          </w:p>
        </w:tc>
        <w:tc>
          <w:tcPr>
            <w:tcW w:w="1430" w:type="dxa"/>
            <w:vMerge w:val="restart"/>
            <w:vAlign w:val="center"/>
          </w:tcPr>
          <w:p>
            <w:pPr>
              <w:jc w:val="center"/>
              <w:rPr>
                <w:rFonts w:hint="default"/>
                <w:color w:val="auto"/>
                <w:spacing w:val="-4"/>
                <w:szCs w:val="21"/>
                <w:highlight w:val="none"/>
                <w:lang w:val="en-US" w:eastAsia="zh-CN"/>
              </w:rPr>
            </w:pPr>
            <w:r>
              <w:rPr>
                <w:rFonts w:hint="eastAsia"/>
                <w:color w:val="auto"/>
                <w:spacing w:val="-4"/>
                <w:szCs w:val="21"/>
                <w:highlight w:val="none"/>
                <w:lang w:val="en-US" w:eastAsia="zh-CN"/>
              </w:rPr>
              <w:t>热熔注塑</w:t>
            </w:r>
          </w:p>
        </w:tc>
        <w:tc>
          <w:tcPr>
            <w:tcW w:w="99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非甲烷总烃</w:t>
            </w:r>
          </w:p>
        </w:tc>
        <w:tc>
          <w:tcPr>
            <w:tcW w:w="5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175.78</w:t>
            </w:r>
          </w:p>
        </w:tc>
        <w:tc>
          <w:tcPr>
            <w:tcW w:w="9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3.375</w:t>
            </w:r>
          </w:p>
        </w:tc>
        <w:tc>
          <w:tcPr>
            <w:tcW w:w="275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集气罩收集+三级活性炭吸附装置处理后通过15m高排气筒排放，未被集气罩收集的（约10%）呈无组织排放</w:t>
            </w: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80%</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35.156</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0.6075</w:t>
            </w:r>
          </w:p>
        </w:tc>
        <w:tc>
          <w:tcPr>
            <w:tcW w:w="2117" w:type="dxa"/>
            <w:vMerge w:val="continue"/>
            <w:vAlign w:val="center"/>
          </w:tcPr>
          <w:p>
            <w:pPr>
              <w:jc w:val="center"/>
              <w:rPr>
                <w:rFonts w:hint="eastAsia" w:ascii="Times New Roman" w:hAnsi="Times New Roman" w:eastAsia="宋体" w:cs="Times New Roman"/>
                <w:color w:val="auto"/>
                <w:szCs w:val="21"/>
                <w:highlight w:val="none"/>
                <w:lang w:val="en-US" w:eastAsia="zh-CN"/>
              </w:rPr>
            </w:pPr>
          </w:p>
        </w:tc>
        <w:tc>
          <w:tcPr>
            <w:tcW w:w="1621"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通过15m高排气筒有组织排放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 w:hRule="atLeast"/>
        </w:trPr>
        <w:tc>
          <w:tcPr>
            <w:tcW w:w="308" w:type="dxa"/>
            <w:vMerge w:val="continue"/>
            <w:vAlign w:val="center"/>
          </w:tcPr>
          <w:p>
            <w:pPr>
              <w:jc w:val="center"/>
              <w:rPr>
                <w:b/>
                <w:color w:val="auto"/>
                <w:spacing w:val="-4"/>
                <w:szCs w:val="21"/>
                <w:highlight w:val="none"/>
              </w:rPr>
            </w:pPr>
          </w:p>
        </w:tc>
        <w:tc>
          <w:tcPr>
            <w:tcW w:w="1430" w:type="dxa"/>
            <w:vMerge w:val="continue"/>
            <w:vAlign w:val="center"/>
          </w:tcPr>
          <w:p>
            <w:pPr>
              <w:jc w:val="center"/>
              <w:rPr>
                <w:rFonts w:hint="eastAsia"/>
                <w:color w:val="auto"/>
                <w:spacing w:val="-4"/>
                <w:szCs w:val="21"/>
                <w:highlight w:val="none"/>
                <w:lang w:val="en-US" w:eastAsia="zh-CN"/>
              </w:rPr>
            </w:pPr>
          </w:p>
        </w:tc>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lang w:val="en-US" w:eastAsia="zh-CN"/>
              </w:rPr>
            </w:pPr>
          </w:p>
        </w:tc>
        <w:tc>
          <w:tcPr>
            <w:tcW w:w="5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lang w:val="en-US" w:eastAsia="zh-CN"/>
              </w:rPr>
            </w:pPr>
          </w:p>
        </w:tc>
        <w:tc>
          <w:tcPr>
            <w:tcW w:w="9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pacing w:val="-4"/>
                <w:szCs w:val="21"/>
                <w:highlight w:val="none"/>
                <w:lang w:val="en-US" w:eastAsia="zh-CN"/>
              </w:rPr>
            </w:pPr>
          </w:p>
        </w:tc>
        <w:tc>
          <w:tcPr>
            <w:tcW w:w="27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pacing w:val="-4"/>
                <w:szCs w:val="21"/>
                <w:highlight w:val="none"/>
                <w:lang w:val="en-US" w:eastAsia="zh-CN"/>
              </w:rPr>
            </w:pP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0.3375</w:t>
            </w:r>
          </w:p>
        </w:tc>
        <w:tc>
          <w:tcPr>
            <w:tcW w:w="2117" w:type="dxa"/>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《挥发性有机物无组织排放控制标准》（GB37822-2019）</w:t>
            </w:r>
          </w:p>
        </w:tc>
        <w:tc>
          <w:tcPr>
            <w:tcW w:w="1621"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 w:hRule="atLeast"/>
        </w:trPr>
        <w:tc>
          <w:tcPr>
            <w:tcW w:w="308" w:type="dxa"/>
            <w:vMerge w:val="continue"/>
            <w:vAlign w:val="center"/>
          </w:tcPr>
          <w:p>
            <w:pPr>
              <w:jc w:val="center"/>
              <w:rPr>
                <w:b/>
                <w:color w:val="auto"/>
                <w:spacing w:val="-4"/>
                <w:szCs w:val="21"/>
                <w:highlight w:val="none"/>
              </w:rPr>
            </w:pPr>
          </w:p>
        </w:tc>
        <w:tc>
          <w:tcPr>
            <w:tcW w:w="1430" w:type="dxa"/>
            <w:vMerge w:val="continue"/>
            <w:vAlign w:val="center"/>
          </w:tcPr>
          <w:p>
            <w:pPr>
              <w:jc w:val="center"/>
              <w:rPr>
                <w:rFonts w:hint="eastAsia"/>
                <w:color w:val="auto"/>
                <w:spacing w:val="-4"/>
                <w:szCs w:val="21"/>
                <w:highlight w:val="none"/>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恶臭</w:t>
            </w:r>
          </w:p>
        </w:tc>
        <w:tc>
          <w:tcPr>
            <w:tcW w:w="5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w:t>
            </w:r>
          </w:p>
        </w:tc>
        <w:tc>
          <w:tcPr>
            <w:tcW w:w="27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pacing w:val="-4"/>
                <w:szCs w:val="21"/>
                <w:highlight w:val="none"/>
                <w:lang w:val="en-US" w:eastAsia="zh-CN"/>
              </w:rPr>
            </w:pP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4"/>
                <w:szCs w:val="21"/>
                <w:highlight w:val="none"/>
                <w:lang w:val="en-US" w:eastAsia="zh-CN"/>
              </w:rPr>
            </w:pPr>
            <w:r>
              <w:rPr>
                <w:rFonts w:hint="eastAsia"/>
                <w:color w:val="auto"/>
                <w:spacing w:val="-4"/>
                <w:szCs w:val="21"/>
                <w:highlight w:val="none"/>
                <w:lang w:val="en-US" w:eastAsia="zh-CN"/>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2117" w:type="dxa"/>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《恶臭污染物排放标准》（GB14554-93）</w:t>
            </w:r>
          </w:p>
        </w:tc>
        <w:tc>
          <w:tcPr>
            <w:tcW w:w="1621"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 w:hRule="atLeast"/>
        </w:trPr>
        <w:tc>
          <w:tcPr>
            <w:tcW w:w="308" w:type="dxa"/>
            <w:vMerge w:val="restart"/>
            <w:vAlign w:val="center"/>
          </w:tcPr>
          <w:p>
            <w:pPr>
              <w:jc w:val="center"/>
              <w:rPr>
                <w:b/>
                <w:color w:val="auto"/>
                <w:spacing w:val="-4"/>
                <w:szCs w:val="21"/>
                <w:highlight w:val="none"/>
              </w:rPr>
            </w:pPr>
            <w:r>
              <w:rPr>
                <w:b/>
                <w:color w:val="auto"/>
                <w:spacing w:val="-4"/>
                <w:szCs w:val="21"/>
                <w:highlight w:val="none"/>
              </w:rPr>
              <w:t>废水</w:t>
            </w:r>
          </w:p>
        </w:tc>
        <w:tc>
          <w:tcPr>
            <w:tcW w:w="1430" w:type="dxa"/>
            <w:vMerge w:val="restart"/>
            <w:vAlign w:val="center"/>
          </w:tcPr>
          <w:p>
            <w:pPr>
              <w:jc w:val="center"/>
              <w:rPr>
                <w:color w:val="auto"/>
                <w:spacing w:val="-4"/>
                <w:szCs w:val="21"/>
                <w:highlight w:val="none"/>
              </w:rPr>
            </w:pPr>
            <w:r>
              <w:rPr>
                <w:rFonts w:hint="eastAsia"/>
                <w:color w:val="auto"/>
                <w:spacing w:val="-4"/>
                <w:szCs w:val="21"/>
                <w:highlight w:val="none"/>
                <w:lang w:val="en-US" w:eastAsia="zh-CN"/>
              </w:rPr>
              <w:t>地面清洗废水、</w:t>
            </w:r>
            <w:r>
              <w:rPr>
                <w:color w:val="auto"/>
                <w:spacing w:val="-4"/>
                <w:szCs w:val="21"/>
                <w:highlight w:val="none"/>
              </w:rPr>
              <w:t>生活污水</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4"/>
                <w:szCs w:val="21"/>
                <w:highlight w:val="none"/>
              </w:rPr>
            </w:pPr>
            <w:r>
              <w:rPr>
                <w:color w:val="auto"/>
                <w:szCs w:val="21"/>
                <w:highlight w:val="none"/>
              </w:rPr>
              <w:t>废水量</w:t>
            </w:r>
          </w:p>
        </w:tc>
        <w:tc>
          <w:tcPr>
            <w:tcW w:w="5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highlight w:val="none"/>
                <w:lang w:val="en-US" w:eastAsia="zh-CN"/>
              </w:rPr>
            </w:pPr>
            <w:r>
              <w:rPr>
                <w:rFonts w:hint="eastAsia"/>
                <w:color w:val="auto"/>
                <w:spacing w:val="-4"/>
                <w:szCs w:val="21"/>
                <w:highlight w:val="none"/>
                <w:lang w:val="en-US" w:eastAsia="zh-CN"/>
              </w:rPr>
              <w:t>113.76</w:t>
            </w:r>
          </w:p>
        </w:tc>
        <w:tc>
          <w:tcPr>
            <w:tcW w:w="275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pacing w:val="-4"/>
                <w:szCs w:val="21"/>
                <w:highlight w:val="none"/>
                <w:lang w:val="en-US" w:eastAsia="zh-CN"/>
              </w:rPr>
            </w:pPr>
            <w:r>
              <w:rPr>
                <w:rFonts w:hint="eastAsia"/>
                <w:color w:val="auto"/>
                <w:spacing w:val="-4"/>
                <w:szCs w:val="21"/>
                <w:highlight w:val="none"/>
                <w:lang w:val="en-US" w:eastAsia="zh-CN"/>
              </w:rPr>
              <w:t>经化粪池收集处理后，由建设单位定期清运至寻甸县水质净化厂。</w:t>
            </w: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pacing w:val="-4"/>
                <w:szCs w:val="21"/>
                <w:highlight w:val="none"/>
                <w:lang w:val="en-US" w:eastAsia="zh-CN"/>
              </w:rPr>
            </w:pPr>
            <w:r>
              <w:rPr>
                <w:rFonts w:hint="eastAsia"/>
                <w:color w:val="auto"/>
                <w:spacing w:val="-4"/>
                <w:szCs w:val="21"/>
                <w:highlight w:val="none"/>
                <w:lang w:val="en-US" w:eastAsia="zh-CN"/>
              </w:rPr>
              <w:t>/</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pacing w:val="-4"/>
                <w:szCs w:val="21"/>
                <w:highlight w:val="none"/>
                <w:lang w:val="en-US" w:eastAsia="zh-CN"/>
              </w:rPr>
            </w:pPr>
            <w:r>
              <w:rPr>
                <w:rFonts w:hint="eastAsia"/>
                <w:color w:val="auto"/>
                <w:spacing w:val="-4"/>
                <w:szCs w:val="21"/>
                <w:highlight w:val="none"/>
                <w:lang w:val="en-US" w:eastAsia="zh-CN"/>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113.76</w:t>
            </w:r>
          </w:p>
        </w:tc>
        <w:tc>
          <w:tcPr>
            <w:tcW w:w="2117" w:type="dxa"/>
            <w:vMerge w:val="restart"/>
            <w:vAlign w:val="center"/>
          </w:tcPr>
          <w:p>
            <w:pPr>
              <w:jc w:val="center"/>
              <w:rPr>
                <w:rFonts w:hint="default" w:eastAsia="宋体"/>
                <w:color w:val="auto"/>
                <w:spacing w:val="-4"/>
                <w:szCs w:val="21"/>
                <w:highlight w:val="none"/>
                <w:lang w:val="en-US" w:eastAsia="zh-CN"/>
              </w:rPr>
            </w:pPr>
            <w:r>
              <w:rPr>
                <w:rFonts w:hint="eastAsia"/>
                <w:color w:val="auto"/>
                <w:spacing w:val="-4"/>
                <w:szCs w:val="21"/>
                <w:highlight w:val="none"/>
                <w:lang w:eastAsia="zh-CN"/>
              </w:rPr>
              <w:t>《</w:t>
            </w:r>
            <w:r>
              <w:rPr>
                <w:rFonts w:hint="eastAsia"/>
                <w:color w:val="auto"/>
                <w:spacing w:val="-4"/>
                <w:szCs w:val="21"/>
                <w:highlight w:val="none"/>
                <w:lang w:val="en-US" w:eastAsia="zh-CN"/>
              </w:rPr>
              <w:t>污水排入城镇下水道水质标准</w:t>
            </w:r>
            <w:r>
              <w:rPr>
                <w:rFonts w:hint="eastAsia"/>
                <w:color w:val="auto"/>
                <w:spacing w:val="-4"/>
                <w:szCs w:val="21"/>
                <w:highlight w:val="none"/>
                <w:lang w:eastAsia="zh-CN"/>
              </w:rPr>
              <w:t>》（</w:t>
            </w:r>
            <w:r>
              <w:rPr>
                <w:rFonts w:hint="eastAsia"/>
                <w:color w:val="auto"/>
                <w:spacing w:val="-4"/>
                <w:szCs w:val="21"/>
                <w:highlight w:val="none"/>
                <w:lang w:val="en-US" w:eastAsia="zh-CN"/>
              </w:rPr>
              <w:t>GB/T31962-2015</w:t>
            </w:r>
            <w:r>
              <w:rPr>
                <w:rFonts w:hint="eastAsia"/>
                <w:color w:val="auto"/>
                <w:spacing w:val="-4"/>
                <w:szCs w:val="21"/>
                <w:highlight w:val="none"/>
                <w:lang w:eastAsia="zh-CN"/>
              </w:rPr>
              <w:t>）</w:t>
            </w:r>
            <w:r>
              <w:rPr>
                <w:rFonts w:hint="eastAsia"/>
                <w:color w:val="auto"/>
                <w:spacing w:val="-4"/>
                <w:szCs w:val="21"/>
                <w:highlight w:val="none"/>
                <w:lang w:val="en-US" w:eastAsia="zh-CN"/>
              </w:rPr>
              <w:t>B等级标准及</w:t>
            </w:r>
            <w:r>
              <w:rPr>
                <w:rFonts w:hint="eastAsia" w:cs="Times New Roman"/>
                <w:color w:val="auto"/>
                <w:highlight w:val="none"/>
                <w:vertAlign w:val="baseline"/>
                <w:lang w:val="en-US" w:eastAsia="zh-CN"/>
              </w:rPr>
              <w:t>生活废水委托处理合同商定的排放协议标准</w:t>
            </w:r>
          </w:p>
        </w:tc>
        <w:tc>
          <w:tcPr>
            <w:tcW w:w="1621" w:type="dxa"/>
            <w:vMerge w:val="restart"/>
            <w:vAlign w:val="center"/>
          </w:tcPr>
          <w:p>
            <w:pPr>
              <w:jc w:val="center"/>
              <w:rPr>
                <w:rFonts w:hint="default" w:eastAsia="宋体"/>
                <w:color w:val="auto"/>
                <w:spacing w:val="-4"/>
                <w:szCs w:val="21"/>
                <w:highlight w:val="none"/>
                <w:lang w:val="en-US" w:eastAsia="zh-CN"/>
              </w:rPr>
            </w:pPr>
            <w:r>
              <w:rPr>
                <w:color w:val="auto"/>
                <w:spacing w:val="-4"/>
                <w:szCs w:val="21"/>
                <w:highlight w:val="none"/>
              </w:rPr>
              <w:t>定期</w:t>
            </w:r>
            <w:r>
              <w:rPr>
                <w:rFonts w:hint="eastAsia"/>
                <w:color w:val="auto"/>
                <w:spacing w:val="-4"/>
                <w:szCs w:val="21"/>
                <w:highlight w:val="none"/>
                <w:lang w:val="en-US" w:eastAsia="zh-CN"/>
              </w:rPr>
              <w:t>由建设单位抽运至寻甸县水质净化厂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6" w:hRule="atLeast"/>
        </w:trPr>
        <w:tc>
          <w:tcPr>
            <w:tcW w:w="308" w:type="dxa"/>
            <w:vMerge w:val="continue"/>
            <w:vAlign w:val="center"/>
          </w:tcPr>
          <w:p>
            <w:pPr>
              <w:jc w:val="center"/>
              <w:rPr>
                <w:b/>
                <w:color w:val="auto"/>
                <w:spacing w:val="-4"/>
                <w:szCs w:val="21"/>
                <w:highlight w:val="none"/>
              </w:rPr>
            </w:pPr>
          </w:p>
        </w:tc>
        <w:tc>
          <w:tcPr>
            <w:tcW w:w="1430" w:type="dxa"/>
            <w:vMerge w:val="continue"/>
            <w:vAlign w:val="center"/>
          </w:tcPr>
          <w:p>
            <w:pPr>
              <w:jc w:val="center"/>
              <w:rPr>
                <w:color w:val="auto"/>
                <w:spacing w:val="-4"/>
                <w:szCs w:val="21"/>
                <w:highlight w:val="none"/>
              </w:rPr>
            </w:pPr>
          </w:p>
        </w:tc>
        <w:tc>
          <w:tcPr>
            <w:tcW w:w="992" w:type="dxa"/>
            <w:vAlign w:val="center"/>
          </w:tcPr>
          <w:p>
            <w:pPr>
              <w:jc w:val="center"/>
              <w:rPr>
                <w:color w:val="auto"/>
                <w:szCs w:val="21"/>
                <w:highlight w:val="none"/>
              </w:rPr>
            </w:pPr>
            <w:r>
              <w:rPr>
                <w:color w:val="auto"/>
                <w:szCs w:val="21"/>
                <w:highlight w:val="none"/>
              </w:rPr>
              <w:t>COD</w:t>
            </w:r>
          </w:p>
        </w:tc>
        <w:tc>
          <w:tcPr>
            <w:tcW w:w="591"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400</w:t>
            </w:r>
          </w:p>
        </w:tc>
        <w:tc>
          <w:tcPr>
            <w:tcW w:w="995"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0.0455</w:t>
            </w:r>
          </w:p>
        </w:tc>
        <w:tc>
          <w:tcPr>
            <w:tcW w:w="2756" w:type="dxa"/>
            <w:vMerge w:val="continue"/>
            <w:vAlign w:val="center"/>
          </w:tcPr>
          <w:p>
            <w:pPr>
              <w:jc w:val="center"/>
              <w:rPr>
                <w:color w:val="auto"/>
                <w:spacing w:val="-4"/>
                <w:szCs w:val="21"/>
                <w:highlight w:val="none"/>
              </w:rPr>
            </w:pPr>
          </w:p>
        </w:tc>
        <w:tc>
          <w:tcPr>
            <w:tcW w:w="1144" w:type="dxa"/>
            <w:vAlign w:val="center"/>
          </w:tcPr>
          <w:p>
            <w:pPr>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25</w:t>
            </w:r>
          </w:p>
        </w:tc>
        <w:tc>
          <w:tcPr>
            <w:tcW w:w="892" w:type="dxa"/>
            <w:vAlign w:val="center"/>
          </w:tcPr>
          <w:p>
            <w:pPr>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300</w:t>
            </w:r>
          </w:p>
        </w:tc>
        <w:tc>
          <w:tcPr>
            <w:tcW w:w="69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0.034</w:t>
            </w:r>
          </w:p>
        </w:tc>
        <w:tc>
          <w:tcPr>
            <w:tcW w:w="2117" w:type="dxa"/>
            <w:vMerge w:val="continue"/>
            <w:vAlign w:val="center"/>
          </w:tcPr>
          <w:p>
            <w:pPr>
              <w:jc w:val="center"/>
              <w:rPr>
                <w:color w:val="auto"/>
                <w:spacing w:val="-4"/>
                <w:szCs w:val="21"/>
                <w:highlight w:val="none"/>
              </w:rPr>
            </w:pPr>
          </w:p>
        </w:tc>
        <w:tc>
          <w:tcPr>
            <w:tcW w:w="1621" w:type="dxa"/>
            <w:vMerge w:val="continue"/>
            <w:vAlign w:val="center"/>
          </w:tcPr>
          <w:p>
            <w:pPr>
              <w:jc w:val="center"/>
              <w:rPr>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pacing w:val="-4"/>
                <w:szCs w:val="21"/>
                <w:highlight w:val="none"/>
              </w:rPr>
            </w:pPr>
          </w:p>
        </w:tc>
        <w:tc>
          <w:tcPr>
            <w:tcW w:w="1430" w:type="dxa"/>
            <w:vMerge w:val="continue"/>
            <w:vAlign w:val="center"/>
          </w:tcPr>
          <w:p>
            <w:pPr>
              <w:jc w:val="center"/>
              <w:rPr>
                <w:color w:val="auto"/>
                <w:spacing w:val="-4"/>
                <w:szCs w:val="21"/>
                <w:highlight w:val="none"/>
              </w:rPr>
            </w:pPr>
          </w:p>
        </w:tc>
        <w:tc>
          <w:tcPr>
            <w:tcW w:w="992" w:type="dxa"/>
            <w:vAlign w:val="center"/>
          </w:tcPr>
          <w:p>
            <w:pPr>
              <w:jc w:val="center"/>
              <w:rPr>
                <w:color w:val="auto"/>
                <w:szCs w:val="21"/>
                <w:highlight w:val="none"/>
              </w:rPr>
            </w:pPr>
            <w:r>
              <w:rPr>
                <w:rFonts w:hint="eastAsia"/>
                <w:color w:val="auto"/>
                <w:szCs w:val="21"/>
                <w:highlight w:val="none"/>
              </w:rPr>
              <w:t>BOD</w:t>
            </w:r>
            <w:r>
              <w:rPr>
                <w:rFonts w:hint="eastAsia"/>
                <w:color w:val="auto"/>
                <w:szCs w:val="21"/>
                <w:highlight w:val="none"/>
                <w:vertAlign w:val="subscript"/>
              </w:rPr>
              <w:t>5</w:t>
            </w:r>
          </w:p>
        </w:tc>
        <w:tc>
          <w:tcPr>
            <w:tcW w:w="591"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200</w:t>
            </w:r>
          </w:p>
        </w:tc>
        <w:tc>
          <w:tcPr>
            <w:tcW w:w="995"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0.02275</w:t>
            </w:r>
          </w:p>
        </w:tc>
        <w:tc>
          <w:tcPr>
            <w:tcW w:w="2756" w:type="dxa"/>
            <w:vMerge w:val="continue"/>
            <w:vAlign w:val="center"/>
          </w:tcPr>
          <w:p>
            <w:pPr>
              <w:jc w:val="center"/>
              <w:rPr>
                <w:color w:val="auto"/>
                <w:spacing w:val="-4"/>
                <w:szCs w:val="21"/>
                <w:highlight w:val="none"/>
              </w:rPr>
            </w:pPr>
          </w:p>
        </w:tc>
        <w:tc>
          <w:tcPr>
            <w:tcW w:w="1144" w:type="dxa"/>
            <w:vAlign w:val="center"/>
          </w:tcPr>
          <w:p>
            <w:pPr>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10</w:t>
            </w:r>
          </w:p>
        </w:tc>
        <w:tc>
          <w:tcPr>
            <w:tcW w:w="89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180</w:t>
            </w:r>
          </w:p>
        </w:tc>
        <w:tc>
          <w:tcPr>
            <w:tcW w:w="69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0.0205</w:t>
            </w:r>
          </w:p>
        </w:tc>
        <w:tc>
          <w:tcPr>
            <w:tcW w:w="2117" w:type="dxa"/>
            <w:vMerge w:val="continue"/>
            <w:vAlign w:val="center"/>
          </w:tcPr>
          <w:p>
            <w:pPr>
              <w:jc w:val="center"/>
              <w:rPr>
                <w:color w:val="auto"/>
                <w:spacing w:val="-4"/>
                <w:szCs w:val="21"/>
                <w:highlight w:val="none"/>
              </w:rPr>
            </w:pPr>
          </w:p>
        </w:tc>
        <w:tc>
          <w:tcPr>
            <w:tcW w:w="1621" w:type="dxa"/>
            <w:vMerge w:val="continue"/>
            <w:vAlign w:val="center"/>
          </w:tcPr>
          <w:p>
            <w:pPr>
              <w:jc w:val="center"/>
              <w:rPr>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pacing w:val="-4"/>
                <w:szCs w:val="21"/>
                <w:highlight w:val="none"/>
              </w:rPr>
            </w:pPr>
          </w:p>
        </w:tc>
        <w:tc>
          <w:tcPr>
            <w:tcW w:w="1430" w:type="dxa"/>
            <w:vMerge w:val="continue"/>
            <w:vAlign w:val="center"/>
          </w:tcPr>
          <w:p>
            <w:pPr>
              <w:jc w:val="center"/>
              <w:rPr>
                <w:color w:val="auto"/>
                <w:spacing w:val="-4"/>
                <w:szCs w:val="21"/>
                <w:highlight w:val="none"/>
              </w:rPr>
            </w:pPr>
          </w:p>
        </w:tc>
        <w:tc>
          <w:tcPr>
            <w:tcW w:w="992" w:type="dxa"/>
            <w:vAlign w:val="center"/>
          </w:tcPr>
          <w:p>
            <w:pPr>
              <w:jc w:val="center"/>
              <w:rPr>
                <w:color w:val="auto"/>
                <w:szCs w:val="21"/>
                <w:highlight w:val="none"/>
              </w:rPr>
            </w:pPr>
            <w:r>
              <w:rPr>
                <w:rFonts w:hint="eastAsia"/>
                <w:color w:val="auto"/>
                <w:szCs w:val="21"/>
                <w:highlight w:val="none"/>
              </w:rPr>
              <w:t>氨氮</w:t>
            </w:r>
          </w:p>
        </w:tc>
        <w:tc>
          <w:tcPr>
            <w:tcW w:w="591"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995" w:type="dxa"/>
            <w:vAlign w:val="center"/>
          </w:tcPr>
          <w:p>
            <w:pPr>
              <w:widowControl/>
              <w:adjustRightInd w:val="0"/>
              <w:snapToGrid w:val="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0.0028</w:t>
            </w:r>
          </w:p>
        </w:tc>
        <w:tc>
          <w:tcPr>
            <w:tcW w:w="2756" w:type="dxa"/>
            <w:vMerge w:val="continue"/>
            <w:vAlign w:val="center"/>
          </w:tcPr>
          <w:p>
            <w:pPr>
              <w:jc w:val="center"/>
              <w:rPr>
                <w:color w:val="auto"/>
                <w:spacing w:val="-4"/>
                <w:szCs w:val="21"/>
                <w:highlight w:val="none"/>
              </w:rPr>
            </w:pPr>
          </w:p>
        </w:tc>
        <w:tc>
          <w:tcPr>
            <w:tcW w:w="1144" w:type="dxa"/>
            <w:vAlign w:val="center"/>
          </w:tcPr>
          <w:p>
            <w:pPr>
              <w:jc w:val="center"/>
              <w:rPr>
                <w:rFonts w:hint="eastAsia" w:eastAsia="宋体"/>
                <w:color w:val="auto"/>
                <w:spacing w:val="-4"/>
                <w:szCs w:val="21"/>
                <w:highlight w:val="none"/>
                <w:lang w:val="en-US" w:eastAsia="zh-CN"/>
              </w:rPr>
            </w:pPr>
            <w:r>
              <w:rPr>
                <w:rFonts w:hint="eastAsia"/>
                <w:color w:val="auto"/>
                <w:spacing w:val="-4"/>
                <w:szCs w:val="21"/>
                <w:highlight w:val="none"/>
                <w:lang w:val="en-US" w:eastAsia="zh-CN"/>
              </w:rPr>
              <w:t>0</w:t>
            </w:r>
          </w:p>
        </w:tc>
        <w:tc>
          <w:tcPr>
            <w:tcW w:w="892" w:type="dxa"/>
            <w:vAlign w:val="center"/>
          </w:tcPr>
          <w:p>
            <w:pPr>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25</w:t>
            </w:r>
          </w:p>
        </w:tc>
        <w:tc>
          <w:tcPr>
            <w:tcW w:w="69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0.0028</w:t>
            </w:r>
          </w:p>
        </w:tc>
        <w:tc>
          <w:tcPr>
            <w:tcW w:w="2117" w:type="dxa"/>
            <w:vMerge w:val="continue"/>
            <w:vAlign w:val="center"/>
          </w:tcPr>
          <w:p>
            <w:pPr>
              <w:jc w:val="center"/>
              <w:rPr>
                <w:color w:val="auto"/>
                <w:spacing w:val="-4"/>
                <w:szCs w:val="21"/>
                <w:highlight w:val="none"/>
              </w:rPr>
            </w:pPr>
          </w:p>
        </w:tc>
        <w:tc>
          <w:tcPr>
            <w:tcW w:w="1621" w:type="dxa"/>
            <w:vMerge w:val="continue"/>
            <w:vAlign w:val="center"/>
          </w:tcPr>
          <w:p>
            <w:pPr>
              <w:jc w:val="center"/>
              <w:rPr>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pacing w:val="-4"/>
                <w:szCs w:val="21"/>
                <w:highlight w:val="none"/>
              </w:rPr>
            </w:pPr>
          </w:p>
        </w:tc>
        <w:tc>
          <w:tcPr>
            <w:tcW w:w="1430" w:type="dxa"/>
            <w:vMerge w:val="continue"/>
            <w:vAlign w:val="center"/>
          </w:tcPr>
          <w:p>
            <w:pPr>
              <w:jc w:val="center"/>
              <w:rPr>
                <w:color w:val="auto"/>
                <w:spacing w:val="-4"/>
                <w:szCs w:val="21"/>
                <w:highlight w:val="none"/>
              </w:rPr>
            </w:pPr>
          </w:p>
        </w:tc>
        <w:tc>
          <w:tcPr>
            <w:tcW w:w="992" w:type="dxa"/>
            <w:vAlign w:val="center"/>
          </w:tcPr>
          <w:p>
            <w:pPr>
              <w:jc w:val="center"/>
              <w:rPr>
                <w:color w:val="auto"/>
                <w:szCs w:val="21"/>
                <w:highlight w:val="none"/>
              </w:rPr>
            </w:pPr>
            <w:r>
              <w:rPr>
                <w:rFonts w:hint="eastAsia"/>
                <w:color w:val="auto"/>
                <w:szCs w:val="21"/>
                <w:highlight w:val="none"/>
              </w:rPr>
              <w:t>SS</w:t>
            </w:r>
          </w:p>
        </w:tc>
        <w:tc>
          <w:tcPr>
            <w:tcW w:w="591"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220</w:t>
            </w:r>
          </w:p>
        </w:tc>
        <w:tc>
          <w:tcPr>
            <w:tcW w:w="995" w:type="dxa"/>
            <w:vAlign w:val="center"/>
          </w:tcPr>
          <w:p>
            <w:pPr>
              <w:widowControl/>
              <w:adjustRightInd w:val="0"/>
              <w:snapToGrid w:val="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0.02503</w:t>
            </w:r>
          </w:p>
        </w:tc>
        <w:tc>
          <w:tcPr>
            <w:tcW w:w="2756" w:type="dxa"/>
            <w:vMerge w:val="continue"/>
            <w:vAlign w:val="center"/>
          </w:tcPr>
          <w:p>
            <w:pPr>
              <w:jc w:val="center"/>
              <w:rPr>
                <w:color w:val="auto"/>
                <w:spacing w:val="-4"/>
                <w:szCs w:val="21"/>
                <w:highlight w:val="none"/>
              </w:rPr>
            </w:pPr>
          </w:p>
        </w:tc>
        <w:tc>
          <w:tcPr>
            <w:tcW w:w="1144" w:type="dxa"/>
            <w:vAlign w:val="center"/>
          </w:tcPr>
          <w:p>
            <w:pPr>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55</w:t>
            </w:r>
          </w:p>
        </w:tc>
        <w:tc>
          <w:tcPr>
            <w:tcW w:w="892" w:type="dxa"/>
            <w:vAlign w:val="center"/>
          </w:tcPr>
          <w:p>
            <w:pPr>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100</w:t>
            </w:r>
          </w:p>
        </w:tc>
        <w:tc>
          <w:tcPr>
            <w:tcW w:w="69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0.0114</w:t>
            </w:r>
          </w:p>
        </w:tc>
        <w:tc>
          <w:tcPr>
            <w:tcW w:w="2117" w:type="dxa"/>
            <w:vMerge w:val="continue"/>
            <w:vAlign w:val="center"/>
          </w:tcPr>
          <w:p>
            <w:pPr>
              <w:jc w:val="center"/>
              <w:rPr>
                <w:color w:val="auto"/>
                <w:spacing w:val="-4"/>
                <w:szCs w:val="21"/>
                <w:highlight w:val="none"/>
              </w:rPr>
            </w:pPr>
          </w:p>
        </w:tc>
        <w:tc>
          <w:tcPr>
            <w:tcW w:w="1621" w:type="dxa"/>
            <w:vMerge w:val="continue"/>
            <w:vAlign w:val="center"/>
          </w:tcPr>
          <w:p>
            <w:pPr>
              <w:jc w:val="center"/>
              <w:rPr>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restart"/>
            <w:vAlign w:val="center"/>
          </w:tcPr>
          <w:p>
            <w:pPr>
              <w:jc w:val="center"/>
              <w:rPr>
                <w:b/>
                <w:color w:val="auto"/>
                <w:spacing w:val="-4"/>
                <w:szCs w:val="21"/>
                <w:highlight w:val="none"/>
              </w:rPr>
            </w:pPr>
            <w:r>
              <w:rPr>
                <w:b/>
                <w:color w:val="auto"/>
                <w:szCs w:val="21"/>
                <w:highlight w:val="none"/>
              </w:rPr>
              <w:t>固废</w:t>
            </w:r>
          </w:p>
        </w:tc>
        <w:tc>
          <w:tcPr>
            <w:tcW w:w="1430"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原辅料开包</w:t>
            </w:r>
          </w:p>
        </w:tc>
        <w:tc>
          <w:tcPr>
            <w:tcW w:w="99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废包装材料</w:t>
            </w:r>
          </w:p>
        </w:tc>
        <w:tc>
          <w:tcPr>
            <w:tcW w:w="591" w:type="dxa"/>
            <w:vAlign w:val="center"/>
          </w:tcPr>
          <w:p>
            <w:pPr>
              <w:jc w:val="center"/>
              <w:rPr>
                <w:color w:val="auto"/>
                <w:szCs w:val="21"/>
                <w:highlight w:val="none"/>
              </w:rPr>
            </w:pPr>
            <w:r>
              <w:rPr>
                <w:color w:val="auto"/>
                <w:szCs w:val="21"/>
                <w:highlight w:val="none"/>
              </w:rPr>
              <w:t>/</w:t>
            </w:r>
          </w:p>
        </w:tc>
        <w:tc>
          <w:tcPr>
            <w:tcW w:w="99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5.04</w:t>
            </w:r>
          </w:p>
        </w:tc>
        <w:tc>
          <w:tcPr>
            <w:tcW w:w="2756" w:type="dxa"/>
            <w:vAlign w:val="center"/>
          </w:tcPr>
          <w:p>
            <w:pPr>
              <w:jc w:val="center"/>
              <w:rPr>
                <w:color w:val="auto"/>
                <w:szCs w:val="21"/>
                <w:highlight w:val="none"/>
              </w:rPr>
            </w:pPr>
            <w:r>
              <w:rPr>
                <w:color w:val="auto"/>
                <w:szCs w:val="21"/>
                <w:highlight w:val="none"/>
              </w:rPr>
              <w:t>收集后</w:t>
            </w:r>
            <w:r>
              <w:rPr>
                <w:rFonts w:hint="eastAsia"/>
                <w:color w:val="auto"/>
                <w:szCs w:val="21"/>
                <w:highlight w:val="none"/>
                <w:lang w:val="en-US" w:eastAsia="zh-CN"/>
              </w:rPr>
              <w:t>外售</w:t>
            </w:r>
            <w:r>
              <w:rPr>
                <w:rFonts w:hint="eastAsia"/>
                <w:color w:val="auto"/>
                <w:szCs w:val="21"/>
                <w:highlight w:val="none"/>
              </w:rPr>
              <w:t>给废品回收站</w:t>
            </w:r>
          </w:p>
        </w:tc>
        <w:tc>
          <w:tcPr>
            <w:tcW w:w="1144" w:type="dxa"/>
            <w:vAlign w:val="center"/>
          </w:tcPr>
          <w:p>
            <w:pPr>
              <w:jc w:val="center"/>
              <w:rPr>
                <w:color w:val="auto"/>
                <w:szCs w:val="21"/>
                <w:highlight w:val="none"/>
              </w:rPr>
            </w:pPr>
            <w:r>
              <w:rPr>
                <w:rFonts w:hint="eastAsia"/>
                <w:color w:val="auto"/>
                <w:szCs w:val="21"/>
                <w:highlight w:val="none"/>
              </w:rPr>
              <w:t>/</w:t>
            </w:r>
          </w:p>
        </w:tc>
        <w:tc>
          <w:tcPr>
            <w:tcW w:w="892" w:type="dxa"/>
            <w:vAlign w:val="center"/>
          </w:tcPr>
          <w:p>
            <w:pPr>
              <w:jc w:val="center"/>
              <w:rPr>
                <w:color w:val="auto"/>
                <w:szCs w:val="21"/>
                <w:highlight w:val="none"/>
              </w:rPr>
            </w:pPr>
            <w:r>
              <w:rPr>
                <w:color w:val="auto"/>
                <w:szCs w:val="21"/>
                <w:highlight w:val="none"/>
              </w:rPr>
              <w:t>/</w:t>
            </w:r>
          </w:p>
        </w:tc>
        <w:tc>
          <w:tcPr>
            <w:tcW w:w="69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2117" w:type="dxa"/>
            <w:vMerge w:val="restart"/>
            <w:vAlign w:val="center"/>
          </w:tcPr>
          <w:p>
            <w:pPr>
              <w:jc w:val="center"/>
              <w:rPr>
                <w:color w:val="auto"/>
                <w:spacing w:val="-4"/>
                <w:szCs w:val="21"/>
                <w:highlight w:val="none"/>
              </w:rPr>
            </w:pPr>
            <w:r>
              <w:rPr>
                <w:rFonts w:hint="eastAsia"/>
                <w:color w:val="auto"/>
                <w:szCs w:val="21"/>
                <w:highlight w:val="none"/>
              </w:rPr>
              <w:t>不外排</w:t>
            </w:r>
          </w:p>
        </w:tc>
        <w:tc>
          <w:tcPr>
            <w:tcW w:w="1621" w:type="dxa"/>
            <w:vMerge w:val="restart"/>
            <w:vAlign w:val="center"/>
          </w:tcPr>
          <w:p>
            <w:pPr>
              <w:jc w:val="center"/>
              <w:rPr>
                <w:color w:val="auto"/>
                <w:szCs w:val="21"/>
                <w:highlight w:val="none"/>
              </w:rPr>
            </w:pPr>
            <w:r>
              <w:rPr>
                <w:rFonts w:hint="eastAsia"/>
                <w:color w:val="auto"/>
                <w:szCs w:val="21"/>
                <w:highlight w:val="none"/>
              </w:rPr>
              <w:t>100%处置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zCs w:val="21"/>
                <w:highlight w:val="none"/>
              </w:rPr>
            </w:pPr>
          </w:p>
        </w:tc>
        <w:tc>
          <w:tcPr>
            <w:tcW w:w="1430"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修边及检验工序</w:t>
            </w:r>
          </w:p>
        </w:tc>
        <w:tc>
          <w:tcPr>
            <w:tcW w:w="99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不合格产品及边角料</w:t>
            </w:r>
          </w:p>
        </w:tc>
        <w:tc>
          <w:tcPr>
            <w:tcW w:w="591" w:type="dxa"/>
            <w:vAlign w:val="center"/>
          </w:tcPr>
          <w:p>
            <w:pPr>
              <w:jc w:val="center"/>
              <w:rPr>
                <w:color w:val="auto"/>
                <w:szCs w:val="21"/>
                <w:highlight w:val="none"/>
              </w:rPr>
            </w:pPr>
            <w:r>
              <w:rPr>
                <w:rFonts w:hint="eastAsia"/>
                <w:color w:val="auto"/>
                <w:szCs w:val="21"/>
                <w:highlight w:val="none"/>
              </w:rPr>
              <w:t>/</w:t>
            </w:r>
          </w:p>
        </w:tc>
        <w:tc>
          <w:tcPr>
            <w:tcW w:w="99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3.125</w:t>
            </w:r>
          </w:p>
        </w:tc>
        <w:tc>
          <w:tcPr>
            <w:tcW w:w="2756"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收集后重新作为原料返回注塑工序，回用于生产线</w:t>
            </w:r>
          </w:p>
        </w:tc>
        <w:tc>
          <w:tcPr>
            <w:tcW w:w="114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892" w:type="dxa"/>
            <w:vAlign w:val="center"/>
          </w:tcPr>
          <w:p>
            <w:pPr>
              <w:jc w:val="center"/>
              <w:rPr>
                <w:color w:val="auto"/>
                <w:szCs w:val="21"/>
                <w:highlight w:val="none"/>
              </w:rPr>
            </w:pPr>
            <w:r>
              <w:rPr>
                <w:rFonts w:hint="eastAsia"/>
                <w:color w:val="auto"/>
                <w:szCs w:val="21"/>
                <w:highlight w:val="none"/>
              </w:rPr>
              <w:t>/</w:t>
            </w:r>
          </w:p>
        </w:tc>
        <w:tc>
          <w:tcPr>
            <w:tcW w:w="697"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2117" w:type="dxa"/>
            <w:vMerge w:val="continue"/>
            <w:vAlign w:val="center"/>
          </w:tcPr>
          <w:p>
            <w:pPr>
              <w:jc w:val="center"/>
              <w:rPr>
                <w:color w:val="auto"/>
                <w:szCs w:val="21"/>
                <w:highlight w:val="none"/>
              </w:rPr>
            </w:pPr>
          </w:p>
        </w:tc>
        <w:tc>
          <w:tcPr>
            <w:tcW w:w="1621"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zCs w:val="21"/>
                <w:highlight w:val="none"/>
              </w:rPr>
            </w:pPr>
          </w:p>
        </w:tc>
        <w:tc>
          <w:tcPr>
            <w:tcW w:w="1430" w:type="dxa"/>
            <w:vAlign w:val="center"/>
          </w:tcPr>
          <w:p>
            <w:pPr>
              <w:jc w:val="center"/>
              <w:rPr>
                <w:color w:val="auto"/>
                <w:szCs w:val="21"/>
                <w:highlight w:val="none"/>
              </w:rPr>
            </w:pPr>
            <w:r>
              <w:rPr>
                <w:rFonts w:hint="eastAsia"/>
                <w:color w:val="auto"/>
                <w:szCs w:val="21"/>
                <w:highlight w:val="none"/>
                <w:lang w:val="en-US" w:eastAsia="zh-CN"/>
              </w:rPr>
              <w:t>三级</w:t>
            </w:r>
            <w:r>
              <w:rPr>
                <w:color w:val="auto"/>
                <w:szCs w:val="21"/>
                <w:highlight w:val="none"/>
              </w:rPr>
              <w:t>活性炭吸附装置</w:t>
            </w:r>
          </w:p>
        </w:tc>
        <w:tc>
          <w:tcPr>
            <w:tcW w:w="992" w:type="dxa"/>
            <w:vAlign w:val="center"/>
          </w:tcPr>
          <w:p>
            <w:pPr>
              <w:jc w:val="center"/>
              <w:rPr>
                <w:color w:val="auto"/>
                <w:szCs w:val="21"/>
                <w:highlight w:val="none"/>
              </w:rPr>
            </w:pPr>
            <w:r>
              <w:rPr>
                <w:color w:val="auto"/>
                <w:szCs w:val="21"/>
                <w:highlight w:val="none"/>
              </w:rPr>
              <w:t>废活性炭</w:t>
            </w:r>
          </w:p>
        </w:tc>
        <w:tc>
          <w:tcPr>
            <w:tcW w:w="591" w:type="dxa"/>
            <w:vAlign w:val="center"/>
          </w:tcPr>
          <w:p>
            <w:pPr>
              <w:jc w:val="center"/>
              <w:rPr>
                <w:color w:val="auto"/>
                <w:szCs w:val="21"/>
                <w:highlight w:val="none"/>
              </w:rPr>
            </w:pPr>
            <w:r>
              <w:rPr>
                <w:color w:val="auto"/>
                <w:szCs w:val="21"/>
                <w:highlight w:val="none"/>
              </w:rPr>
              <w:t>/</w:t>
            </w:r>
          </w:p>
        </w:tc>
        <w:tc>
          <w:tcPr>
            <w:tcW w:w="99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11.11</w:t>
            </w:r>
          </w:p>
        </w:tc>
        <w:tc>
          <w:tcPr>
            <w:tcW w:w="2756" w:type="dxa"/>
            <w:vMerge w:val="restart"/>
            <w:vAlign w:val="center"/>
          </w:tcPr>
          <w:p>
            <w:pPr>
              <w:jc w:val="center"/>
              <w:rPr>
                <w:color w:val="auto"/>
                <w:szCs w:val="21"/>
                <w:highlight w:val="none"/>
              </w:rPr>
            </w:pPr>
            <w:r>
              <w:rPr>
                <w:rFonts w:hint="eastAsia"/>
                <w:color w:val="auto"/>
                <w:szCs w:val="21"/>
                <w:highlight w:val="none"/>
                <w:lang w:val="en-US" w:eastAsia="zh-CN"/>
              </w:rPr>
              <w:t>收集后暂存于危废暂存间，</w:t>
            </w:r>
            <w:r>
              <w:rPr>
                <w:color w:val="auto"/>
                <w:szCs w:val="21"/>
                <w:highlight w:val="none"/>
              </w:rPr>
              <w:t>交由有资质单位处理</w:t>
            </w:r>
          </w:p>
        </w:tc>
        <w:tc>
          <w:tcPr>
            <w:tcW w:w="1144" w:type="dxa"/>
            <w:vAlign w:val="center"/>
          </w:tcPr>
          <w:p>
            <w:pPr>
              <w:jc w:val="center"/>
              <w:rPr>
                <w:color w:val="auto"/>
                <w:szCs w:val="21"/>
                <w:highlight w:val="none"/>
              </w:rPr>
            </w:pPr>
            <w:r>
              <w:rPr>
                <w:color w:val="auto"/>
                <w:szCs w:val="21"/>
                <w:highlight w:val="none"/>
              </w:rPr>
              <w:t>100</w:t>
            </w:r>
          </w:p>
        </w:tc>
        <w:tc>
          <w:tcPr>
            <w:tcW w:w="892" w:type="dxa"/>
            <w:vAlign w:val="center"/>
          </w:tcPr>
          <w:p>
            <w:pPr>
              <w:jc w:val="center"/>
              <w:rPr>
                <w:color w:val="auto"/>
                <w:szCs w:val="21"/>
                <w:highlight w:val="none"/>
              </w:rPr>
            </w:pPr>
            <w:r>
              <w:rPr>
                <w:color w:val="auto"/>
                <w:szCs w:val="21"/>
                <w:highlight w:val="none"/>
              </w:rPr>
              <w:t>/</w:t>
            </w:r>
          </w:p>
        </w:tc>
        <w:tc>
          <w:tcPr>
            <w:tcW w:w="697"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2117" w:type="dxa"/>
            <w:vMerge w:val="restart"/>
            <w:vAlign w:val="center"/>
          </w:tcPr>
          <w:p>
            <w:pPr>
              <w:jc w:val="center"/>
              <w:rPr>
                <w:color w:val="auto"/>
                <w:spacing w:val="-4"/>
                <w:szCs w:val="21"/>
                <w:highlight w:val="none"/>
              </w:rPr>
            </w:pPr>
            <w:r>
              <w:rPr>
                <w:color w:val="auto"/>
                <w:szCs w:val="21"/>
                <w:highlight w:val="none"/>
                <w:lang w:val="zh-CN"/>
              </w:rPr>
              <w:t>《危险废物贮存污染控制标准》（GB18597-20</w:t>
            </w:r>
            <w:r>
              <w:rPr>
                <w:rFonts w:hint="eastAsia"/>
                <w:color w:val="auto"/>
                <w:szCs w:val="21"/>
                <w:highlight w:val="none"/>
                <w:lang w:val="en-US" w:eastAsia="zh-CN"/>
              </w:rPr>
              <w:t>23</w:t>
            </w:r>
            <w:r>
              <w:rPr>
                <w:color w:val="auto"/>
                <w:szCs w:val="21"/>
                <w:highlight w:val="none"/>
                <w:lang w:val="zh-CN"/>
              </w:rPr>
              <w:t>）</w:t>
            </w:r>
          </w:p>
        </w:tc>
        <w:tc>
          <w:tcPr>
            <w:tcW w:w="1621" w:type="dxa"/>
            <w:vMerge w:val="restart"/>
            <w:vAlign w:val="center"/>
          </w:tcPr>
          <w:p>
            <w:pPr>
              <w:jc w:val="center"/>
              <w:rPr>
                <w:color w:val="auto"/>
                <w:spacing w:val="-4"/>
                <w:szCs w:val="21"/>
                <w:highlight w:val="none"/>
              </w:rPr>
            </w:pPr>
            <w:r>
              <w:rPr>
                <w:color w:val="auto"/>
                <w:szCs w:val="21"/>
                <w:highlight w:val="none"/>
              </w:rPr>
              <w:t>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zCs w:val="21"/>
                <w:highlight w:val="none"/>
              </w:rPr>
            </w:pPr>
          </w:p>
        </w:tc>
        <w:tc>
          <w:tcPr>
            <w:tcW w:w="1430" w:type="dxa"/>
            <w:vMerge w:val="restart"/>
            <w:vAlign w:val="center"/>
          </w:tcPr>
          <w:p>
            <w:pPr>
              <w:jc w:val="center"/>
              <w:rPr>
                <w:color w:val="auto"/>
                <w:szCs w:val="21"/>
                <w:highlight w:val="none"/>
              </w:rPr>
            </w:pPr>
            <w:r>
              <w:rPr>
                <w:color w:val="auto"/>
                <w:szCs w:val="21"/>
                <w:highlight w:val="none"/>
              </w:rPr>
              <w:t>生产设备</w:t>
            </w:r>
          </w:p>
        </w:tc>
        <w:tc>
          <w:tcPr>
            <w:tcW w:w="992" w:type="dxa"/>
            <w:vAlign w:val="center"/>
          </w:tcPr>
          <w:p>
            <w:pPr>
              <w:jc w:val="center"/>
              <w:rPr>
                <w:color w:val="auto"/>
                <w:szCs w:val="21"/>
                <w:highlight w:val="none"/>
              </w:rPr>
            </w:pPr>
            <w:r>
              <w:rPr>
                <w:rFonts w:hint="eastAsia"/>
                <w:color w:val="auto"/>
                <w:szCs w:val="21"/>
                <w:highlight w:val="none"/>
              </w:rPr>
              <w:t>废机油</w:t>
            </w:r>
            <w:r>
              <w:rPr>
                <w:color w:val="auto"/>
                <w:szCs w:val="21"/>
                <w:highlight w:val="none"/>
              </w:rPr>
              <w:t>、废油桶</w:t>
            </w:r>
          </w:p>
        </w:tc>
        <w:tc>
          <w:tcPr>
            <w:tcW w:w="591" w:type="dxa"/>
            <w:vAlign w:val="center"/>
          </w:tcPr>
          <w:p>
            <w:pPr>
              <w:jc w:val="center"/>
              <w:rPr>
                <w:color w:val="auto"/>
                <w:szCs w:val="21"/>
                <w:highlight w:val="none"/>
              </w:rPr>
            </w:pPr>
            <w:r>
              <w:rPr>
                <w:color w:val="auto"/>
                <w:szCs w:val="21"/>
                <w:highlight w:val="none"/>
              </w:rPr>
              <w:t>/</w:t>
            </w:r>
          </w:p>
        </w:tc>
        <w:tc>
          <w:tcPr>
            <w:tcW w:w="995" w:type="dxa"/>
            <w:vAlign w:val="center"/>
          </w:tcPr>
          <w:p>
            <w:pPr>
              <w:jc w:val="center"/>
              <w:rPr>
                <w:color w:val="auto"/>
                <w:szCs w:val="21"/>
                <w:highlight w:val="none"/>
              </w:rPr>
            </w:pPr>
            <w:r>
              <w:rPr>
                <w:color w:val="auto"/>
                <w:szCs w:val="21"/>
                <w:highlight w:val="none"/>
              </w:rPr>
              <w:t>0.02</w:t>
            </w:r>
          </w:p>
        </w:tc>
        <w:tc>
          <w:tcPr>
            <w:tcW w:w="2756" w:type="dxa"/>
            <w:vMerge w:val="continue"/>
            <w:vAlign w:val="center"/>
          </w:tcPr>
          <w:p>
            <w:pPr>
              <w:jc w:val="center"/>
              <w:rPr>
                <w:color w:val="auto"/>
                <w:szCs w:val="21"/>
                <w:highlight w:val="none"/>
              </w:rPr>
            </w:pPr>
          </w:p>
        </w:tc>
        <w:tc>
          <w:tcPr>
            <w:tcW w:w="1144" w:type="dxa"/>
            <w:vAlign w:val="center"/>
          </w:tcPr>
          <w:p>
            <w:pPr>
              <w:jc w:val="center"/>
              <w:rPr>
                <w:color w:val="auto"/>
                <w:szCs w:val="21"/>
                <w:highlight w:val="none"/>
              </w:rPr>
            </w:pPr>
            <w:r>
              <w:rPr>
                <w:color w:val="auto"/>
                <w:szCs w:val="21"/>
                <w:highlight w:val="none"/>
              </w:rPr>
              <w:t>100</w:t>
            </w:r>
          </w:p>
        </w:tc>
        <w:tc>
          <w:tcPr>
            <w:tcW w:w="892" w:type="dxa"/>
            <w:vAlign w:val="center"/>
          </w:tcPr>
          <w:p>
            <w:pPr>
              <w:jc w:val="center"/>
              <w:rPr>
                <w:color w:val="auto"/>
                <w:szCs w:val="21"/>
                <w:highlight w:val="none"/>
              </w:rPr>
            </w:pPr>
            <w:r>
              <w:rPr>
                <w:color w:val="auto"/>
                <w:szCs w:val="21"/>
                <w:highlight w:val="none"/>
              </w:rPr>
              <w:t>/</w:t>
            </w:r>
          </w:p>
        </w:tc>
        <w:tc>
          <w:tcPr>
            <w:tcW w:w="697"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2117" w:type="dxa"/>
            <w:vMerge w:val="continue"/>
            <w:vAlign w:val="center"/>
          </w:tcPr>
          <w:p>
            <w:pPr>
              <w:jc w:val="center"/>
              <w:rPr>
                <w:color w:val="auto"/>
                <w:szCs w:val="21"/>
                <w:highlight w:val="none"/>
              </w:rPr>
            </w:pPr>
          </w:p>
        </w:tc>
        <w:tc>
          <w:tcPr>
            <w:tcW w:w="1621"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zCs w:val="21"/>
                <w:highlight w:val="none"/>
              </w:rPr>
            </w:pPr>
          </w:p>
        </w:tc>
        <w:tc>
          <w:tcPr>
            <w:tcW w:w="1430" w:type="dxa"/>
            <w:vMerge w:val="continue"/>
            <w:vAlign w:val="center"/>
          </w:tcPr>
          <w:p>
            <w:pPr>
              <w:jc w:val="center"/>
              <w:rPr>
                <w:color w:val="auto"/>
                <w:szCs w:val="21"/>
                <w:highlight w:val="none"/>
              </w:rPr>
            </w:pPr>
          </w:p>
        </w:tc>
        <w:tc>
          <w:tcPr>
            <w:tcW w:w="992" w:type="dxa"/>
            <w:vAlign w:val="center"/>
          </w:tcPr>
          <w:p>
            <w:pPr>
              <w:jc w:val="center"/>
              <w:rPr>
                <w:color w:val="auto"/>
                <w:szCs w:val="21"/>
                <w:highlight w:val="none"/>
              </w:rPr>
            </w:pPr>
            <w:r>
              <w:rPr>
                <w:color w:val="auto"/>
                <w:szCs w:val="21"/>
                <w:highlight w:val="none"/>
              </w:rPr>
              <w:t>含油废手套、废抹布</w:t>
            </w:r>
          </w:p>
        </w:tc>
        <w:tc>
          <w:tcPr>
            <w:tcW w:w="591" w:type="dxa"/>
            <w:vAlign w:val="center"/>
          </w:tcPr>
          <w:p>
            <w:pPr>
              <w:jc w:val="center"/>
              <w:rPr>
                <w:color w:val="auto"/>
                <w:szCs w:val="21"/>
                <w:highlight w:val="none"/>
              </w:rPr>
            </w:pPr>
            <w:r>
              <w:rPr>
                <w:color w:val="auto"/>
                <w:szCs w:val="21"/>
                <w:highlight w:val="none"/>
              </w:rPr>
              <w:t>/</w:t>
            </w:r>
          </w:p>
        </w:tc>
        <w:tc>
          <w:tcPr>
            <w:tcW w:w="995" w:type="dxa"/>
            <w:vAlign w:val="center"/>
          </w:tcPr>
          <w:p>
            <w:pPr>
              <w:jc w:val="center"/>
              <w:rPr>
                <w:color w:val="auto"/>
                <w:szCs w:val="21"/>
                <w:highlight w:val="none"/>
              </w:rPr>
            </w:pPr>
            <w:r>
              <w:rPr>
                <w:color w:val="auto"/>
                <w:szCs w:val="21"/>
                <w:highlight w:val="none"/>
              </w:rPr>
              <w:t>0.001</w:t>
            </w:r>
          </w:p>
        </w:tc>
        <w:tc>
          <w:tcPr>
            <w:tcW w:w="2756" w:type="dxa"/>
            <w:vMerge w:val="continue"/>
            <w:vAlign w:val="center"/>
          </w:tcPr>
          <w:p>
            <w:pPr>
              <w:jc w:val="center"/>
              <w:rPr>
                <w:color w:val="auto"/>
                <w:szCs w:val="21"/>
                <w:highlight w:val="none"/>
              </w:rPr>
            </w:pPr>
          </w:p>
        </w:tc>
        <w:tc>
          <w:tcPr>
            <w:tcW w:w="1144" w:type="dxa"/>
            <w:vAlign w:val="center"/>
          </w:tcPr>
          <w:p>
            <w:pPr>
              <w:jc w:val="center"/>
              <w:rPr>
                <w:color w:val="auto"/>
                <w:szCs w:val="21"/>
                <w:highlight w:val="none"/>
              </w:rPr>
            </w:pPr>
            <w:r>
              <w:rPr>
                <w:color w:val="auto"/>
                <w:szCs w:val="21"/>
                <w:highlight w:val="none"/>
              </w:rPr>
              <w:t>100</w:t>
            </w:r>
          </w:p>
        </w:tc>
        <w:tc>
          <w:tcPr>
            <w:tcW w:w="892" w:type="dxa"/>
            <w:vAlign w:val="center"/>
          </w:tcPr>
          <w:p>
            <w:pPr>
              <w:jc w:val="center"/>
              <w:rPr>
                <w:color w:val="auto"/>
                <w:szCs w:val="21"/>
                <w:highlight w:val="none"/>
              </w:rPr>
            </w:pPr>
            <w:r>
              <w:rPr>
                <w:color w:val="auto"/>
                <w:szCs w:val="21"/>
                <w:highlight w:val="none"/>
              </w:rPr>
              <w:t>/</w:t>
            </w:r>
          </w:p>
        </w:tc>
        <w:tc>
          <w:tcPr>
            <w:tcW w:w="697"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2117" w:type="dxa"/>
            <w:vMerge w:val="restart"/>
            <w:vAlign w:val="center"/>
          </w:tcPr>
          <w:p>
            <w:pPr>
              <w:jc w:val="center"/>
              <w:rPr>
                <w:color w:val="auto"/>
                <w:spacing w:val="-4"/>
                <w:szCs w:val="21"/>
                <w:highlight w:val="none"/>
              </w:rPr>
            </w:pPr>
            <w:r>
              <w:rPr>
                <w:rFonts w:hint="eastAsia"/>
                <w:color w:val="auto"/>
                <w:szCs w:val="21"/>
                <w:highlight w:val="none"/>
              </w:rPr>
              <w:t>不外排</w:t>
            </w:r>
          </w:p>
        </w:tc>
        <w:tc>
          <w:tcPr>
            <w:tcW w:w="1621" w:type="dxa"/>
            <w:vMerge w:val="restart"/>
            <w:vAlign w:val="center"/>
          </w:tcPr>
          <w:p>
            <w:pPr>
              <w:jc w:val="center"/>
              <w:rPr>
                <w:color w:val="auto"/>
                <w:spacing w:val="-4"/>
                <w:szCs w:val="21"/>
                <w:highlight w:val="none"/>
              </w:rPr>
            </w:pPr>
            <w:r>
              <w:rPr>
                <w:color w:val="auto"/>
                <w:szCs w:val="21"/>
                <w:highlight w:val="none"/>
              </w:rPr>
              <w:t>分类收集及时清运至市政指定地点由环卫部门集中处置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pacing w:val="-4"/>
                <w:szCs w:val="21"/>
                <w:highlight w:val="none"/>
              </w:rPr>
            </w:pPr>
          </w:p>
        </w:tc>
        <w:tc>
          <w:tcPr>
            <w:tcW w:w="1430" w:type="dxa"/>
            <w:vAlign w:val="center"/>
          </w:tcPr>
          <w:p>
            <w:pPr>
              <w:jc w:val="center"/>
              <w:rPr>
                <w:color w:val="auto"/>
                <w:szCs w:val="21"/>
                <w:highlight w:val="none"/>
              </w:rPr>
            </w:pPr>
            <w:r>
              <w:rPr>
                <w:color w:val="auto"/>
                <w:szCs w:val="21"/>
                <w:highlight w:val="none"/>
              </w:rPr>
              <w:t>办公、生活</w:t>
            </w:r>
          </w:p>
        </w:tc>
        <w:tc>
          <w:tcPr>
            <w:tcW w:w="992" w:type="dxa"/>
            <w:vAlign w:val="center"/>
          </w:tcPr>
          <w:p>
            <w:pPr>
              <w:jc w:val="center"/>
              <w:rPr>
                <w:color w:val="auto"/>
                <w:szCs w:val="21"/>
                <w:highlight w:val="none"/>
              </w:rPr>
            </w:pPr>
            <w:r>
              <w:rPr>
                <w:color w:val="auto"/>
                <w:szCs w:val="21"/>
                <w:highlight w:val="none"/>
              </w:rPr>
              <w:t>生活垃圾</w:t>
            </w:r>
          </w:p>
        </w:tc>
        <w:tc>
          <w:tcPr>
            <w:tcW w:w="591" w:type="dxa"/>
            <w:vAlign w:val="center"/>
          </w:tcPr>
          <w:p>
            <w:pPr>
              <w:jc w:val="center"/>
              <w:rPr>
                <w:color w:val="auto"/>
                <w:szCs w:val="21"/>
                <w:highlight w:val="none"/>
              </w:rPr>
            </w:pPr>
            <w:r>
              <w:rPr>
                <w:color w:val="auto"/>
                <w:szCs w:val="21"/>
                <w:highlight w:val="none"/>
              </w:rPr>
              <w:t>/</w:t>
            </w:r>
          </w:p>
        </w:tc>
        <w:tc>
          <w:tcPr>
            <w:tcW w:w="99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0.9</w:t>
            </w:r>
          </w:p>
        </w:tc>
        <w:tc>
          <w:tcPr>
            <w:tcW w:w="2756" w:type="dxa"/>
            <w:vAlign w:val="center"/>
          </w:tcPr>
          <w:p>
            <w:pPr>
              <w:jc w:val="center"/>
              <w:rPr>
                <w:color w:val="auto"/>
                <w:szCs w:val="21"/>
                <w:highlight w:val="none"/>
              </w:rPr>
            </w:pPr>
            <w:r>
              <w:rPr>
                <w:color w:val="auto"/>
                <w:szCs w:val="21"/>
                <w:highlight w:val="none"/>
              </w:rPr>
              <w:t>分类收</w:t>
            </w:r>
            <w:r>
              <w:rPr>
                <w:rFonts w:ascii="Times New Roman" w:hAnsi="Times New Roman" w:eastAsia="宋体" w:cs="Times New Roman"/>
                <w:color w:val="auto"/>
                <w:szCs w:val="21"/>
                <w:highlight w:val="none"/>
              </w:rPr>
              <w:t>集定期运往指定地点由环卫部门集中处置</w:t>
            </w:r>
          </w:p>
        </w:tc>
        <w:tc>
          <w:tcPr>
            <w:tcW w:w="1144" w:type="dxa"/>
            <w:vAlign w:val="center"/>
          </w:tcPr>
          <w:p>
            <w:pPr>
              <w:jc w:val="center"/>
              <w:rPr>
                <w:color w:val="auto"/>
                <w:szCs w:val="21"/>
                <w:highlight w:val="none"/>
              </w:rPr>
            </w:pPr>
            <w:r>
              <w:rPr>
                <w:color w:val="auto"/>
                <w:szCs w:val="21"/>
                <w:highlight w:val="none"/>
              </w:rPr>
              <w:t>100</w:t>
            </w:r>
          </w:p>
        </w:tc>
        <w:tc>
          <w:tcPr>
            <w:tcW w:w="892" w:type="dxa"/>
            <w:vAlign w:val="center"/>
          </w:tcPr>
          <w:p>
            <w:pPr>
              <w:jc w:val="center"/>
              <w:rPr>
                <w:color w:val="auto"/>
                <w:szCs w:val="21"/>
                <w:highlight w:val="none"/>
              </w:rPr>
            </w:pPr>
            <w:r>
              <w:rPr>
                <w:color w:val="auto"/>
                <w:szCs w:val="21"/>
                <w:highlight w:val="none"/>
              </w:rPr>
              <w:t>/</w:t>
            </w:r>
          </w:p>
        </w:tc>
        <w:tc>
          <w:tcPr>
            <w:tcW w:w="69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0.9</w:t>
            </w:r>
          </w:p>
        </w:tc>
        <w:tc>
          <w:tcPr>
            <w:tcW w:w="2117" w:type="dxa"/>
            <w:vMerge w:val="continue"/>
            <w:vAlign w:val="center"/>
          </w:tcPr>
          <w:p>
            <w:pPr>
              <w:jc w:val="center"/>
              <w:rPr>
                <w:color w:val="auto"/>
                <w:spacing w:val="-4"/>
                <w:szCs w:val="21"/>
                <w:highlight w:val="none"/>
              </w:rPr>
            </w:pPr>
          </w:p>
        </w:tc>
        <w:tc>
          <w:tcPr>
            <w:tcW w:w="1621" w:type="dxa"/>
            <w:vMerge w:val="continue"/>
            <w:vAlign w:val="center"/>
          </w:tcPr>
          <w:p>
            <w:pPr>
              <w:jc w:val="center"/>
              <w:rPr>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restart"/>
            <w:vAlign w:val="center"/>
          </w:tcPr>
          <w:p>
            <w:pPr>
              <w:jc w:val="center"/>
              <w:rPr>
                <w:b/>
                <w:color w:val="auto"/>
                <w:szCs w:val="21"/>
                <w:highlight w:val="none"/>
              </w:rPr>
            </w:pPr>
            <w:r>
              <w:rPr>
                <w:b/>
                <w:color w:val="auto"/>
                <w:szCs w:val="21"/>
                <w:highlight w:val="none"/>
              </w:rPr>
              <w:t>噪声</w:t>
            </w:r>
          </w:p>
        </w:tc>
        <w:tc>
          <w:tcPr>
            <w:tcW w:w="2422" w:type="dxa"/>
            <w:gridSpan w:val="2"/>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上料机、注塑机、搅拌机、破碎机</w:t>
            </w:r>
          </w:p>
        </w:tc>
        <w:tc>
          <w:tcPr>
            <w:tcW w:w="1586" w:type="dxa"/>
            <w:gridSpan w:val="2"/>
            <w:vAlign w:val="center"/>
          </w:tcPr>
          <w:p>
            <w:pPr>
              <w:jc w:val="center"/>
              <w:rPr>
                <w:color w:val="auto"/>
                <w:szCs w:val="21"/>
                <w:highlight w:val="none"/>
              </w:rPr>
            </w:pPr>
            <w:r>
              <w:rPr>
                <w:color w:val="auto"/>
                <w:szCs w:val="21"/>
                <w:highlight w:val="none"/>
              </w:rPr>
              <w:t>70~</w:t>
            </w:r>
            <w:r>
              <w:rPr>
                <w:rFonts w:hint="eastAsia"/>
                <w:color w:val="auto"/>
                <w:szCs w:val="21"/>
                <w:highlight w:val="none"/>
              </w:rPr>
              <w:t>90</w:t>
            </w:r>
            <w:r>
              <w:rPr>
                <w:color w:val="auto"/>
                <w:szCs w:val="21"/>
                <w:highlight w:val="none"/>
              </w:rPr>
              <w:t>dB（A）</w:t>
            </w:r>
          </w:p>
        </w:tc>
        <w:tc>
          <w:tcPr>
            <w:tcW w:w="2756" w:type="dxa"/>
            <w:vAlign w:val="center"/>
          </w:tcPr>
          <w:p>
            <w:pPr>
              <w:jc w:val="center"/>
              <w:rPr>
                <w:color w:val="auto"/>
                <w:szCs w:val="21"/>
                <w:highlight w:val="none"/>
              </w:rPr>
            </w:pPr>
            <w:r>
              <w:rPr>
                <w:color w:val="auto"/>
                <w:szCs w:val="21"/>
                <w:highlight w:val="none"/>
              </w:rPr>
              <w:t>选用低噪声设备、优化布局、基础减振、封闭厂房隔声</w:t>
            </w:r>
          </w:p>
        </w:tc>
        <w:tc>
          <w:tcPr>
            <w:tcW w:w="114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89" w:type="dxa"/>
            <w:gridSpan w:val="2"/>
            <w:vAlign w:val="center"/>
          </w:tcPr>
          <w:p>
            <w:pPr>
              <w:jc w:val="center"/>
              <w:rPr>
                <w:color w:val="auto"/>
                <w:szCs w:val="21"/>
                <w:highlight w:val="none"/>
              </w:rPr>
            </w:pPr>
            <w:r>
              <w:rPr>
                <w:color w:val="auto"/>
                <w:szCs w:val="21"/>
                <w:highlight w:val="none"/>
              </w:rPr>
              <w:t>50~</w:t>
            </w:r>
            <w:r>
              <w:rPr>
                <w:rFonts w:hint="eastAsia"/>
                <w:color w:val="auto"/>
                <w:szCs w:val="21"/>
                <w:highlight w:val="none"/>
              </w:rPr>
              <w:t>70</w:t>
            </w:r>
            <w:r>
              <w:rPr>
                <w:color w:val="auto"/>
                <w:szCs w:val="21"/>
                <w:highlight w:val="none"/>
              </w:rPr>
              <w:t>dB（A）</w:t>
            </w:r>
          </w:p>
        </w:tc>
        <w:tc>
          <w:tcPr>
            <w:tcW w:w="2117" w:type="dxa"/>
            <w:vMerge w:val="restart"/>
            <w:vAlign w:val="center"/>
          </w:tcPr>
          <w:p>
            <w:pPr>
              <w:jc w:val="center"/>
              <w:rPr>
                <w:color w:val="auto"/>
                <w:szCs w:val="21"/>
                <w:highlight w:val="none"/>
              </w:rPr>
            </w:pPr>
            <w:r>
              <w:rPr>
                <w:color w:val="auto"/>
                <w:kern w:val="0"/>
                <w:szCs w:val="21"/>
                <w:highlight w:val="none"/>
              </w:rPr>
              <w:t>《工业企业厂界环境噪声排放标准》（GB12348-2008）中的</w:t>
            </w:r>
            <w:r>
              <w:rPr>
                <w:rFonts w:hint="eastAsia"/>
                <w:color w:val="auto"/>
                <w:kern w:val="0"/>
                <w:szCs w:val="21"/>
                <w:highlight w:val="none"/>
                <w:lang w:val="en-US" w:eastAsia="zh-CN"/>
              </w:rPr>
              <w:t>2</w:t>
            </w:r>
            <w:r>
              <w:rPr>
                <w:color w:val="auto"/>
                <w:kern w:val="0"/>
                <w:szCs w:val="21"/>
                <w:highlight w:val="none"/>
              </w:rPr>
              <w:t>类</w:t>
            </w:r>
            <w:r>
              <w:rPr>
                <w:rFonts w:hint="eastAsia"/>
                <w:color w:val="auto"/>
                <w:kern w:val="0"/>
                <w:szCs w:val="21"/>
                <w:highlight w:val="none"/>
                <w:lang w:val="en-US" w:eastAsia="zh-CN"/>
              </w:rPr>
              <w:t>和4类</w:t>
            </w:r>
            <w:r>
              <w:rPr>
                <w:color w:val="auto"/>
                <w:kern w:val="0"/>
                <w:szCs w:val="21"/>
                <w:highlight w:val="none"/>
              </w:rPr>
              <w:t>标准</w:t>
            </w:r>
          </w:p>
        </w:tc>
        <w:tc>
          <w:tcPr>
            <w:tcW w:w="1621" w:type="dxa"/>
            <w:vMerge w:val="restart"/>
            <w:vAlign w:val="center"/>
          </w:tcPr>
          <w:p>
            <w:pPr>
              <w:jc w:val="center"/>
              <w:rPr>
                <w:color w:val="auto"/>
                <w:szCs w:val="21"/>
                <w:highlight w:val="none"/>
              </w:rPr>
            </w:pPr>
            <w:r>
              <w:rPr>
                <w:color w:val="auto"/>
                <w:szCs w:val="21"/>
                <w:highlight w:val="none"/>
              </w:rPr>
              <w:t>厂界噪声达标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pacing w:val="-4"/>
                <w:szCs w:val="21"/>
                <w:highlight w:val="none"/>
              </w:rPr>
            </w:pPr>
          </w:p>
        </w:tc>
        <w:tc>
          <w:tcPr>
            <w:tcW w:w="2422" w:type="dxa"/>
            <w:gridSpan w:val="2"/>
            <w:vAlign w:val="center"/>
          </w:tcPr>
          <w:p>
            <w:pPr>
              <w:jc w:val="center"/>
              <w:rPr>
                <w:color w:val="auto"/>
                <w:szCs w:val="21"/>
                <w:highlight w:val="none"/>
              </w:rPr>
            </w:pPr>
            <w:r>
              <w:rPr>
                <w:color w:val="auto"/>
                <w:szCs w:val="21"/>
                <w:highlight w:val="none"/>
              </w:rPr>
              <w:t>循环水泵</w:t>
            </w:r>
          </w:p>
        </w:tc>
        <w:tc>
          <w:tcPr>
            <w:tcW w:w="1586" w:type="dxa"/>
            <w:gridSpan w:val="2"/>
            <w:vAlign w:val="center"/>
          </w:tcPr>
          <w:p>
            <w:pPr>
              <w:jc w:val="center"/>
              <w:rPr>
                <w:color w:val="auto"/>
                <w:szCs w:val="21"/>
                <w:highlight w:val="none"/>
              </w:rPr>
            </w:pPr>
            <w:r>
              <w:rPr>
                <w:rFonts w:hint="eastAsia"/>
                <w:color w:val="auto"/>
                <w:szCs w:val="21"/>
                <w:highlight w:val="none"/>
                <w:lang w:val="en-US" w:eastAsia="zh-CN"/>
              </w:rPr>
              <w:t>9</w:t>
            </w:r>
            <w:r>
              <w:rPr>
                <w:rFonts w:hint="eastAsia"/>
                <w:color w:val="auto"/>
                <w:szCs w:val="21"/>
                <w:highlight w:val="none"/>
              </w:rPr>
              <w:t>0</w:t>
            </w:r>
            <w:r>
              <w:rPr>
                <w:color w:val="auto"/>
                <w:szCs w:val="21"/>
                <w:highlight w:val="none"/>
              </w:rPr>
              <w:t>dB（A）</w:t>
            </w:r>
          </w:p>
        </w:tc>
        <w:tc>
          <w:tcPr>
            <w:tcW w:w="2756" w:type="dxa"/>
            <w:vAlign w:val="center"/>
          </w:tcPr>
          <w:p>
            <w:pPr>
              <w:jc w:val="center"/>
              <w:rPr>
                <w:color w:val="auto"/>
                <w:szCs w:val="21"/>
                <w:highlight w:val="none"/>
              </w:rPr>
            </w:pPr>
            <w:r>
              <w:rPr>
                <w:color w:val="auto"/>
                <w:szCs w:val="21"/>
                <w:highlight w:val="none"/>
              </w:rPr>
              <w:t>选用低噪声设备、优化布局、水体隔声、软管连接</w:t>
            </w:r>
          </w:p>
        </w:tc>
        <w:tc>
          <w:tcPr>
            <w:tcW w:w="114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89" w:type="dxa"/>
            <w:gridSpan w:val="2"/>
            <w:vAlign w:val="center"/>
          </w:tcPr>
          <w:p>
            <w:pPr>
              <w:jc w:val="center"/>
              <w:rPr>
                <w:color w:val="auto"/>
                <w:szCs w:val="21"/>
                <w:highlight w:val="none"/>
              </w:rPr>
            </w:pPr>
            <w:r>
              <w:rPr>
                <w:rFonts w:hint="eastAsia"/>
                <w:color w:val="auto"/>
                <w:szCs w:val="21"/>
                <w:highlight w:val="none"/>
                <w:lang w:val="en-US" w:eastAsia="zh-CN"/>
              </w:rPr>
              <w:t>75</w:t>
            </w:r>
            <w:r>
              <w:rPr>
                <w:color w:val="auto"/>
                <w:szCs w:val="21"/>
                <w:highlight w:val="none"/>
              </w:rPr>
              <w:t>dB（A）</w:t>
            </w:r>
          </w:p>
        </w:tc>
        <w:tc>
          <w:tcPr>
            <w:tcW w:w="2117" w:type="dxa"/>
            <w:vMerge w:val="continue"/>
            <w:vAlign w:val="center"/>
          </w:tcPr>
          <w:p>
            <w:pPr>
              <w:jc w:val="center"/>
              <w:rPr>
                <w:color w:val="auto"/>
                <w:szCs w:val="21"/>
                <w:highlight w:val="none"/>
              </w:rPr>
            </w:pPr>
          </w:p>
        </w:tc>
        <w:tc>
          <w:tcPr>
            <w:tcW w:w="1621"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308" w:type="dxa"/>
            <w:vMerge w:val="continue"/>
            <w:vAlign w:val="center"/>
          </w:tcPr>
          <w:p>
            <w:pPr>
              <w:jc w:val="center"/>
              <w:rPr>
                <w:b/>
                <w:color w:val="auto"/>
                <w:spacing w:val="-4"/>
                <w:szCs w:val="21"/>
                <w:highlight w:val="none"/>
              </w:rPr>
            </w:pPr>
          </w:p>
        </w:tc>
        <w:tc>
          <w:tcPr>
            <w:tcW w:w="2422" w:type="dxa"/>
            <w:gridSpan w:val="2"/>
            <w:vAlign w:val="center"/>
          </w:tcPr>
          <w:p>
            <w:pPr>
              <w:jc w:val="center"/>
              <w:rPr>
                <w:color w:val="auto"/>
                <w:szCs w:val="21"/>
                <w:highlight w:val="none"/>
              </w:rPr>
            </w:pPr>
            <w:r>
              <w:rPr>
                <w:color w:val="auto"/>
                <w:szCs w:val="21"/>
                <w:highlight w:val="none"/>
              </w:rPr>
              <w:t>风机</w:t>
            </w:r>
          </w:p>
        </w:tc>
        <w:tc>
          <w:tcPr>
            <w:tcW w:w="1586" w:type="dxa"/>
            <w:gridSpan w:val="2"/>
            <w:vAlign w:val="center"/>
          </w:tcPr>
          <w:p>
            <w:pPr>
              <w:jc w:val="center"/>
              <w:rPr>
                <w:color w:val="auto"/>
                <w:szCs w:val="21"/>
                <w:highlight w:val="none"/>
              </w:rPr>
            </w:pPr>
            <w:r>
              <w:rPr>
                <w:rFonts w:hint="eastAsia"/>
                <w:color w:val="auto"/>
                <w:szCs w:val="21"/>
                <w:highlight w:val="none"/>
                <w:lang w:val="en-US" w:eastAsia="zh-CN"/>
              </w:rPr>
              <w:t>90</w:t>
            </w:r>
            <w:r>
              <w:rPr>
                <w:color w:val="auto"/>
                <w:szCs w:val="21"/>
                <w:highlight w:val="none"/>
              </w:rPr>
              <w:t>dB（A）</w:t>
            </w:r>
          </w:p>
        </w:tc>
        <w:tc>
          <w:tcPr>
            <w:tcW w:w="2756" w:type="dxa"/>
            <w:vAlign w:val="center"/>
          </w:tcPr>
          <w:p>
            <w:pPr>
              <w:jc w:val="center"/>
              <w:rPr>
                <w:color w:val="auto"/>
                <w:szCs w:val="21"/>
                <w:highlight w:val="none"/>
              </w:rPr>
            </w:pPr>
            <w:r>
              <w:rPr>
                <w:color w:val="auto"/>
                <w:szCs w:val="21"/>
                <w:highlight w:val="none"/>
              </w:rPr>
              <w:t>选用低噪声设备、优化布局、基础减振、封闭厂房隔声、设备隔声罩、消声器、进出口软连接</w:t>
            </w:r>
          </w:p>
        </w:tc>
        <w:tc>
          <w:tcPr>
            <w:tcW w:w="114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89" w:type="dxa"/>
            <w:gridSpan w:val="2"/>
            <w:vAlign w:val="center"/>
          </w:tcPr>
          <w:p>
            <w:pPr>
              <w:jc w:val="center"/>
              <w:rPr>
                <w:color w:val="auto"/>
                <w:szCs w:val="21"/>
                <w:highlight w:val="none"/>
              </w:rPr>
            </w:pPr>
            <w:r>
              <w:rPr>
                <w:rFonts w:hint="eastAsia"/>
                <w:color w:val="auto"/>
                <w:szCs w:val="21"/>
                <w:highlight w:val="none"/>
                <w:lang w:val="en-US" w:eastAsia="zh-CN"/>
              </w:rPr>
              <w:t>75</w:t>
            </w:r>
            <w:r>
              <w:rPr>
                <w:color w:val="auto"/>
                <w:szCs w:val="21"/>
                <w:highlight w:val="none"/>
              </w:rPr>
              <w:t>dB（A）</w:t>
            </w:r>
          </w:p>
        </w:tc>
        <w:tc>
          <w:tcPr>
            <w:tcW w:w="2117" w:type="dxa"/>
            <w:vMerge w:val="continue"/>
            <w:vAlign w:val="center"/>
          </w:tcPr>
          <w:p>
            <w:pPr>
              <w:jc w:val="center"/>
              <w:rPr>
                <w:color w:val="auto"/>
                <w:szCs w:val="21"/>
                <w:highlight w:val="none"/>
              </w:rPr>
            </w:pPr>
          </w:p>
        </w:tc>
        <w:tc>
          <w:tcPr>
            <w:tcW w:w="1621" w:type="dxa"/>
            <w:vMerge w:val="continue"/>
            <w:vAlign w:val="center"/>
          </w:tcPr>
          <w:p>
            <w:pPr>
              <w:jc w:val="center"/>
              <w:rPr>
                <w:color w:val="auto"/>
                <w:szCs w:val="21"/>
                <w:highlight w:val="none"/>
              </w:rPr>
            </w:pPr>
          </w:p>
        </w:tc>
      </w:tr>
    </w:tbl>
    <w:p>
      <w:pPr>
        <w:spacing w:line="360" w:lineRule="auto"/>
        <w:rPr>
          <w:b/>
          <w:color w:val="auto"/>
          <w:highlight w:val="none"/>
        </w:rPr>
      </w:pPr>
      <w:r>
        <w:rPr>
          <w:b/>
          <w:color w:val="auto"/>
          <w:highlight w:val="none"/>
        </w:rPr>
        <w:t>注：大气污染物浓度—mg/m</w:t>
      </w:r>
      <w:r>
        <w:rPr>
          <w:b/>
          <w:color w:val="auto"/>
          <w:highlight w:val="none"/>
          <w:vertAlign w:val="superscript"/>
        </w:rPr>
        <w:t>3</w:t>
      </w:r>
      <w:r>
        <w:rPr>
          <w:b/>
          <w:color w:val="auto"/>
          <w:highlight w:val="none"/>
        </w:rPr>
        <w:t>；水污染物浓度—mg/L。</w:t>
      </w:r>
    </w:p>
    <w:p>
      <w:pPr>
        <w:spacing w:line="360" w:lineRule="auto"/>
        <w:ind w:firstLine="480" w:firstLineChars="200"/>
        <w:rPr>
          <w:snapToGrid w:val="0"/>
          <w:color w:val="auto"/>
          <w:sz w:val="24"/>
          <w:highlight w:val="none"/>
        </w:rPr>
        <w:sectPr>
          <w:pgSz w:w="16838" w:h="11906" w:orient="landscape"/>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keepNext/>
        <w:keepLines/>
        <w:spacing w:line="360" w:lineRule="auto"/>
        <w:outlineLvl w:val="2"/>
        <w:rPr>
          <w:b/>
          <w:bCs/>
          <w:color w:val="auto"/>
          <w:sz w:val="24"/>
          <w:highlight w:val="none"/>
        </w:rPr>
      </w:pPr>
      <w:bookmarkStart w:id="798" w:name="_Toc75908759"/>
      <w:bookmarkStart w:id="799" w:name="_Toc16216"/>
      <w:r>
        <w:rPr>
          <w:b/>
          <w:bCs/>
          <w:color w:val="auto"/>
          <w:sz w:val="24"/>
          <w:highlight w:val="none"/>
        </w:rPr>
        <w:t>10.2.2 污染物总量控制</w:t>
      </w:r>
      <w:bookmarkEnd w:id="798"/>
      <w:bookmarkEnd w:id="799"/>
    </w:p>
    <w:p>
      <w:pPr>
        <w:pStyle w:val="470"/>
        <w:spacing w:beforeLines="0" w:afterLines="0"/>
        <w:ind w:left="0" w:leftChars="0" w:firstLine="482"/>
        <w:outlineLvl w:val="3"/>
        <w:rPr>
          <w:rFonts w:ascii="Times New Roman" w:hAnsi="Times New Roman"/>
          <w:color w:val="auto"/>
          <w:sz w:val="24"/>
          <w:highlight w:val="none"/>
        </w:rPr>
      </w:pPr>
      <w:r>
        <w:rPr>
          <w:rFonts w:ascii="Times New Roman" w:hAnsi="Times New Roman"/>
          <w:color w:val="auto"/>
          <w:sz w:val="24"/>
          <w:highlight w:val="none"/>
        </w:rPr>
        <w:t>10.2.2.1 总量控制原则</w:t>
      </w:r>
    </w:p>
    <w:p>
      <w:pPr>
        <w:spacing w:line="360" w:lineRule="auto"/>
        <w:ind w:firstLine="482"/>
        <w:rPr>
          <w:color w:val="auto"/>
          <w:sz w:val="24"/>
          <w:szCs w:val="20"/>
          <w:highlight w:val="none"/>
        </w:rPr>
      </w:pPr>
      <w:r>
        <w:rPr>
          <w:color w:val="auto"/>
          <w:sz w:val="24"/>
          <w:szCs w:val="20"/>
          <w:highlight w:val="none"/>
        </w:rPr>
        <w:t>（1）污染物达标排放、污染减排原则；</w:t>
      </w:r>
    </w:p>
    <w:p>
      <w:pPr>
        <w:spacing w:line="360" w:lineRule="auto"/>
        <w:ind w:firstLine="482"/>
        <w:rPr>
          <w:color w:val="auto"/>
          <w:sz w:val="24"/>
          <w:szCs w:val="20"/>
          <w:highlight w:val="none"/>
        </w:rPr>
      </w:pPr>
      <w:r>
        <w:rPr>
          <w:color w:val="auto"/>
          <w:sz w:val="24"/>
          <w:szCs w:val="20"/>
          <w:highlight w:val="none"/>
        </w:rPr>
        <w:t>（2）污染物排放后符合评价区环境质量标准的要求；</w:t>
      </w:r>
    </w:p>
    <w:p>
      <w:pPr>
        <w:spacing w:line="360" w:lineRule="auto"/>
        <w:ind w:firstLine="482"/>
        <w:rPr>
          <w:color w:val="auto"/>
          <w:sz w:val="24"/>
          <w:szCs w:val="20"/>
          <w:highlight w:val="none"/>
        </w:rPr>
      </w:pPr>
      <w:r>
        <w:rPr>
          <w:color w:val="auto"/>
          <w:sz w:val="24"/>
          <w:szCs w:val="20"/>
          <w:highlight w:val="none"/>
        </w:rPr>
        <w:t>（3）实施清洁生产，循环经济，促进企业技术进步和可持续发展的原则。</w:t>
      </w:r>
    </w:p>
    <w:p>
      <w:pPr>
        <w:pStyle w:val="470"/>
        <w:spacing w:beforeLines="0" w:afterLines="0"/>
        <w:ind w:left="0" w:leftChars="0" w:firstLine="482"/>
        <w:outlineLvl w:val="3"/>
        <w:rPr>
          <w:rFonts w:ascii="Times New Roman" w:hAnsi="Times New Roman"/>
          <w:color w:val="auto"/>
          <w:sz w:val="24"/>
          <w:szCs w:val="20"/>
          <w:highlight w:val="none"/>
        </w:rPr>
      </w:pPr>
      <w:r>
        <w:rPr>
          <w:rFonts w:ascii="Times New Roman" w:hAnsi="Times New Roman"/>
          <w:color w:val="auto"/>
          <w:sz w:val="24"/>
          <w:highlight w:val="none"/>
        </w:rPr>
        <w:t>10.2.2.2 总量控制指标的确定</w:t>
      </w:r>
    </w:p>
    <w:p>
      <w:pPr>
        <w:spacing w:line="360" w:lineRule="auto"/>
        <w:ind w:firstLine="480" w:firstLineChars="200"/>
        <w:rPr>
          <w:color w:val="auto"/>
          <w:sz w:val="24"/>
          <w:highlight w:val="none"/>
        </w:rPr>
      </w:pPr>
      <w:r>
        <w:rPr>
          <w:color w:val="auto"/>
          <w:sz w:val="24"/>
          <w:highlight w:val="none"/>
        </w:rPr>
        <w:t>根据云南省生态环境厅关于印发云南省“十四五”生态环境保护规划的通知（云环发[2022]13号），主要污染物重点工程减排量为氮氧化物、挥发性有机物、化学需氧量及氨氮。</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项目废水排放量113.76m</w:t>
      </w:r>
      <w:r>
        <w:rPr>
          <w:rFonts w:hint="eastAsia"/>
          <w:color w:val="auto"/>
          <w:sz w:val="24"/>
          <w:highlight w:val="none"/>
          <w:vertAlign w:val="superscript"/>
          <w:lang w:val="en-US" w:eastAsia="zh-CN"/>
        </w:rPr>
        <w:t>3</w:t>
      </w:r>
      <w:r>
        <w:rPr>
          <w:rFonts w:hint="eastAsia"/>
          <w:color w:val="auto"/>
          <w:sz w:val="24"/>
          <w:highlight w:val="none"/>
          <w:lang w:val="en-US" w:eastAsia="zh-CN"/>
        </w:rPr>
        <w:t>/a，COD：0.034t/a；NH</w:t>
      </w:r>
      <w:r>
        <w:rPr>
          <w:rFonts w:hint="eastAsia"/>
          <w:color w:val="auto"/>
          <w:sz w:val="24"/>
          <w:highlight w:val="none"/>
          <w:vertAlign w:val="subscript"/>
          <w:lang w:val="en-US" w:eastAsia="zh-CN"/>
        </w:rPr>
        <w:t>3</w:t>
      </w:r>
      <w:r>
        <w:rPr>
          <w:rFonts w:hint="eastAsia"/>
          <w:color w:val="auto"/>
          <w:sz w:val="24"/>
          <w:highlight w:val="none"/>
          <w:lang w:val="en-US" w:eastAsia="zh-CN"/>
        </w:rPr>
        <w:t>-N：0.0028t/a；BOD</w:t>
      </w:r>
      <w:r>
        <w:rPr>
          <w:rFonts w:hint="eastAsia"/>
          <w:color w:val="auto"/>
          <w:sz w:val="24"/>
          <w:highlight w:val="none"/>
          <w:vertAlign w:val="subscript"/>
          <w:lang w:val="en-US" w:eastAsia="zh-CN"/>
        </w:rPr>
        <w:t>5</w:t>
      </w:r>
      <w:r>
        <w:rPr>
          <w:rFonts w:hint="eastAsia"/>
          <w:color w:val="auto"/>
          <w:sz w:val="24"/>
          <w:highlight w:val="none"/>
          <w:lang w:val="en-US" w:eastAsia="zh-CN"/>
        </w:rPr>
        <w:t>：0.0205t/a；SS：0.0114t/a；废水经预处理后由建设单位定期自行清运至寻甸县水质净化厂处理，总量控制指标纳入寻甸县水质净化厂考核；本项目不设置废水总量控制指标。</w:t>
      </w:r>
    </w:p>
    <w:p>
      <w:pPr>
        <w:spacing w:line="360" w:lineRule="auto"/>
        <w:ind w:firstLine="480" w:firstLineChars="200"/>
        <w:rPr>
          <w:color w:val="auto"/>
          <w:sz w:val="24"/>
          <w:szCs w:val="20"/>
          <w:highlight w:val="none"/>
        </w:rPr>
      </w:pPr>
      <w:r>
        <w:rPr>
          <w:rFonts w:hint="eastAsia"/>
          <w:color w:val="auto"/>
          <w:sz w:val="24"/>
          <w:highlight w:val="none"/>
          <w:lang w:val="en-US" w:eastAsia="zh-CN"/>
        </w:rPr>
        <w:t>项目废气排放量1728万m</w:t>
      </w:r>
      <w:r>
        <w:rPr>
          <w:rFonts w:hint="eastAsia"/>
          <w:color w:val="auto"/>
          <w:sz w:val="24"/>
          <w:highlight w:val="none"/>
          <w:vertAlign w:val="superscript"/>
          <w:lang w:val="en-US" w:eastAsia="zh-CN"/>
        </w:rPr>
        <w:t>3</w:t>
      </w:r>
      <w:r>
        <w:rPr>
          <w:rFonts w:hint="eastAsia"/>
          <w:color w:val="auto"/>
          <w:sz w:val="24"/>
          <w:highlight w:val="none"/>
          <w:lang w:val="en-US" w:eastAsia="zh-CN"/>
        </w:rPr>
        <w:t>/a，有组织废气排放量：非甲烷总烃：0.6075t/a；无组织废气排放量：颗粒物：0.06324t/a，非甲烷总烃：0.3375t/a；</w:t>
      </w:r>
      <w:r>
        <w:rPr>
          <w:color w:val="auto"/>
          <w:sz w:val="24"/>
          <w:highlight w:val="none"/>
        </w:rPr>
        <w:t>因此，本项目纳入总量控制指标的污染物为挥发性有机物。</w:t>
      </w:r>
    </w:p>
    <w:p>
      <w:pPr>
        <w:pStyle w:val="470"/>
        <w:spacing w:beforeLines="0" w:afterLines="0"/>
        <w:ind w:left="0" w:leftChars="0" w:firstLine="482"/>
        <w:outlineLvl w:val="3"/>
        <w:rPr>
          <w:rFonts w:ascii="Times New Roman" w:hAnsi="Times New Roman"/>
          <w:color w:val="auto"/>
          <w:sz w:val="24"/>
          <w:highlight w:val="none"/>
        </w:rPr>
      </w:pPr>
      <w:r>
        <w:rPr>
          <w:rFonts w:ascii="Times New Roman" w:hAnsi="Times New Roman"/>
          <w:color w:val="auto"/>
          <w:sz w:val="24"/>
          <w:highlight w:val="none"/>
        </w:rPr>
        <w:t>10.2.2.3 污染物排放总量控制建议指标</w:t>
      </w:r>
    </w:p>
    <w:p>
      <w:pPr>
        <w:spacing w:line="360" w:lineRule="auto"/>
        <w:ind w:firstLine="482"/>
        <w:rPr>
          <w:color w:val="auto"/>
          <w:sz w:val="24"/>
          <w:szCs w:val="20"/>
          <w:highlight w:val="none"/>
        </w:rPr>
      </w:pPr>
      <w:r>
        <w:rPr>
          <w:color w:val="auto"/>
          <w:sz w:val="24"/>
          <w:szCs w:val="20"/>
          <w:highlight w:val="none"/>
        </w:rPr>
        <w:t>总量控制是根据区域的环境特点和自净能力，依据环境标准，限制污染物排放标准，限制污染物排放总量在自然环境的承载能力范围内的一种控制方式。分目标控制和容量控制两种形式。依据工程建设前后的环境现状与影响预测结果，本评价采用目标控制方式。</w:t>
      </w:r>
    </w:p>
    <w:p>
      <w:pPr>
        <w:spacing w:line="360" w:lineRule="auto"/>
        <w:ind w:firstLine="482"/>
        <w:rPr>
          <w:color w:val="auto"/>
          <w:sz w:val="24"/>
          <w:szCs w:val="20"/>
          <w:highlight w:val="none"/>
        </w:rPr>
      </w:pPr>
      <w:r>
        <w:rPr>
          <w:color w:val="auto"/>
          <w:sz w:val="24"/>
          <w:szCs w:val="20"/>
          <w:highlight w:val="none"/>
        </w:rPr>
        <w:t>本次评价按照符合达标排放原则和清洁生产要求核定本工程主要污染物排放总量控制指标值，见表10.2-5。</w:t>
      </w:r>
    </w:p>
    <w:p>
      <w:pPr>
        <w:pStyle w:val="21"/>
        <w:spacing w:after="0" w:line="360" w:lineRule="auto"/>
        <w:ind w:firstLine="482"/>
        <w:jc w:val="center"/>
        <w:rPr>
          <w:b/>
          <w:color w:val="auto"/>
          <w:sz w:val="24"/>
          <w:highlight w:val="none"/>
        </w:rPr>
      </w:pPr>
      <w:bookmarkStart w:id="800" w:name="_Toc23985"/>
      <w:bookmarkStart w:id="801" w:name="_Toc2603"/>
      <w:bookmarkStart w:id="802" w:name="_Toc888"/>
      <w:bookmarkStart w:id="803" w:name="_Toc26561_WPSOffice_Level2"/>
      <w:bookmarkStart w:id="804" w:name="_Toc20583"/>
      <w:bookmarkStart w:id="805" w:name="_Toc32431"/>
      <w:r>
        <w:rPr>
          <w:b/>
          <w:color w:val="auto"/>
          <w:sz w:val="24"/>
          <w:highlight w:val="none"/>
        </w:rPr>
        <w:t>表10.2-5   本项目</w:t>
      </w:r>
      <w:bookmarkEnd w:id="800"/>
      <w:bookmarkEnd w:id="801"/>
      <w:bookmarkEnd w:id="802"/>
      <w:bookmarkEnd w:id="803"/>
      <w:bookmarkEnd w:id="804"/>
      <w:bookmarkEnd w:id="805"/>
      <w:r>
        <w:rPr>
          <w:b/>
          <w:color w:val="auto"/>
          <w:sz w:val="24"/>
          <w:highlight w:val="none"/>
        </w:rPr>
        <w:t>总量控制建议指标</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512"/>
        <w:gridCol w:w="3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2" w:type="dxa"/>
            <w:vAlign w:val="center"/>
          </w:tcPr>
          <w:p>
            <w:pPr>
              <w:autoSpaceDE w:val="0"/>
              <w:autoSpaceDN w:val="0"/>
              <w:spacing w:line="360" w:lineRule="auto"/>
              <w:jc w:val="center"/>
              <w:rPr>
                <w:b/>
                <w:bCs/>
                <w:color w:val="auto"/>
                <w:szCs w:val="21"/>
                <w:highlight w:val="none"/>
              </w:rPr>
            </w:pPr>
            <w:r>
              <w:rPr>
                <w:b/>
                <w:bCs/>
                <w:color w:val="auto"/>
                <w:szCs w:val="21"/>
                <w:highlight w:val="none"/>
              </w:rPr>
              <w:t>污染物名称</w:t>
            </w:r>
          </w:p>
        </w:tc>
        <w:tc>
          <w:tcPr>
            <w:tcW w:w="2512" w:type="dxa"/>
            <w:vAlign w:val="center"/>
          </w:tcPr>
          <w:p>
            <w:pPr>
              <w:autoSpaceDE w:val="0"/>
              <w:autoSpaceDN w:val="0"/>
              <w:spacing w:line="360" w:lineRule="auto"/>
              <w:jc w:val="center"/>
              <w:rPr>
                <w:b/>
                <w:bCs/>
                <w:color w:val="auto"/>
                <w:szCs w:val="21"/>
                <w:highlight w:val="none"/>
              </w:rPr>
            </w:pPr>
            <w:r>
              <w:rPr>
                <w:b/>
                <w:bCs/>
                <w:color w:val="auto"/>
                <w:szCs w:val="21"/>
                <w:highlight w:val="none"/>
              </w:rPr>
              <w:t>排放总量（t/a）</w:t>
            </w:r>
          </w:p>
        </w:tc>
        <w:tc>
          <w:tcPr>
            <w:tcW w:w="3945" w:type="dxa"/>
            <w:vAlign w:val="center"/>
          </w:tcPr>
          <w:p>
            <w:pPr>
              <w:autoSpaceDE w:val="0"/>
              <w:autoSpaceDN w:val="0"/>
              <w:spacing w:line="360" w:lineRule="auto"/>
              <w:jc w:val="center"/>
              <w:rPr>
                <w:b/>
                <w:bCs/>
                <w:color w:val="auto"/>
                <w:szCs w:val="21"/>
                <w:highlight w:val="none"/>
              </w:rPr>
            </w:pPr>
            <w:r>
              <w:rPr>
                <w:b/>
                <w:bCs/>
                <w:color w:val="auto"/>
                <w:szCs w:val="21"/>
                <w:highlight w:val="none"/>
              </w:rPr>
              <w:t>总量控制建议指标（t/a）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092" w:type="dxa"/>
            <w:vAlign w:val="center"/>
          </w:tcPr>
          <w:p>
            <w:pPr>
              <w:autoSpaceDE w:val="0"/>
              <w:autoSpaceDN w:val="0"/>
              <w:spacing w:line="360" w:lineRule="auto"/>
              <w:jc w:val="center"/>
              <w:rPr>
                <w:color w:val="auto"/>
                <w:szCs w:val="21"/>
                <w:highlight w:val="none"/>
              </w:rPr>
            </w:pPr>
            <w:r>
              <w:rPr>
                <w:color w:val="auto"/>
                <w:szCs w:val="21"/>
                <w:highlight w:val="none"/>
              </w:rPr>
              <w:t>废气总量（万m</w:t>
            </w:r>
            <w:r>
              <w:rPr>
                <w:color w:val="auto"/>
                <w:szCs w:val="21"/>
                <w:highlight w:val="none"/>
                <w:vertAlign w:val="superscript"/>
              </w:rPr>
              <w:t>3</w:t>
            </w:r>
            <w:r>
              <w:rPr>
                <w:color w:val="auto"/>
                <w:szCs w:val="21"/>
                <w:highlight w:val="none"/>
              </w:rPr>
              <w:t>/a）</w:t>
            </w:r>
          </w:p>
        </w:tc>
        <w:tc>
          <w:tcPr>
            <w:tcW w:w="2512" w:type="dxa"/>
            <w:vAlign w:val="center"/>
          </w:tcPr>
          <w:p>
            <w:pPr>
              <w:autoSpaceDE w:val="0"/>
              <w:autoSpaceDN w:val="0"/>
              <w:spacing w:line="360" w:lineRule="auto"/>
              <w:jc w:val="center"/>
              <w:rPr>
                <w:color w:val="auto"/>
                <w:szCs w:val="21"/>
                <w:highlight w:val="none"/>
              </w:rPr>
            </w:pPr>
            <w:r>
              <w:rPr>
                <w:rFonts w:hint="eastAsia"/>
                <w:color w:val="auto"/>
                <w:szCs w:val="21"/>
                <w:highlight w:val="none"/>
                <w:lang w:val="en-US" w:eastAsia="zh-CN"/>
              </w:rPr>
              <w:t>1728</w:t>
            </w:r>
            <w:r>
              <w:rPr>
                <w:color w:val="auto"/>
                <w:szCs w:val="21"/>
                <w:highlight w:val="none"/>
              </w:rPr>
              <w:t>万m</w:t>
            </w:r>
            <w:r>
              <w:rPr>
                <w:color w:val="auto"/>
                <w:szCs w:val="21"/>
                <w:highlight w:val="none"/>
                <w:vertAlign w:val="superscript"/>
              </w:rPr>
              <w:t>3</w:t>
            </w:r>
            <w:r>
              <w:rPr>
                <w:color w:val="auto"/>
                <w:szCs w:val="21"/>
                <w:highlight w:val="none"/>
              </w:rPr>
              <w:t>/a</w:t>
            </w:r>
          </w:p>
        </w:tc>
        <w:tc>
          <w:tcPr>
            <w:tcW w:w="3945" w:type="dxa"/>
            <w:vAlign w:val="center"/>
          </w:tcPr>
          <w:p>
            <w:pPr>
              <w:autoSpaceDE w:val="0"/>
              <w:autoSpaceDN w:val="0"/>
              <w:spacing w:line="360" w:lineRule="auto"/>
              <w:jc w:val="center"/>
              <w:rPr>
                <w:color w:val="auto"/>
                <w:szCs w:val="21"/>
                <w:highlight w:val="none"/>
              </w:rPr>
            </w:pPr>
            <w:r>
              <w:rPr>
                <w:rFonts w:hint="eastAsia"/>
                <w:color w:val="auto"/>
                <w:szCs w:val="21"/>
                <w:highlight w:val="none"/>
                <w:lang w:val="en-US" w:eastAsia="zh-CN"/>
              </w:rPr>
              <w:t>1728</w:t>
            </w:r>
            <w:r>
              <w:rPr>
                <w:color w:val="auto"/>
                <w:szCs w:val="21"/>
                <w:highlight w:val="none"/>
              </w:rPr>
              <w:t>万m</w:t>
            </w:r>
            <w:r>
              <w:rPr>
                <w:color w:val="auto"/>
                <w:szCs w:val="21"/>
                <w:highlight w:val="none"/>
                <w:vertAlign w:val="superscript"/>
              </w:rPr>
              <w:t>3</w:t>
            </w:r>
            <w:r>
              <w:rPr>
                <w:color w:val="auto"/>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Align w:val="center"/>
          </w:tcPr>
          <w:p>
            <w:pPr>
              <w:spacing w:line="360" w:lineRule="auto"/>
              <w:jc w:val="center"/>
              <w:rPr>
                <w:color w:val="auto"/>
                <w:szCs w:val="21"/>
                <w:highlight w:val="none"/>
              </w:rPr>
            </w:pPr>
            <w:r>
              <w:rPr>
                <w:color w:val="auto"/>
                <w:szCs w:val="21"/>
                <w:highlight w:val="none"/>
              </w:rPr>
              <w:t>非甲烷总烃</w:t>
            </w:r>
          </w:p>
        </w:tc>
        <w:tc>
          <w:tcPr>
            <w:tcW w:w="2512" w:type="dxa"/>
            <w:vAlign w:val="center"/>
          </w:tcPr>
          <w:p>
            <w:pPr>
              <w:spacing w:line="360" w:lineRule="auto"/>
              <w:jc w:val="center"/>
              <w:rPr>
                <w:rFonts w:hint="default" w:eastAsia="宋体"/>
                <w:color w:val="auto"/>
                <w:szCs w:val="21"/>
                <w:highlight w:val="none"/>
                <w:lang w:val="en-US" w:eastAsia="zh-CN"/>
              </w:rPr>
            </w:pPr>
            <w:r>
              <w:rPr>
                <w:rFonts w:hint="eastAsia"/>
                <w:color w:val="auto"/>
                <w:kern w:val="0"/>
                <w:szCs w:val="21"/>
                <w:highlight w:val="none"/>
                <w:lang w:val="en-US" w:eastAsia="zh-CN"/>
              </w:rPr>
              <w:t>0.6075</w:t>
            </w:r>
          </w:p>
        </w:tc>
        <w:tc>
          <w:tcPr>
            <w:tcW w:w="3945" w:type="dxa"/>
            <w:vAlign w:val="center"/>
          </w:tcPr>
          <w:p>
            <w:pPr>
              <w:spacing w:line="360" w:lineRule="auto"/>
              <w:jc w:val="center"/>
              <w:rPr>
                <w:rFonts w:hint="default" w:eastAsia="宋体"/>
                <w:color w:val="auto"/>
                <w:szCs w:val="21"/>
                <w:highlight w:val="none"/>
                <w:lang w:val="en-US" w:eastAsia="zh-CN"/>
              </w:rPr>
            </w:pPr>
            <w:r>
              <w:rPr>
                <w:rFonts w:hint="eastAsia"/>
                <w:color w:val="auto"/>
                <w:kern w:val="0"/>
                <w:szCs w:val="21"/>
                <w:highlight w:val="none"/>
                <w:lang w:val="en-US" w:eastAsia="zh-CN"/>
              </w:rPr>
              <w:t>0.6075</w:t>
            </w:r>
          </w:p>
        </w:tc>
      </w:tr>
    </w:tbl>
    <w:p>
      <w:pPr>
        <w:keepNext/>
        <w:keepLines/>
        <w:spacing w:line="360" w:lineRule="auto"/>
        <w:outlineLvl w:val="2"/>
        <w:rPr>
          <w:b/>
          <w:bCs/>
          <w:color w:val="auto"/>
          <w:sz w:val="24"/>
          <w:highlight w:val="none"/>
        </w:rPr>
      </w:pPr>
      <w:bookmarkStart w:id="806" w:name="_Toc17071"/>
      <w:bookmarkStart w:id="807" w:name="_Toc75908760"/>
      <w:r>
        <w:rPr>
          <w:b/>
          <w:bCs/>
          <w:color w:val="auto"/>
          <w:sz w:val="24"/>
          <w:highlight w:val="none"/>
        </w:rPr>
        <w:t>10.2.3 排污口规范化管理</w:t>
      </w:r>
      <w:bookmarkEnd w:id="806"/>
      <w:bookmarkEnd w:id="807"/>
    </w:p>
    <w:p>
      <w:pPr>
        <w:spacing w:line="360" w:lineRule="auto"/>
        <w:ind w:firstLine="480" w:firstLineChars="200"/>
        <w:rPr>
          <w:snapToGrid w:val="0"/>
          <w:color w:val="auto"/>
          <w:sz w:val="24"/>
          <w:highlight w:val="none"/>
        </w:rPr>
      </w:pPr>
      <w:r>
        <w:rPr>
          <w:snapToGrid w:val="0"/>
          <w:color w:val="auto"/>
          <w:sz w:val="24"/>
          <w:highlight w:val="none"/>
        </w:rPr>
        <w:t>排污口是企业排放污染物进入环境的通道，强化排污口的管理是实施污染物总量控制的基础工作之一，也是区域环境管理逐步实现污染物排放科学化、定量化的重要手段。</w:t>
      </w:r>
    </w:p>
    <w:p>
      <w:pPr>
        <w:spacing w:line="360" w:lineRule="auto"/>
        <w:ind w:firstLine="480" w:firstLineChars="200"/>
        <w:rPr>
          <w:snapToGrid w:val="0"/>
          <w:color w:val="auto"/>
          <w:sz w:val="24"/>
          <w:highlight w:val="none"/>
        </w:rPr>
      </w:pPr>
      <w:r>
        <w:rPr>
          <w:snapToGrid w:val="0"/>
          <w:color w:val="auto"/>
          <w:sz w:val="24"/>
          <w:highlight w:val="none"/>
        </w:rPr>
        <w:t>（1）排污口规范化管理的基本原则</w:t>
      </w:r>
    </w:p>
    <w:p>
      <w:pPr>
        <w:spacing w:line="360" w:lineRule="auto"/>
        <w:ind w:firstLine="480" w:firstLineChars="200"/>
        <w:rPr>
          <w:snapToGrid w:val="0"/>
          <w:color w:val="auto"/>
          <w:sz w:val="24"/>
          <w:highlight w:val="none"/>
        </w:rPr>
      </w:pPr>
      <w:r>
        <w:rPr>
          <w:snapToGrid w:val="0"/>
          <w:color w:val="auto"/>
          <w:sz w:val="24"/>
          <w:highlight w:val="none"/>
        </w:rPr>
        <w:t>①向环境排放污染物的排污口必须规范化；</w:t>
      </w:r>
    </w:p>
    <w:p>
      <w:pPr>
        <w:spacing w:line="360" w:lineRule="auto"/>
        <w:ind w:firstLine="480" w:firstLineChars="200"/>
        <w:rPr>
          <w:snapToGrid w:val="0"/>
          <w:color w:val="auto"/>
          <w:sz w:val="24"/>
          <w:highlight w:val="none"/>
        </w:rPr>
      </w:pPr>
      <w:r>
        <w:rPr>
          <w:snapToGrid w:val="0"/>
          <w:color w:val="auto"/>
          <w:sz w:val="24"/>
          <w:highlight w:val="none"/>
        </w:rPr>
        <w:t>②根据项目特点，将废气排放口作为规范化管理的重点；</w:t>
      </w:r>
    </w:p>
    <w:p>
      <w:pPr>
        <w:spacing w:line="360" w:lineRule="auto"/>
        <w:ind w:firstLine="480" w:firstLineChars="200"/>
        <w:rPr>
          <w:snapToGrid w:val="0"/>
          <w:color w:val="auto"/>
          <w:sz w:val="24"/>
          <w:highlight w:val="none"/>
        </w:rPr>
      </w:pPr>
      <w:r>
        <w:rPr>
          <w:snapToGrid w:val="0"/>
          <w:color w:val="auto"/>
          <w:sz w:val="24"/>
          <w:highlight w:val="none"/>
        </w:rPr>
        <w:t>③排污口应便于采样与计量监测，便于日常现场监督检查。</w:t>
      </w:r>
    </w:p>
    <w:p>
      <w:pPr>
        <w:spacing w:line="360" w:lineRule="auto"/>
        <w:ind w:firstLine="480" w:firstLineChars="200"/>
        <w:rPr>
          <w:snapToGrid w:val="0"/>
          <w:color w:val="auto"/>
          <w:sz w:val="24"/>
          <w:highlight w:val="none"/>
        </w:rPr>
      </w:pPr>
      <w:r>
        <w:rPr>
          <w:snapToGrid w:val="0"/>
          <w:color w:val="auto"/>
          <w:sz w:val="24"/>
          <w:highlight w:val="none"/>
        </w:rPr>
        <w:t>（2）排污口的技术要求</w:t>
      </w:r>
    </w:p>
    <w:p>
      <w:pPr>
        <w:spacing w:line="360" w:lineRule="auto"/>
        <w:ind w:firstLine="480" w:firstLineChars="200"/>
        <w:rPr>
          <w:snapToGrid w:val="0"/>
          <w:color w:val="auto"/>
          <w:sz w:val="24"/>
          <w:highlight w:val="none"/>
        </w:rPr>
      </w:pPr>
      <w:r>
        <w:rPr>
          <w:snapToGrid w:val="0"/>
          <w:color w:val="auto"/>
          <w:sz w:val="24"/>
          <w:highlight w:val="none"/>
        </w:rPr>
        <w:t>①排污口的位置必须合理确定，按环监（1996）470号文件要求进行规范化管理。</w:t>
      </w:r>
    </w:p>
    <w:p>
      <w:pPr>
        <w:spacing w:line="360" w:lineRule="auto"/>
        <w:ind w:firstLine="480" w:firstLineChars="200"/>
        <w:rPr>
          <w:snapToGrid w:val="0"/>
          <w:color w:val="auto"/>
          <w:sz w:val="24"/>
          <w:highlight w:val="none"/>
        </w:rPr>
      </w:pPr>
      <w:r>
        <w:rPr>
          <w:snapToGrid w:val="0"/>
          <w:color w:val="auto"/>
          <w:sz w:val="24"/>
          <w:highlight w:val="none"/>
        </w:rPr>
        <w:t>②排放污染物的采样点设置应按《污染源监测技术规范》要求，设置在污染物处理设施进、出口等处；</w:t>
      </w:r>
    </w:p>
    <w:p>
      <w:pPr>
        <w:spacing w:line="360" w:lineRule="auto"/>
        <w:ind w:firstLine="480" w:firstLineChars="200"/>
        <w:rPr>
          <w:snapToGrid w:val="0"/>
          <w:color w:val="auto"/>
          <w:sz w:val="24"/>
          <w:highlight w:val="none"/>
        </w:rPr>
      </w:pPr>
      <w:r>
        <w:rPr>
          <w:snapToGrid w:val="0"/>
          <w:color w:val="auto"/>
          <w:sz w:val="24"/>
          <w:highlight w:val="none"/>
        </w:rPr>
        <w:t>③设置规范的、便于测量流量、流速的测流段。</w:t>
      </w:r>
    </w:p>
    <w:p>
      <w:pPr>
        <w:spacing w:line="360" w:lineRule="auto"/>
        <w:ind w:firstLine="480" w:firstLineChars="200"/>
        <w:rPr>
          <w:snapToGrid w:val="0"/>
          <w:color w:val="auto"/>
          <w:sz w:val="24"/>
          <w:highlight w:val="none"/>
        </w:rPr>
      </w:pPr>
      <w:r>
        <w:rPr>
          <w:snapToGrid w:val="0"/>
          <w:color w:val="auto"/>
          <w:sz w:val="24"/>
          <w:highlight w:val="none"/>
        </w:rPr>
        <w:t>（3）排污口立标管理</w:t>
      </w:r>
    </w:p>
    <w:p>
      <w:pPr>
        <w:spacing w:line="360" w:lineRule="auto"/>
        <w:ind w:firstLine="480" w:firstLineChars="200"/>
        <w:rPr>
          <w:snapToGrid w:val="0"/>
          <w:color w:val="auto"/>
          <w:sz w:val="24"/>
          <w:highlight w:val="none"/>
        </w:rPr>
      </w:pPr>
      <w:r>
        <w:rPr>
          <w:snapToGrid w:val="0"/>
          <w:color w:val="auto"/>
          <w:sz w:val="24"/>
          <w:highlight w:val="none"/>
        </w:rPr>
        <w:t>①企业污染物排放口的标志，应按国家《环境保护图形标志排放口》（15562.1-1995）及《环境保护图形标志固体废物贮存（处置）场》（15562.2-1995）的规定，设置国家环保总局统一制作的环境保护图形标志牌。排污口图形示例见表10.2-6。</w:t>
      </w:r>
    </w:p>
    <w:p>
      <w:pPr>
        <w:spacing w:line="360" w:lineRule="auto"/>
        <w:ind w:firstLine="480" w:firstLineChars="200"/>
        <w:rPr>
          <w:snapToGrid w:val="0"/>
          <w:color w:val="auto"/>
          <w:sz w:val="24"/>
          <w:highlight w:val="none"/>
        </w:rPr>
      </w:pPr>
      <w:r>
        <w:rPr>
          <w:snapToGrid w:val="0"/>
          <w:color w:val="auto"/>
          <w:sz w:val="24"/>
          <w:highlight w:val="none"/>
        </w:rPr>
        <w:t>②污染物排放口的环保图形标志牌应设置在靠近采样点的醒目处，标志牌设置高度为其上缘距地面2m。</w:t>
      </w:r>
    </w:p>
    <w:p>
      <w:pPr>
        <w:spacing w:line="360" w:lineRule="auto"/>
        <w:jc w:val="center"/>
        <w:rPr>
          <w:b/>
          <w:snapToGrid w:val="0"/>
          <w:color w:val="auto"/>
          <w:sz w:val="24"/>
          <w:highlight w:val="none"/>
        </w:rPr>
      </w:pPr>
      <w:r>
        <w:rPr>
          <w:b/>
          <w:snapToGrid w:val="0"/>
          <w:color w:val="auto"/>
          <w:sz w:val="24"/>
          <w:highlight w:val="none"/>
        </w:rPr>
        <w:t>表10.2-6  排污口图形标志示例</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717"/>
        <w:gridCol w:w="1718"/>
        <w:gridCol w:w="1335"/>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shd w:val="clear" w:color="auto" w:fill="auto"/>
            <w:vAlign w:val="center"/>
          </w:tcPr>
          <w:p>
            <w:pPr>
              <w:jc w:val="center"/>
              <w:rPr>
                <w:b/>
                <w:color w:val="auto"/>
                <w:highlight w:val="none"/>
              </w:rPr>
            </w:pPr>
            <w:r>
              <w:rPr>
                <w:b/>
                <w:color w:val="auto"/>
                <w:highlight w:val="none"/>
              </w:rPr>
              <w:t>序号</w:t>
            </w:r>
          </w:p>
        </w:tc>
        <w:tc>
          <w:tcPr>
            <w:tcW w:w="1717" w:type="dxa"/>
            <w:shd w:val="clear" w:color="auto" w:fill="auto"/>
            <w:vAlign w:val="center"/>
          </w:tcPr>
          <w:p>
            <w:pPr>
              <w:jc w:val="center"/>
              <w:rPr>
                <w:b/>
                <w:color w:val="auto"/>
                <w:highlight w:val="none"/>
              </w:rPr>
            </w:pPr>
            <w:r>
              <w:rPr>
                <w:b/>
                <w:color w:val="auto"/>
                <w:highlight w:val="none"/>
              </w:rPr>
              <w:t>提示图形符号</w:t>
            </w:r>
          </w:p>
        </w:tc>
        <w:tc>
          <w:tcPr>
            <w:tcW w:w="1718" w:type="dxa"/>
            <w:shd w:val="clear" w:color="auto" w:fill="auto"/>
            <w:vAlign w:val="center"/>
          </w:tcPr>
          <w:p>
            <w:pPr>
              <w:jc w:val="center"/>
              <w:rPr>
                <w:b/>
                <w:color w:val="auto"/>
                <w:highlight w:val="none"/>
              </w:rPr>
            </w:pPr>
            <w:r>
              <w:rPr>
                <w:b/>
                <w:color w:val="auto"/>
                <w:highlight w:val="none"/>
              </w:rPr>
              <w:t>警告图形标志</w:t>
            </w:r>
          </w:p>
        </w:tc>
        <w:tc>
          <w:tcPr>
            <w:tcW w:w="1335" w:type="dxa"/>
            <w:shd w:val="clear" w:color="auto" w:fill="auto"/>
            <w:vAlign w:val="center"/>
          </w:tcPr>
          <w:p>
            <w:pPr>
              <w:jc w:val="center"/>
              <w:rPr>
                <w:b/>
                <w:color w:val="auto"/>
                <w:highlight w:val="none"/>
              </w:rPr>
            </w:pPr>
            <w:r>
              <w:rPr>
                <w:b/>
                <w:color w:val="auto"/>
                <w:highlight w:val="none"/>
              </w:rPr>
              <w:t>名称</w:t>
            </w:r>
          </w:p>
        </w:tc>
        <w:tc>
          <w:tcPr>
            <w:tcW w:w="3107" w:type="dxa"/>
            <w:shd w:val="clear" w:color="auto" w:fill="auto"/>
            <w:vAlign w:val="center"/>
          </w:tcPr>
          <w:p>
            <w:pPr>
              <w:jc w:val="center"/>
              <w:rPr>
                <w:b/>
                <w:color w:val="auto"/>
                <w:highlight w:val="none"/>
              </w:rPr>
            </w:pPr>
            <w:r>
              <w:rPr>
                <w:b/>
                <w:color w:val="auto"/>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shd w:val="clear" w:color="auto" w:fill="auto"/>
            <w:vAlign w:val="center"/>
          </w:tcPr>
          <w:p>
            <w:pPr>
              <w:jc w:val="center"/>
              <w:rPr>
                <w:color w:val="auto"/>
                <w:highlight w:val="none"/>
              </w:rPr>
            </w:pPr>
            <w:r>
              <w:rPr>
                <w:color w:val="auto"/>
                <w:highlight w:val="none"/>
              </w:rPr>
              <w:t>1</w:t>
            </w:r>
          </w:p>
        </w:tc>
        <w:tc>
          <w:tcPr>
            <w:tcW w:w="1717" w:type="dxa"/>
            <w:shd w:val="clear" w:color="auto" w:fill="auto"/>
            <w:vAlign w:val="center"/>
          </w:tcPr>
          <w:p>
            <w:pPr>
              <w:jc w:val="center"/>
              <w:rPr>
                <w:color w:val="auto"/>
                <w:highlight w:val="none"/>
              </w:rPr>
            </w:pPr>
            <w:r>
              <w:rPr>
                <w:color w:val="auto"/>
                <w:highlight w:val="none"/>
              </w:rPr>
              <w:drawing>
                <wp:inline distT="0" distB="0" distL="0" distR="0">
                  <wp:extent cx="895350" cy="895350"/>
                  <wp:effectExtent l="19050" t="0" r="0" b="0"/>
                  <wp:docPr id="67" name="图片 67" descr="QQ截图201708181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QQ截图20170818120236"/>
                          <pic:cNvPicPr>
                            <a:picLocks noChangeAspect="1" noChangeArrowheads="1"/>
                          </pic:cNvPicPr>
                        </pic:nvPicPr>
                        <pic:blipFill>
                          <a:blip r:embed="rId40"/>
                          <a:srcRect/>
                          <a:stretch>
                            <a:fillRect/>
                          </a:stretch>
                        </pic:blipFill>
                        <pic:spPr>
                          <a:xfrm>
                            <a:off x="0" y="0"/>
                            <a:ext cx="895350" cy="895350"/>
                          </a:xfrm>
                          <a:prstGeom prst="rect">
                            <a:avLst/>
                          </a:prstGeom>
                          <a:noFill/>
                          <a:ln w="9525">
                            <a:noFill/>
                            <a:miter lim="800000"/>
                            <a:headEnd/>
                            <a:tailEnd/>
                          </a:ln>
                        </pic:spPr>
                      </pic:pic>
                    </a:graphicData>
                  </a:graphic>
                </wp:inline>
              </w:drawing>
            </w:r>
          </w:p>
        </w:tc>
        <w:tc>
          <w:tcPr>
            <w:tcW w:w="1718" w:type="dxa"/>
            <w:shd w:val="clear" w:color="auto" w:fill="auto"/>
            <w:vAlign w:val="center"/>
          </w:tcPr>
          <w:p>
            <w:pPr>
              <w:jc w:val="center"/>
              <w:rPr>
                <w:color w:val="auto"/>
                <w:highlight w:val="none"/>
              </w:rPr>
            </w:pPr>
            <w:r>
              <w:rPr>
                <w:color w:val="auto"/>
                <w:highlight w:val="none"/>
              </w:rPr>
              <w:drawing>
                <wp:inline distT="0" distB="0" distL="0" distR="0">
                  <wp:extent cx="895350" cy="895350"/>
                  <wp:effectExtent l="19050" t="0" r="0" b="0"/>
                  <wp:docPr id="68" name="图片 68" descr="QQ截图20170818120247"/>
                  <wp:cNvGraphicFramePr/>
                  <a:graphic xmlns:a="http://schemas.openxmlformats.org/drawingml/2006/main">
                    <a:graphicData uri="http://schemas.openxmlformats.org/drawingml/2006/picture">
                      <pic:pic xmlns:pic="http://schemas.openxmlformats.org/drawingml/2006/picture">
                        <pic:nvPicPr>
                          <pic:cNvPr id="68" name="图片 68" descr="QQ截图20170818120247"/>
                          <pic:cNvPicPr preferRelativeResize="0">
                            <a:picLocks noChangeArrowheads="1"/>
                          </pic:cNvPicPr>
                        </pic:nvPicPr>
                        <pic:blipFill>
                          <a:blip r:embed="rId41"/>
                          <a:srcRect/>
                          <a:stretch>
                            <a:fillRect/>
                          </a:stretch>
                        </pic:blipFill>
                        <pic:spPr>
                          <a:xfrm>
                            <a:off x="0" y="0"/>
                            <a:ext cx="895350" cy="895350"/>
                          </a:xfrm>
                          <a:prstGeom prst="rect">
                            <a:avLst/>
                          </a:prstGeom>
                          <a:noFill/>
                          <a:ln w="9525">
                            <a:noFill/>
                            <a:miter lim="800000"/>
                            <a:headEnd/>
                            <a:tailEnd/>
                          </a:ln>
                        </pic:spPr>
                      </pic:pic>
                    </a:graphicData>
                  </a:graphic>
                </wp:inline>
              </w:drawing>
            </w:r>
          </w:p>
        </w:tc>
        <w:tc>
          <w:tcPr>
            <w:tcW w:w="1335" w:type="dxa"/>
            <w:shd w:val="clear" w:color="auto" w:fill="auto"/>
            <w:vAlign w:val="center"/>
          </w:tcPr>
          <w:p>
            <w:pPr>
              <w:jc w:val="center"/>
              <w:rPr>
                <w:color w:val="auto"/>
                <w:highlight w:val="none"/>
              </w:rPr>
            </w:pPr>
            <w:r>
              <w:rPr>
                <w:color w:val="auto"/>
                <w:highlight w:val="none"/>
              </w:rPr>
              <w:t>废气排放口</w:t>
            </w:r>
          </w:p>
        </w:tc>
        <w:tc>
          <w:tcPr>
            <w:tcW w:w="3107" w:type="dxa"/>
            <w:shd w:val="clear" w:color="auto" w:fill="auto"/>
            <w:vAlign w:val="center"/>
          </w:tcPr>
          <w:p>
            <w:pPr>
              <w:jc w:val="center"/>
              <w:rPr>
                <w:color w:val="auto"/>
                <w:highlight w:val="none"/>
              </w:rPr>
            </w:pPr>
            <w:r>
              <w:rPr>
                <w:color w:val="auto"/>
                <w:highlight w:val="none"/>
              </w:rPr>
              <w:t>表示向大气环境排放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shd w:val="clear" w:color="auto" w:fill="auto"/>
            <w:vAlign w:val="center"/>
          </w:tcPr>
          <w:p>
            <w:pPr>
              <w:jc w:val="center"/>
              <w:rPr>
                <w:color w:val="auto"/>
                <w:highlight w:val="none"/>
              </w:rPr>
            </w:pPr>
            <w:r>
              <w:rPr>
                <w:color w:val="auto"/>
                <w:highlight w:val="none"/>
              </w:rPr>
              <w:t>2</w:t>
            </w:r>
          </w:p>
        </w:tc>
        <w:tc>
          <w:tcPr>
            <w:tcW w:w="1717" w:type="dxa"/>
            <w:shd w:val="clear" w:color="auto" w:fill="auto"/>
            <w:vAlign w:val="center"/>
          </w:tcPr>
          <w:p>
            <w:pPr>
              <w:jc w:val="center"/>
              <w:rPr>
                <w:color w:val="auto"/>
                <w:highlight w:val="none"/>
              </w:rPr>
            </w:pPr>
            <w:r>
              <w:rPr>
                <w:color w:val="auto"/>
                <w:highlight w:val="none"/>
              </w:rPr>
              <w:drawing>
                <wp:inline distT="0" distB="0" distL="0" distR="0">
                  <wp:extent cx="895350" cy="895350"/>
                  <wp:effectExtent l="19050" t="0" r="0" b="0"/>
                  <wp:docPr id="69" name="图片 69" descr="QQ截图20170818120312"/>
                  <wp:cNvGraphicFramePr/>
                  <a:graphic xmlns:a="http://schemas.openxmlformats.org/drawingml/2006/main">
                    <a:graphicData uri="http://schemas.openxmlformats.org/drawingml/2006/picture">
                      <pic:pic xmlns:pic="http://schemas.openxmlformats.org/drawingml/2006/picture">
                        <pic:nvPicPr>
                          <pic:cNvPr id="69" name="图片 69" descr="QQ截图20170818120312"/>
                          <pic:cNvPicPr preferRelativeResize="0">
                            <a:picLocks noChangeArrowheads="1"/>
                          </pic:cNvPicPr>
                        </pic:nvPicPr>
                        <pic:blipFill>
                          <a:blip r:embed="rId42"/>
                          <a:srcRect/>
                          <a:stretch>
                            <a:fillRect/>
                          </a:stretch>
                        </pic:blipFill>
                        <pic:spPr>
                          <a:xfrm>
                            <a:off x="0" y="0"/>
                            <a:ext cx="895350" cy="895350"/>
                          </a:xfrm>
                          <a:prstGeom prst="rect">
                            <a:avLst/>
                          </a:prstGeom>
                          <a:noFill/>
                          <a:ln w="9525">
                            <a:noFill/>
                            <a:miter lim="800000"/>
                            <a:headEnd/>
                            <a:tailEnd/>
                          </a:ln>
                        </pic:spPr>
                      </pic:pic>
                    </a:graphicData>
                  </a:graphic>
                </wp:inline>
              </w:drawing>
            </w:r>
          </w:p>
        </w:tc>
        <w:tc>
          <w:tcPr>
            <w:tcW w:w="1718" w:type="dxa"/>
            <w:shd w:val="clear" w:color="auto" w:fill="auto"/>
            <w:vAlign w:val="center"/>
          </w:tcPr>
          <w:p>
            <w:pPr>
              <w:jc w:val="center"/>
              <w:rPr>
                <w:color w:val="auto"/>
                <w:highlight w:val="none"/>
              </w:rPr>
            </w:pPr>
            <w:r>
              <w:rPr>
                <w:color w:val="auto"/>
                <w:highlight w:val="none"/>
              </w:rPr>
              <w:drawing>
                <wp:inline distT="0" distB="0" distL="0" distR="0">
                  <wp:extent cx="895350" cy="895350"/>
                  <wp:effectExtent l="19050" t="0" r="0" b="0"/>
                  <wp:docPr id="70" name="图片 70" descr="QQ截图20170818120321"/>
                  <wp:cNvGraphicFramePr/>
                  <a:graphic xmlns:a="http://schemas.openxmlformats.org/drawingml/2006/main">
                    <a:graphicData uri="http://schemas.openxmlformats.org/drawingml/2006/picture">
                      <pic:pic xmlns:pic="http://schemas.openxmlformats.org/drawingml/2006/picture">
                        <pic:nvPicPr>
                          <pic:cNvPr id="70" name="图片 70" descr="QQ截图20170818120321"/>
                          <pic:cNvPicPr preferRelativeResize="0">
                            <a:picLocks noChangeArrowheads="1"/>
                          </pic:cNvPicPr>
                        </pic:nvPicPr>
                        <pic:blipFill>
                          <a:blip r:embed="rId43"/>
                          <a:srcRect/>
                          <a:stretch>
                            <a:fillRect/>
                          </a:stretch>
                        </pic:blipFill>
                        <pic:spPr>
                          <a:xfrm>
                            <a:off x="0" y="0"/>
                            <a:ext cx="895350" cy="895350"/>
                          </a:xfrm>
                          <a:prstGeom prst="rect">
                            <a:avLst/>
                          </a:prstGeom>
                          <a:noFill/>
                          <a:ln w="9525">
                            <a:noFill/>
                            <a:miter lim="800000"/>
                            <a:headEnd/>
                            <a:tailEnd/>
                          </a:ln>
                        </pic:spPr>
                      </pic:pic>
                    </a:graphicData>
                  </a:graphic>
                </wp:inline>
              </w:drawing>
            </w:r>
          </w:p>
        </w:tc>
        <w:tc>
          <w:tcPr>
            <w:tcW w:w="1335" w:type="dxa"/>
            <w:shd w:val="clear" w:color="auto" w:fill="auto"/>
            <w:vAlign w:val="center"/>
          </w:tcPr>
          <w:p>
            <w:pPr>
              <w:jc w:val="center"/>
              <w:rPr>
                <w:color w:val="auto"/>
                <w:highlight w:val="none"/>
              </w:rPr>
            </w:pPr>
            <w:r>
              <w:rPr>
                <w:color w:val="auto"/>
                <w:highlight w:val="none"/>
              </w:rPr>
              <w:t>噪声排放源</w:t>
            </w:r>
          </w:p>
        </w:tc>
        <w:tc>
          <w:tcPr>
            <w:tcW w:w="3107" w:type="dxa"/>
            <w:shd w:val="clear" w:color="auto" w:fill="auto"/>
            <w:vAlign w:val="center"/>
          </w:tcPr>
          <w:p>
            <w:pPr>
              <w:jc w:val="center"/>
              <w:rPr>
                <w:color w:val="auto"/>
                <w:highlight w:val="none"/>
              </w:rPr>
            </w:pPr>
            <w:r>
              <w:rPr>
                <w:color w:val="auto"/>
                <w:highlight w:val="none"/>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shd w:val="clear" w:color="auto" w:fill="auto"/>
            <w:vAlign w:val="center"/>
          </w:tcPr>
          <w:p>
            <w:pPr>
              <w:jc w:val="center"/>
              <w:rPr>
                <w:color w:val="auto"/>
                <w:highlight w:val="none"/>
              </w:rPr>
            </w:pPr>
            <w:r>
              <w:rPr>
                <w:color w:val="auto"/>
                <w:highlight w:val="none"/>
              </w:rPr>
              <w:t>3</w:t>
            </w:r>
          </w:p>
        </w:tc>
        <w:tc>
          <w:tcPr>
            <w:tcW w:w="1717" w:type="dxa"/>
            <w:shd w:val="clear" w:color="auto" w:fill="auto"/>
            <w:vAlign w:val="center"/>
          </w:tcPr>
          <w:p>
            <w:pPr>
              <w:jc w:val="center"/>
              <w:rPr>
                <w:color w:val="auto"/>
                <w:highlight w:val="none"/>
              </w:rPr>
            </w:pPr>
            <w:r>
              <w:rPr>
                <w:color w:val="auto"/>
                <w:highlight w:val="none"/>
              </w:rPr>
              <w:drawing>
                <wp:inline distT="0" distB="0" distL="0" distR="0">
                  <wp:extent cx="895350" cy="895350"/>
                  <wp:effectExtent l="19050" t="0" r="0" b="0"/>
                  <wp:docPr id="71" name="图片 71" descr="QQ截图20171117165619"/>
                  <wp:cNvGraphicFramePr/>
                  <a:graphic xmlns:a="http://schemas.openxmlformats.org/drawingml/2006/main">
                    <a:graphicData uri="http://schemas.openxmlformats.org/drawingml/2006/picture">
                      <pic:pic xmlns:pic="http://schemas.openxmlformats.org/drawingml/2006/picture">
                        <pic:nvPicPr>
                          <pic:cNvPr id="71" name="图片 71" descr="QQ截图20171117165619"/>
                          <pic:cNvPicPr preferRelativeResize="0">
                            <a:picLocks noChangeArrowheads="1"/>
                          </pic:cNvPicPr>
                        </pic:nvPicPr>
                        <pic:blipFill>
                          <a:blip r:embed="rId44"/>
                          <a:srcRect/>
                          <a:stretch>
                            <a:fillRect/>
                          </a:stretch>
                        </pic:blipFill>
                        <pic:spPr>
                          <a:xfrm>
                            <a:off x="0" y="0"/>
                            <a:ext cx="895350" cy="895350"/>
                          </a:xfrm>
                          <a:prstGeom prst="rect">
                            <a:avLst/>
                          </a:prstGeom>
                          <a:noFill/>
                          <a:ln w="9525">
                            <a:noFill/>
                            <a:miter lim="800000"/>
                            <a:headEnd/>
                            <a:tailEnd/>
                          </a:ln>
                        </pic:spPr>
                      </pic:pic>
                    </a:graphicData>
                  </a:graphic>
                </wp:inline>
              </w:drawing>
            </w:r>
          </w:p>
        </w:tc>
        <w:tc>
          <w:tcPr>
            <w:tcW w:w="1718" w:type="dxa"/>
            <w:shd w:val="clear" w:color="auto" w:fill="auto"/>
            <w:vAlign w:val="center"/>
          </w:tcPr>
          <w:p>
            <w:pPr>
              <w:jc w:val="center"/>
              <w:rPr>
                <w:color w:val="auto"/>
                <w:highlight w:val="none"/>
              </w:rPr>
            </w:pPr>
            <w:r>
              <w:rPr>
                <w:color w:val="auto"/>
                <w:highlight w:val="none"/>
              </w:rPr>
              <w:drawing>
                <wp:inline distT="0" distB="0" distL="0" distR="0">
                  <wp:extent cx="895350" cy="895350"/>
                  <wp:effectExtent l="19050" t="0" r="0" b="0"/>
                  <wp:docPr id="72" name="图片 72" descr="QQ截图20171117185651"/>
                  <wp:cNvGraphicFramePr/>
                  <a:graphic xmlns:a="http://schemas.openxmlformats.org/drawingml/2006/main">
                    <a:graphicData uri="http://schemas.openxmlformats.org/drawingml/2006/picture">
                      <pic:pic xmlns:pic="http://schemas.openxmlformats.org/drawingml/2006/picture">
                        <pic:nvPicPr>
                          <pic:cNvPr id="72" name="图片 72" descr="QQ截图20171117185651"/>
                          <pic:cNvPicPr preferRelativeResize="0">
                            <a:picLocks noChangeArrowheads="1"/>
                          </pic:cNvPicPr>
                        </pic:nvPicPr>
                        <pic:blipFill>
                          <a:blip r:embed="rId45"/>
                          <a:srcRect/>
                          <a:stretch>
                            <a:fillRect/>
                          </a:stretch>
                        </pic:blipFill>
                        <pic:spPr>
                          <a:xfrm>
                            <a:off x="0" y="0"/>
                            <a:ext cx="895350" cy="895350"/>
                          </a:xfrm>
                          <a:prstGeom prst="rect">
                            <a:avLst/>
                          </a:prstGeom>
                          <a:noFill/>
                          <a:ln w="9525">
                            <a:noFill/>
                            <a:miter lim="800000"/>
                            <a:headEnd/>
                            <a:tailEnd/>
                          </a:ln>
                        </pic:spPr>
                      </pic:pic>
                    </a:graphicData>
                  </a:graphic>
                </wp:inline>
              </w:drawing>
            </w:r>
          </w:p>
        </w:tc>
        <w:tc>
          <w:tcPr>
            <w:tcW w:w="1335" w:type="dxa"/>
            <w:shd w:val="clear" w:color="auto" w:fill="auto"/>
            <w:vAlign w:val="center"/>
          </w:tcPr>
          <w:p>
            <w:pPr>
              <w:jc w:val="center"/>
              <w:rPr>
                <w:color w:val="auto"/>
                <w:highlight w:val="none"/>
              </w:rPr>
            </w:pPr>
            <w:r>
              <w:rPr>
                <w:color w:val="auto"/>
                <w:highlight w:val="none"/>
              </w:rPr>
              <w:t>一般固体废物</w:t>
            </w:r>
          </w:p>
        </w:tc>
        <w:tc>
          <w:tcPr>
            <w:tcW w:w="3107" w:type="dxa"/>
            <w:shd w:val="clear" w:color="auto" w:fill="auto"/>
            <w:vAlign w:val="center"/>
          </w:tcPr>
          <w:p>
            <w:pPr>
              <w:jc w:val="center"/>
              <w:rPr>
                <w:color w:val="auto"/>
                <w:highlight w:val="none"/>
              </w:rPr>
            </w:pPr>
            <w:r>
              <w:rPr>
                <w:color w:val="auto"/>
                <w:highlight w:val="none"/>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shd w:val="clear" w:color="auto" w:fill="auto"/>
            <w:vAlign w:val="center"/>
          </w:tcPr>
          <w:p>
            <w:pPr>
              <w:jc w:val="center"/>
              <w:rPr>
                <w:color w:val="auto"/>
                <w:highlight w:val="none"/>
              </w:rPr>
            </w:pPr>
            <w:r>
              <w:rPr>
                <w:color w:val="auto"/>
                <w:highlight w:val="none"/>
              </w:rPr>
              <w:t>4</w:t>
            </w:r>
          </w:p>
        </w:tc>
        <w:tc>
          <w:tcPr>
            <w:tcW w:w="1717" w:type="dxa"/>
            <w:shd w:val="clear" w:color="auto" w:fill="auto"/>
            <w:vAlign w:val="center"/>
          </w:tcPr>
          <w:p>
            <w:pPr>
              <w:jc w:val="center"/>
              <w:rPr>
                <w:color w:val="auto"/>
                <w:highlight w:val="none"/>
              </w:rPr>
            </w:pPr>
            <w:r>
              <w:rPr>
                <w:rFonts w:hint="eastAsia"/>
                <w:color w:val="auto"/>
                <w:highlight w:val="none"/>
              </w:rPr>
              <w:t>/</w:t>
            </w:r>
          </w:p>
        </w:tc>
        <w:tc>
          <w:tcPr>
            <w:tcW w:w="1718" w:type="dxa"/>
            <w:shd w:val="clear" w:color="auto" w:fill="auto"/>
            <w:vAlign w:val="center"/>
          </w:tcPr>
          <w:p>
            <w:pPr>
              <w:jc w:val="center"/>
              <w:rPr>
                <w:color w:val="auto"/>
                <w:highlight w:val="none"/>
              </w:rPr>
            </w:pPr>
            <w:r>
              <w:rPr>
                <w:color w:val="auto"/>
                <w:highlight w:val="none"/>
              </w:rPr>
              <w:drawing>
                <wp:inline distT="0" distB="0" distL="114300" distR="114300">
                  <wp:extent cx="925830" cy="775970"/>
                  <wp:effectExtent l="0" t="0" r="7620" b="508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46"/>
                          <a:stretch>
                            <a:fillRect/>
                          </a:stretch>
                        </pic:blipFill>
                        <pic:spPr>
                          <a:xfrm>
                            <a:off x="0" y="0"/>
                            <a:ext cx="925830" cy="775970"/>
                          </a:xfrm>
                          <a:prstGeom prst="rect">
                            <a:avLst/>
                          </a:prstGeom>
                          <a:noFill/>
                          <a:ln>
                            <a:noFill/>
                          </a:ln>
                        </pic:spPr>
                      </pic:pic>
                    </a:graphicData>
                  </a:graphic>
                </wp:inline>
              </w:drawing>
            </w:r>
          </w:p>
        </w:tc>
        <w:tc>
          <w:tcPr>
            <w:tcW w:w="1335" w:type="dxa"/>
            <w:shd w:val="clear" w:color="auto" w:fill="auto"/>
            <w:vAlign w:val="center"/>
          </w:tcPr>
          <w:p>
            <w:pPr>
              <w:jc w:val="center"/>
              <w:rPr>
                <w:color w:val="auto"/>
                <w:highlight w:val="none"/>
              </w:rPr>
            </w:pPr>
            <w:r>
              <w:rPr>
                <w:color w:val="auto"/>
                <w:highlight w:val="none"/>
              </w:rPr>
              <w:t>危险废物</w:t>
            </w:r>
          </w:p>
        </w:tc>
        <w:tc>
          <w:tcPr>
            <w:tcW w:w="3107" w:type="dxa"/>
            <w:shd w:val="clear" w:color="auto" w:fill="auto"/>
            <w:vAlign w:val="center"/>
          </w:tcPr>
          <w:p>
            <w:pPr>
              <w:jc w:val="center"/>
              <w:rPr>
                <w:color w:val="auto"/>
                <w:highlight w:val="none"/>
              </w:rPr>
            </w:pPr>
            <w:r>
              <w:rPr>
                <w:color w:val="auto"/>
                <w:highlight w:val="none"/>
              </w:rPr>
              <w:t>表示危险废物贮存、处置场所</w:t>
            </w:r>
          </w:p>
        </w:tc>
      </w:tr>
    </w:tbl>
    <w:p>
      <w:pPr>
        <w:spacing w:line="360" w:lineRule="auto"/>
        <w:ind w:firstLine="480" w:firstLineChars="200"/>
        <w:rPr>
          <w:snapToGrid w:val="0"/>
          <w:color w:val="auto"/>
          <w:sz w:val="24"/>
          <w:highlight w:val="none"/>
        </w:rPr>
      </w:pPr>
      <w:r>
        <w:rPr>
          <w:snapToGrid w:val="0"/>
          <w:color w:val="auto"/>
          <w:sz w:val="24"/>
          <w:highlight w:val="none"/>
        </w:rPr>
        <w:t>项目共设置2个废气排放口，排放口符合相关规定和要求。</w:t>
      </w:r>
    </w:p>
    <w:p>
      <w:pPr>
        <w:spacing w:line="360" w:lineRule="auto"/>
        <w:ind w:firstLine="480" w:firstLineChars="200"/>
        <w:rPr>
          <w:snapToGrid w:val="0"/>
          <w:color w:val="auto"/>
          <w:sz w:val="24"/>
          <w:highlight w:val="none"/>
        </w:rPr>
      </w:pPr>
      <w:r>
        <w:rPr>
          <w:snapToGrid w:val="0"/>
          <w:color w:val="auto"/>
          <w:sz w:val="24"/>
          <w:highlight w:val="none"/>
        </w:rPr>
        <w:t>（4）排污口建档管理</w:t>
      </w:r>
    </w:p>
    <w:p>
      <w:pPr>
        <w:spacing w:line="360" w:lineRule="auto"/>
        <w:ind w:firstLine="482"/>
        <w:rPr>
          <w:color w:val="auto"/>
          <w:sz w:val="24"/>
          <w:szCs w:val="20"/>
          <w:highlight w:val="none"/>
        </w:rPr>
      </w:pPr>
      <w:r>
        <w:rPr>
          <w:color w:val="auto"/>
          <w:sz w:val="24"/>
          <w:szCs w:val="20"/>
          <w:highlight w:val="none"/>
        </w:rPr>
        <w:t>①应使用</w:t>
      </w:r>
      <w:r>
        <w:rPr>
          <w:rFonts w:hint="eastAsia"/>
          <w:color w:val="auto"/>
          <w:sz w:val="24"/>
          <w:szCs w:val="20"/>
          <w:highlight w:val="none"/>
          <w:lang w:eastAsia="zh-CN"/>
        </w:rPr>
        <w:t>国家环保总局</w:t>
      </w:r>
      <w:r>
        <w:rPr>
          <w:color w:val="auto"/>
          <w:sz w:val="24"/>
          <w:szCs w:val="20"/>
          <w:highlight w:val="none"/>
        </w:rPr>
        <w:t>统一印刷的《中华人民共和国规范化排污口标志登记证》，并按要求填写有关内容。</w:t>
      </w:r>
    </w:p>
    <w:p>
      <w:pPr>
        <w:spacing w:line="360" w:lineRule="auto"/>
        <w:ind w:firstLine="482"/>
        <w:rPr>
          <w:color w:val="auto"/>
          <w:sz w:val="24"/>
          <w:szCs w:val="20"/>
          <w:highlight w:val="none"/>
        </w:rPr>
      </w:pPr>
      <w:r>
        <w:rPr>
          <w:color w:val="auto"/>
          <w:sz w:val="24"/>
          <w:szCs w:val="20"/>
          <w:highlight w:val="none"/>
        </w:rPr>
        <w:t>②根据排污口档案管理内容要求，将主要污染物种类、数量、浓度、排放去向、</w:t>
      </w:r>
      <w:r>
        <w:rPr>
          <w:rFonts w:hint="eastAsia"/>
          <w:color w:val="auto"/>
          <w:sz w:val="24"/>
          <w:szCs w:val="20"/>
          <w:highlight w:val="none"/>
          <w:lang w:eastAsia="zh-CN"/>
        </w:rPr>
        <w:t>达标</w:t>
      </w:r>
      <w:r>
        <w:rPr>
          <w:color w:val="auto"/>
          <w:sz w:val="24"/>
          <w:szCs w:val="20"/>
          <w:highlight w:val="none"/>
        </w:rPr>
        <w:t>情况及设施运行情况记录于档案。</w:t>
      </w:r>
    </w:p>
    <w:p>
      <w:pPr>
        <w:keepNext/>
        <w:keepLines/>
        <w:spacing w:line="360" w:lineRule="auto"/>
        <w:outlineLvl w:val="2"/>
        <w:rPr>
          <w:b/>
          <w:bCs/>
          <w:color w:val="auto"/>
          <w:sz w:val="24"/>
          <w:highlight w:val="none"/>
        </w:rPr>
      </w:pPr>
      <w:bookmarkStart w:id="808" w:name="_Toc3396"/>
      <w:bookmarkStart w:id="809" w:name="_Toc75908761"/>
      <w:r>
        <w:rPr>
          <w:b/>
          <w:bCs/>
          <w:color w:val="auto"/>
          <w:sz w:val="24"/>
          <w:highlight w:val="none"/>
        </w:rPr>
        <w:t>10.2.4 企业信息公开</w:t>
      </w:r>
      <w:bookmarkEnd w:id="808"/>
      <w:bookmarkEnd w:id="809"/>
    </w:p>
    <w:p>
      <w:pPr>
        <w:spacing w:line="360" w:lineRule="auto"/>
        <w:ind w:firstLine="482"/>
        <w:rPr>
          <w:color w:val="auto"/>
          <w:sz w:val="24"/>
          <w:szCs w:val="20"/>
          <w:highlight w:val="none"/>
        </w:rPr>
      </w:pPr>
      <w:r>
        <w:rPr>
          <w:snapToGrid w:val="0"/>
          <w:color w:val="auto"/>
          <w:kern w:val="0"/>
          <w:sz w:val="24"/>
          <w:highlight w:val="none"/>
        </w:rPr>
        <w:t>根据《企业事业单位环境信息公开办法》（环保部令第31号）的规定，企业事业单位应当按照强制公开和自愿公开相结合的原则，及时、如实地公开其环境信息。如环境信息涉及国家秘密、商业秘密或者个人隐私的，依法可以不公开；法律、法规另有规定的，从其规定。</w:t>
      </w:r>
      <w:r>
        <w:rPr>
          <w:color w:val="auto"/>
          <w:sz w:val="24"/>
          <w:szCs w:val="20"/>
          <w:highlight w:val="none"/>
        </w:rPr>
        <w:t>企业需要公开信息内容、时间节点和公开方式见表10.2-7。</w:t>
      </w:r>
    </w:p>
    <w:p>
      <w:pPr>
        <w:spacing w:line="360" w:lineRule="auto"/>
        <w:jc w:val="center"/>
        <w:rPr>
          <w:b/>
          <w:color w:val="auto"/>
          <w:sz w:val="24"/>
          <w:szCs w:val="20"/>
          <w:highlight w:val="none"/>
        </w:rPr>
      </w:pPr>
      <w:r>
        <w:rPr>
          <w:b/>
          <w:color w:val="auto"/>
          <w:sz w:val="24"/>
          <w:szCs w:val="20"/>
          <w:highlight w:val="none"/>
        </w:rPr>
        <w:t>表10.2-7  信息公开表</w:t>
      </w:r>
    </w:p>
    <w:tbl>
      <w:tblPr>
        <w:tblStyle w:val="55"/>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2"/>
        <w:gridCol w:w="2163"/>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192" w:type="dxa"/>
            <w:shd w:val="clear" w:color="auto" w:fill="auto"/>
            <w:vAlign w:val="center"/>
          </w:tcPr>
          <w:p>
            <w:pPr>
              <w:jc w:val="center"/>
              <w:rPr>
                <w:b/>
                <w:color w:val="auto"/>
                <w:highlight w:val="none"/>
              </w:rPr>
            </w:pPr>
            <w:r>
              <w:rPr>
                <w:b/>
                <w:color w:val="auto"/>
                <w:highlight w:val="none"/>
              </w:rPr>
              <w:t>公开方式</w:t>
            </w:r>
          </w:p>
        </w:tc>
        <w:tc>
          <w:tcPr>
            <w:tcW w:w="2163" w:type="dxa"/>
            <w:shd w:val="clear" w:color="auto" w:fill="auto"/>
            <w:vAlign w:val="center"/>
          </w:tcPr>
          <w:p>
            <w:pPr>
              <w:jc w:val="center"/>
              <w:rPr>
                <w:b/>
                <w:color w:val="auto"/>
                <w:highlight w:val="none"/>
              </w:rPr>
            </w:pPr>
            <w:r>
              <w:rPr>
                <w:b/>
                <w:color w:val="auto"/>
                <w:highlight w:val="none"/>
              </w:rPr>
              <w:t>时间节点</w:t>
            </w:r>
          </w:p>
        </w:tc>
        <w:tc>
          <w:tcPr>
            <w:tcW w:w="3194" w:type="dxa"/>
            <w:shd w:val="clear" w:color="auto" w:fill="auto"/>
            <w:vAlign w:val="center"/>
          </w:tcPr>
          <w:p>
            <w:pPr>
              <w:jc w:val="center"/>
              <w:rPr>
                <w:b/>
                <w:color w:val="auto"/>
                <w:highlight w:val="none"/>
              </w:rPr>
            </w:pPr>
            <w:r>
              <w:rPr>
                <w:b/>
                <w:color w:val="auto"/>
                <w:highlight w:val="none"/>
              </w:rPr>
              <w:t>公开内容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2" w:hRule="atLeast"/>
        </w:trPr>
        <w:tc>
          <w:tcPr>
            <w:tcW w:w="3192" w:type="dxa"/>
            <w:shd w:val="clear" w:color="auto" w:fill="auto"/>
            <w:vAlign w:val="center"/>
          </w:tcPr>
          <w:p>
            <w:pPr>
              <w:rPr>
                <w:color w:val="auto"/>
                <w:highlight w:val="none"/>
              </w:rPr>
            </w:pPr>
            <w:r>
              <w:rPr>
                <w:color w:val="auto"/>
                <w:highlight w:val="none"/>
              </w:rPr>
              <w:t>应当通过网站、企业事业单位信息公开平台或者当地报刊等便于公众知晓的方式公开环境信息，同时可以采取以下一种或者几种方式予以公开：1、公告或者公开发行的信息专刊；2、广播、电视等新闻</w:t>
            </w:r>
            <w:r>
              <w:rPr>
                <w:rFonts w:hint="eastAsia"/>
                <w:color w:val="auto"/>
                <w:highlight w:val="none"/>
                <w:lang w:eastAsia="zh-CN"/>
              </w:rPr>
              <w:t>媒体</w:t>
            </w:r>
            <w:r>
              <w:rPr>
                <w:color w:val="auto"/>
                <w:highlight w:val="none"/>
              </w:rPr>
              <w:t>；3、信息公开服务、监督热线电话；4、本单位的资料索取点、信息公开栏、信息亭、电子屏幕、电子触摸屏等场所或者设施；5其他便于公众及时、准确获得信息的方式</w:t>
            </w:r>
          </w:p>
        </w:tc>
        <w:tc>
          <w:tcPr>
            <w:tcW w:w="2163" w:type="dxa"/>
            <w:shd w:val="clear" w:color="auto" w:fill="auto"/>
            <w:vAlign w:val="center"/>
          </w:tcPr>
          <w:p>
            <w:pPr>
              <w:rPr>
                <w:color w:val="auto"/>
                <w:highlight w:val="none"/>
              </w:rPr>
            </w:pPr>
            <w:r>
              <w:rPr>
                <w:color w:val="auto"/>
                <w:highlight w:val="none"/>
              </w:rPr>
              <w:t>1、环境保护主管部门发布排污许可证后九十日内开展信息公开；2、环境信息有新生成或者发生变更情形的，重点排污单位应当</w:t>
            </w:r>
            <w:r>
              <w:rPr>
                <w:rFonts w:hint="eastAsia"/>
                <w:color w:val="auto"/>
                <w:highlight w:val="none"/>
                <w:lang w:eastAsia="zh-CN"/>
              </w:rPr>
              <w:t>自然环境</w:t>
            </w:r>
            <w:r>
              <w:rPr>
                <w:color w:val="auto"/>
                <w:highlight w:val="none"/>
              </w:rPr>
              <w:t>信息生成或者变更之日起三十日内公开；3、法律、法规另有规定的，从其规定</w:t>
            </w:r>
          </w:p>
        </w:tc>
        <w:tc>
          <w:tcPr>
            <w:tcW w:w="3194" w:type="dxa"/>
            <w:shd w:val="clear" w:color="auto" w:fill="auto"/>
            <w:vAlign w:val="center"/>
          </w:tcPr>
          <w:p>
            <w:pPr>
              <w:rPr>
                <w:color w:val="auto"/>
                <w:highlight w:val="none"/>
              </w:rPr>
            </w:pPr>
            <w:r>
              <w:rPr>
                <w:color w:val="auto"/>
                <w:highlight w:val="none"/>
              </w:rPr>
              <w:t>1、基础信息，包括单位名称、组织机构代码、法定代表人、生产地址、联系方式，以及生产经营和管理服务的主要内容、产品及规模；2、排污信息，包括主要污染物及特征污染物的名称、排放方式、排放口数量和分布情况、排放浓度和总量、超标情况，以及执行污染物的排放标准、核定的排放总量；3、防治污染设施的建设和运行情况；4、其他应当公开的信息</w:t>
            </w:r>
          </w:p>
        </w:tc>
      </w:tr>
    </w:tbl>
    <w:p>
      <w:pPr>
        <w:keepNext/>
        <w:keepLines/>
        <w:spacing w:line="360" w:lineRule="auto"/>
        <w:outlineLvl w:val="1"/>
        <w:rPr>
          <w:b/>
          <w:color w:val="auto"/>
          <w:sz w:val="28"/>
          <w:szCs w:val="32"/>
          <w:highlight w:val="none"/>
        </w:rPr>
      </w:pPr>
      <w:bookmarkStart w:id="810" w:name="_Toc75908762"/>
      <w:bookmarkStart w:id="811" w:name="_Toc30767"/>
      <w:r>
        <w:rPr>
          <w:b/>
          <w:color w:val="auto"/>
          <w:sz w:val="28"/>
          <w:szCs w:val="32"/>
          <w:highlight w:val="none"/>
        </w:rPr>
        <w:t>10.3 环境管理要求</w:t>
      </w:r>
      <w:bookmarkEnd w:id="810"/>
      <w:bookmarkEnd w:id="811"/>
    </w:p>
    <w:p>
      <w:pPr>
        <w:keepNext/>
        <w:keepLines/>
        <w:spacing w:line="360" w:lineRule="auto"/>
        <w:outlineLvl w:val="2"/>
        <w:rPr>
          <w:b/>
          <w:bCs/>
          <w:color w:val="auto"/>
          <w:sz w:val="24"/>
          <w:highlight w:val="none"/>
        </w:rPr>
      </w:pPr>
      <w:bookmarkStart w:id="812" w:name="_Toc367282280"/>
      <w:bookmarkStart w:id="813" w:name="_Toc275730698"/>
      <w:bookmarkStart w:id="814" w:name="_Toc367281697"/>
      <w:bookmarkStart w:id="815" w:name="_Toc341369716"/>
      <w:bookmarkStart w:id="816" w:name="_Toc275002337"/>
      <w:bookmarkStart w:id="817" w:name="_Toc272301758"/>
      <w:bookmarkStart w:id="818" w:name="_Toc75908763"/>
      <w:bookmarkStart w:id="819" w:name="_Toc15903"/>
      <w:r>
        <w:rPr>
          <w:b/>
          <w:bCs/>
          <w:color w:val="auto"/>
          <w:sz w:val="24"/>
          <w:highlight w:val="none"/>
        </w:rPr>
        <w:t>10.3.1 环境管理组织机构</w:t>
      </w:r>
      <w:bookmarkEnd w:id="812"/>
      <w:bookmarkEnd w:id="813"/>
      <w:bookmarkEnd w:id="814"/>
      <w:bookmarkEnd w:id="815"/>
      <w:bookmarkEnd w:id="816"/>
      <w:bookmarkEnd w:id="817"/>
      <w:r>
        <w:rPr>
          <w:b/>
          <w:bCs/>
          <w:color w:val="auto"/>
          <w:sz w:val="24"/>
          <w:highlight w:val="none"/>
        </w:rPr>
        <w:t>设置</w:t>
      </w:r>
      <w:bookmarkEnd w:id="818"/>
      <w:bookmarkEnd w:id="819"/>
    </w:p>
    <w:p>
      <w:pPr>
        <w:spacing w:line="360" w:lineRule="auto"/>
        <w:ind w:firstLine="480" w:firstLineChars="200"/>
        <w:rPr>
          <w:color w:val="auto"/>
          <w:sz w:val="24"/>
          <w:szCs w:val="20"/>
          <w:highlight w:val="none"/>
        </w:rPr>
      </w:pPr>
      <w:r>
        <w:rPr>
          <w:color w:val="auto"/>
          <w:sz w:val="24"/>
          <w:szCs w:val="20"/>
          <w:highlight w:val="none"/>
        </w:rPr>
        <w:t>项目应设专职的环境管理人员，负责全公司环保设施的运行管理，</w:t>
      </w:r>
      <w:r>
        <w:rPr>
          <w:rFonts w:hint="eastAsia"/>
          <w:color w:val="auto"/>
          <w:sz w:val="24"/>
          <w:szCs w:val="20"/>
          <w:highlight w:val="none"/>
          <w:lang w:eastAsia="zh-CN"/>
        </w:rPr>
        <w:t>制定</w:t>
      </w:r>
      <w:r>
        <w:rPr>
          <w:color w:val="auto"/>
          <w:sz w:val="24"/>
          <w:szCs w:val="20"/>
          <w:highlight w:val="none"/>
        </w:rPr>
        <w:t>管理制度，并委托监测部门对污染物排放量进行定期监测，设置管理台账，定期公开信息，以及与当地环保部门联系工作。</w:t>
      </w:r>
    </w:p>
    <w:p>
      <w:pPr>
        <w:keepNext/>
        <w:keepLines/>
        <w:spacing w:line="360" w:lineRule="auto"/>
        <w:outlineLvl w:val="2"/>
        <w:rPr>
          <w:b/>
          <w:bCs/>
          <w:color w:val="auto"/>
          <w:sz w:val="24"/>
          <w:highlight w:val="none"/>
        </w:rPr>
      </w:pPr>
      <w:bookmarkStart w:id="820" w:name="_Toc25639"/>
      <w:bookmarkStart w:id="821" w:name="_Toc75908764"/>
      <w:r>
        <w:rPr>
          <w:b/>
          <w:bCs/>
          <w:color w:val="auto"/>
          <w:sz w:val="24"/>
          <w:highlight w:val="none"/>
        </w:rPr>
        <w:t>10.3.2 管理职责</w:t>
      </w:r>
      <w:bookmarkEnd w:id="820"/>
      <w:bookmarkEnd w:id="821"/>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环保管理人员管理职责如下：</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①贯彻执行环保法规和标准；</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②组织制定和修改本单位的环境保护管理规章制度并监督执行；</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③制定并组织实施环境保护规划和计划；</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④领导和委托本单位的环境监测；</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⑤检查本单位环境保护设施的运行情况；</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⑥推广应用环境保护先进技术和经验；</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⑦组织开展本单位的环境保护专业技术培训，提高工人素质。</w:t>
      </w:r>
    </w:p>
    <w:p>
      <w:pPr>
        <w:keepNext/>
        <w:keepLines/>
        <w:spacing w:line="360" w:lineRule="auto"/>
        <w:outlineLvl w:val="2"/>
        <w:rPr>
          <w:b/>
          <w:bCs/>
          <w:color w:val="auto"/>
          <w:sz w:val="24"/>
          <w:highlight w:val="none"/>
        </w:rPr>
      </w:pPr>
      <w:bookmarkStart w:id="822" w:name="_Toc75908765"/>
      <w:bookmarkStart w:id="823" w:name="_Toc9909"/>
      <w:r>
        <w:rPr>
          <w:b/>
          <w:bCs/>
          <w:color w:val="auto"/>
          <w:sz w:val="24"/>
          <w:highlight w:val="none"/>
        </w:rPr>
        <w:t>10.3.3 环境管理台账</w:t>
      </w:r>
      <w:bookmarkEnd w:id="822"/>
      <w:bookmarkEnd w:id="823"/>
    </w:p>
    <w:p>
      <w:pPr>
        <w:spacing w:line="360" w:lineRule="auto"/>
        <w:ind w:firstLine="482"/>
        <w:rPr>
          <w:color w:val="auto"/>
          <w:sz w:val="24"/>
          <w:szCs w:val="20"/>
          <w:highlight w:val="none"/>
        </w:rPr>
      </w:pPr>
      <w:r>
        <w:rPr>
          <w:color w:val="auto"/>
          <w:sz w:val="24"/>
          <w:szCs w:val="20"/>
          <w:highlight w:val="none"/>
        </w:rPr>
        <w:t>（1）建立环境管理台账，并接受当地环境保护局检查。台账内容包括：A、污染物排放情况；B、污染物治理设施（废气收集系统、VOCs处理设施）的运行、操作和管理情况；C、各污染物的监测分析方法和监测记录；D、事故情况及有关记录；E、其他与污染防治有关的情况和资料等。台账保存时间不少于3年。</w:t>
      </w:r>
    </w:p>
    <w:p>
      <w:pPr>
        <w:spacing w:line="360" w:lineRule="auto"/>
        <w:ind w:firstLine="482"/>
        <w:rPr>
          <w:color w:val="auto"/>
          <w:sz w:val="24"/>
          <w:szCs w:val="20"/>
          <w:highlight w:val="none"/>
        </w:rPr>
      </w:pPr>
      <w:r>
        <w:rPr>
          <w:color w:val="auto"/>
          <w:sz w:val="24"/>
          <w:szCs w:val="20"/>
          <w:highlight w:val="none"/>
        </w:rPr>
        <w:t>（2）制定各环保设施操作规程，拟定定期维修制度，使各项环保设施在营运过程中处于良好的运行状态。</w:t>
      </w:r>
    </w:p>
    <w:p>
      <w:pPr>
        <w:spacing w:line="360" w:lineRule="auto"/>
        <w:ind w:firstLine="482"/>
        <w:rPr>
          <w:color w:val="auto"/>
          <w:sz w:val="24"/>
          <w:szCs w:val="20"/>
          <w:highlight w:val="none"/>
        </w:rPr>
      </w:pPr>
      <w:r>
        <w:rPr>
          <w:color w:val="auto"/>
          <w:sz w:val="24"/>
          <w:szCs w:val="20"/>
          <w:highlight w:val="none"/>
        </w:rPr>
        <w:t>（3）加强对环保设施的运行管理，如环保设施出现故障，应立即停止排污并进行检修，严禁非正常排放。</w:t>
      </w:r>
    </w:p>
    <w:p>
      <w:pPr>
        <w:spacing w:line="360" w:lineRule="auto"/>
        <w:ind w:firstLine="482"/>
        <w:rPr>
          <w:color w:val="auto"/>
          <w:sz w:val="24"/>
          <w:szCs w:val="20"/>
          <w:highlight w:val="none"/>
        </w:rPr>
      </w:pPr>
      <w:r>
        <w:rPr>
          <w:color w:val="auto"/>
          <w:sz w:val="24"/>
          <w:szCs w:val="20"/>
          <w:highlight w:val="none"/>
        </w:rPr>
        <w:t>（4）进行环境监测工作并注意做好记录，不得弄虚作假。监测中如发现异常情况应及时向有关部门通报，及时采取应急措施，防止事故排放。</w:t>
      </w:r>
    </w:p>
    <w:p>
      <w:pPr>
        <w:spacing w:line="360" w:lineRule="auto"/>
        <w:ind w:firstLine="482"/>
        <w:rPr>
          <w:color w:val="auto"/>
          <w:sz w:val="24"/>
          <w:szCs w:val="20"/>
          <w:highlight w:val="none"/>
        </w:rPr>
      </w:pPr>
      <w:r>
        <w:rPr>
          <w:color w:val="auto"/>
          <w:sz w:val="24"/>
          <w:szCs w:val="20"/>
          <w:highlight w:val="none"/>
        </w:rPr>
        <w:t>（5）建立污染事故报告制度。当污染事故发生时，必须在事故发生后48小时内，向环保部门作出事故发生的时间、地点、类型和排放污染物的数量、经济损失等情况的初步报告；事故查清后，向环保部门书面报告事故发生的原因，采取的措施，处理结果，并附有关证明。建设单位有责任排除危害，并对直接受到损害的单位或个人赔偿损失。</w:t>
      </w:r>
    </w:p>
    <w:p>
      <w:pPr>
        <w:keepNext/>
        <w:keepLines/>
        <w:spacing w:line="360" w:lineRule="auto"/>
        <w:outlineLvl w:val="2"/>
        <w:rPr>
          <w:b/>
          <w:bCs/>
          <w:color w:val="auto"/>
          <w:sz w:val="24"/>
          <w:highlight w:val="none"/>
        </w:rPr>
      </w:pPr>
      <w:bookmarkStart w:id="824" w:name="_Toc75908766"/>
      <w:bookmarkStart w:id="825" w:name="_Toc11406"/>
      <w:r>
        <w:rPr>
          <w:b/>
          <w:bCs/>
          <w:color w:val="auto"/>
          <w:sz w:val="24"/>
          <w:highlight w:val="none"/>
        </w:rPr>
        <w:t>10.3.4 环保</w:t>
      </w:r>
      <w:r>
        <w:rPr>
          <w:rFonts w:hint="eastAsia"/>
          <w:b/>
          <w:bCs/>
          <w:color w:val="auto"/>
          <w:sz w:val="24"/>
          <w:highlight w:val="none"/>
          <w:lang w:eastAsia="zh-CN"/>
        </w:rPr>
        <w:t>设施</w:t>
      </w:r>
      <w:r>
        <w:rPr>
          <w:b/>
          <w:bCs/>
          <w:color w:val="auto"/>
          <w:sz w:val="24"/>
          <w:highlight w:val="none"/>
        </w:rPr>
        <w:t>建设情况及运营维护费用保障计划</w:t>
      </w:r>
      <w:bookmarkEnd w:id="824"/>
      <w:bookmarkEnd w:id="825"/>
    </w:p>
    <w:p>
      <w:pPr>
        <w:spacing w:line="360" w:lineRule="auto"/>
        <w:ind w:firstLine="480"/>
        <w:rPr>
          <w:color w:val="auto"/>
          <w:sz w:val="24"/>
          <w:szCs w:val="20"/>
          <w:highlight w:val="none"/>
        </w:rPr>
      </w:pPr>
      <w:r>
        <w:rPr>
          <w:color w:val="auto"/>
          <w:sz w:val="24"/>
          <w:szCs w:val="20"/>
          <w:highlight w:val="none"/>
        </w:rPr>
        <w:t>项目运营期的环保设施与设备管理规程建议见表10.3-1。</w:t>
      </w:r>
    </w:p>
    <w:p>
      <w:pPr>
        <w:spacing w:line="360" w:lineRule="auto"/>
        <w:jc w:val="center"/>
        <w:rPr>
          <w:b/>
          <w:bCs/>
          <w:color w:val="auto"/>
          <w:sz w:val="24"/>
          <w:highlight w:val="none"/>
        </w:rPr>
      </w:pPr>
      <w:r>
        <w:rPr>
          <w:b/>
          <w:bCs/>
          <w:color w:val="auto"/>
          <w:sz w:val="24"/>
          <w:highlight w:val="none"/>
        </w:rPr>
        <w:t>表10.3-1  环保设施管理规程表</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162"/>
        <w:gridCol w:w="4720"/>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39" w:type="dxa"/>
            <w:vAlign w:val="center"/>
          </w:tcPr>
          <w:p>
            <w:pPr>
              <w:widowControl/>
              <w:jc w:val="center"/>
              <w:rPr>
                <w:b/>
                <w:color w:val="auto"/>
                <w:kern w:val="0"/>
                <w:szCs w:val="21"/>
                <w:highlight w:val="none"/>
              </w:rPr>
            </w:pPr>
            <w:r>
              <w:rPr>
                <w:b/>
                <w:color w:val="auto"/>
                <w:kern w:val="0"/>
                <w:szCs w:val="21"/>
                <w:highlight w:val="none"/>
              </w:rPr>
              <w:t>监管部门</w:t>
            </w:r>
          </w:p>
        </w:tc>
        <w:tc>
          <w:tcPr>
            <w:tcW w:w="6882" w:type="dxa"/>
            <w:gridSpan w:val="2"/>
            <w:vAlign w:val="center"/>
          </w:tcPr>
          <w:p>
            <w:pPr>
              <w:widowControl/>
              <w:jc w:val="center"/>
              <w:rPr>
                <w:b/>
                <w:color w:val="auto"/>
                <w:kern w:val="0"/>
                <w:szCs w:val="21"/>
                <w:highlight w:val="none"/>
              </w:rPr>
            </w:pPr>
            <w:r>
              <w:rPr>
                <w:b/>
                <w:color w:val="auto"/>
                <w:kern w:val="0"/>
                <w:szCs w:val="21"/>
                <w:highlight w:val="none"/>
              </w:rPr>
              <w:t>主要管理内容</w:t>
            </w:r>
          </w:p>
        </w:tc>
        <w:tc>
          <w:tcPr>
            <w:tcW w:w="828" w:type="dxa"/>
            <w:vAlign w:val="center"/>
          </w:tcPr>
          <w:p>
            <w:pPr>
              <w:widowControl/>
              <w:jc w:val="center"/>
              <w:rPr>
                <w:b/>
                <w:color w:val="auto"/>
                <w:kern w:val="0"/>
                <w:szCs w:val="21"/>
                <w:highlight w:val="none"/>
              </w:rPr>
            </w:pPr>
            <w:r>
              <w:rPr>
                <w:b/>
                <w:color w:val="auto"/>
                <w:kern w:val="0"/>
                <w:szCs w:val="21"/>
                <w:highlight w:val="none"/>
              </w:rPr>
              <w:t>实施部门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39" w:type="dxa"/>
            <w:vMerge w:val="restart"/>
            <w:vAlign w:val="center"/>
          </w:tcPr>
          <w:p>
            <w:pPr>
              <w:widowControl/>
              <w:jc w:val="center"/>
              <w:rPr>
                <w:color w:val="auto"/>
                <w:kern w:val="0"/>
                <w:szCs w:val="21"/>
                <w:highlight w:val="none"/>
              </w:rPr>
            </w:pPr>
            <w:r>
              <w:rPr>
                <w:color w:val="auto"/>
                <w:kern w:val="0"/>
                <w:szCs w:val="21"/>
                <w:highlight w:val="none"/>
              </w:rPr>
              <w:t>环保局</w:t>
            </w:r>
          </w:p>
        </w:tc>
        <w:tc>
          <w:tcPr>
            <w:tcW w:w="2162" w:type="dxa"/>
            <w:vAlign w:val="center"/>
          </w:tcPr>
          <w:p>
            <w:pPr>
              <w:widowControl/>
              <w:jc w:val="center"/>
              <w:rPr>
                <w:color w:val="auto"/>
                <w:kern w:val="0"/>
                <w:szCs w:val="21"/>
                <w:highlight w:val="none"/>
              </w:rPr>
            </w:pPr>
            <w:r>
              <w:rPr>
                <w:color w:val="auto"/>
                <w:kern w:val="0"/>
                <w:szCs w:val="21"/>
                <w:highlight w:val="none"/>
              </w:rPr>
              <w:t>生产废水</w:t>
            </w:r>
          </w:p>
        </w:tc>
        <w:tc>
          <w:tcPr>
            <w:tcW w:w="4720" w:type="dxa"/>
            <w:vAlign w:val="center"/>
          </w:tcPr>
          <w:p>
            <w:pPr>
              <w:widowControl/>
              <w:jc w:val="center"/>
              <w:rPr>
                <w:color w:val="auto"/>
                <w:kern w:val="0"/>
                <w:szCs w:val="21"/>
                <w:highlight w:val="none"/>
              </w:rPr>
            </w:pPr>
            <w:r>
              <w:rPr>
                <w:rFonts w:hint="eastAsia"/>
                <w:color w:val="auto"/>
                <w:kern w:val="0"/>
                <w:szCs w:val="21"/>
                <w:highlight w:val="none"/>
                <w:lang w:val="en-US" w:eastAsia="zh-CN"/>
              </w:rPr>
              <w:t>冷却水池</w:t>
            </w:r>
          </w:p>
        </w:tc>
        <w:tc>
          <w:tcPr>
            <w:tcW w:w="828" w:type="dxa"/>
            <w:vMerge w:val="restart"/>
            <w:vAlign w:val="center"/>
          </w:tcPr>
          <w:p>
            <w:pPr>
              <w:widowControl/>
              <w:jc w:val="center"/>
              <w:rPr>
                <w:color w:val="auto"/>
                <w:kern w:val="0"/>
                <w:szCs w:val="21"/>
                <w:highlight w:val="none"/>
              </w:rPr>
            </w:pPr>
            <w:r>
              <w:rPr>
                <w:color w:val="auto"/>
                <w:kern w:val="0"/>
                <w:szCs w:val="21"/>
                <w:highlight w:val="none"/>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9" w:type="dxa"/>
            <w:vMerge w:val="continue"/>
            <w:vAlign w:val="center"/>
          </w:tcPr>
          <w:p>
            <w:pPr>
              <w:widowControl/>
              <w:jc w:val="center"/>
              <w:rPr>
                <w:color w:val="auto"/>
                <w:kern w:val="0"/>
                <w:szCs w:val="21"/>
                <w:highlight w:val="none"/>
              </w:rPr>
            </w:pPr>
          </w:p>
        </w:tc>
        <w:tc>
          <w:tcPr>
            <w:tcW w:w="2162" w:type="dxa"/>
            <w:vAlign w:val="center"/>
          </w:tcPr>
          <w:p>
            <w:pPr>
              <w:widowControl/>
              <w:jc w:val="center"/>
              <w:rPr>
                <w:color w:val="auto"/>
                <w:kern w:val="0"/>
                <w:szCs w:val="21"/>
                <w:highlight w:val="none"/>
              </w:rPr>
            </w:pPr>
            <w:r>
              <w:rPr>
                <w:rFonts w:hint="eastAsia"/>
                <w:color w:val="auto"/>
                <w:kern w:val="0"/>
                <w:szCs w:val="21"/>
                <w:highlight w:val="none"/>
                <w:lang w:val="en-US" w:eastAsia="zh-CN"/>
              </w:rPr>
              <w:t>热熔注塑</w:t>
            </w:r>
            <w:r>
              <w:rPr>
                <w:color w:val="auto"/>
                <w:kern w:val="0"/>
                <w:szCs w:val="21"/>
                <w:highlight w:val="none"/>
              </w:rPr>
              <w:t>废气</w:t>
            </w:r>
          </w:p>
        </w:tc>
        <w:tc>
          <w:tcPr>
            <w:tcW w:w="4720" w:type="dxa"/>
            <w:vAlign w:val="center"/>
          </w:tcPr>
          <w:p>
            <w:pPr>
              <w:widowControl/>
              <w:jc w:val="center"/>
              <w:rPr>
                <w:color w:val="auto"/>
                <w:kern w:val="0"/>
                <w:szCs w:val="21"/>
                <w:highlight w:val="none"/>
              </w:rPr>
            </w:pPr>
            <w:r>
              <w:rPr>
                <w:color w:val="auto"/>
                <w:kern w:val="0"/>
                <w:szCs w:val="21"/>
                <w:highlight w:val="none"/>
              </w:rPr>
              <w:t>集气罩+</w:t>
            </w:r>
            <w:r>
              <w:rPr>
                <w:rFonts w:hint="eastAsia"/>
                <w:color w:val="auto"/>
                <w:kern w:val="0"/>
                <w:szCs w:val="21"/>
                <w:highlight w:val="none"/>
                <w:lang w:val="en-US" w:eastAsia="zh-CN"/>
              </w:rPr>
              <w:t>三级活性炭吸附装置+15m</w:t>
            </w:r>
            <w:r>
              <w:rPr>
                <w:color w:val="auto"/>
                <w:kern w:val="0"/>
                <w:szCs w:val="21"/>
                <w:highlight w:val="none"/>
              </w:rPr>
              <w:t>高排气筒</w:t>
            </w:r>
          </w:p>
        </w:tc>
        <w:tc>
          <w:tcPr>
            <w:tcW w:w="828" w:type="dxa"/>
            <w:vMerge w:val="continue"/>
            <w:vAlign w:val="center"/>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9" w:type="dxa"/>
            <w:vMerge w:val="continue"/>
            <w:vAlign w:val="center"/>
          </w:tcPr>
          <w:p>
            <w:pPr>
              <w:widowControl/>
              <w:jc w:val="center"/>
              <w:rPr>
                <w:color w:val="auto"/>
                <w:kern w:val="0"/>
                <w:szCs w:val="21"/>
                <w:highlight w:val="none"/>
              </w:rPr>
            </w:pPr>
          </w:p>
        </w:tc>
        <w:tc>
          <w:tcPr>
            <w:tcW w:w="2162" w:type="dxa"/>
            <w:vAlign w:val="center"/>
          </w:tcPr>
          <w:p>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破碎、拌料废气</w:t>
            </w:r>
          </w:p>
        </w:tc>
        <w:tc>
          <w:tcPr>
            <w:tcW w:w="4720" w:type="dxa"/>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封闭装置内进行，规范生产操作</w:t>
            </w:r>
          </w:p>
        </w:tc>
        <w:tc>
          <w:tcPr>
            <w:tcW w:w="828" w:type="dxa"/>
            <w:vMerge w:val="continue"/>
            <w:vAlign w:val="center"/>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9" w:type="dxa"/>
            <w:vMerge w:val="continue"/>
            <w:vAlign w:val="center"/>
          </w:tcPr>
          <w:p>
            <w:pPr>
              <w:widowControl/>
              <w:jc w:val="center"/>
              <w:rPr>
                <w:color w:val="auto"/>
                <w:kern w:val="0"/>
                <w:szCs w:val="21"/>
                <w:highlight w:val="none"/>
              </w:rPr>
            </w:pPr>
          </w:p>
        </w:tc>
        <w:tc>
          <w:tcPr>
            <w:tcW w:w="2162" w:type="dxa"/>
            <w:vAlign w:val="center"/>
          </w:tcPr>
          <w:p>
            <w:pPr>
              <w:widowControl/>
              <w:jc w:val="center"/>
              <w:rPr>
                <w:color w:val="auto"/>
                <w:kern w:val="0"/>
                <w:szCs w:val="21"/>
                <w:highlight w:val="none"/>
              </w:rPr>
            </w:pPr>
            <w:r>
              <w:rPr>
                <w:color w:val="auto"/>
                <w:kern w:val="0"/>
                <w:szCs w:val="21"/>
                <w:highlight w:val="none"/>
              </w:rPr>
              <w:t>噪声</w:t>
            </w:r>
          </w:p>
        </w:tc>
        <w:tc>
          <w:tcPr>
            <w:tcW w:w="4720" w:type="dxa"/>
            <w:vAlign w:val="center"/>
          </w:tcPr>
          <w:p>
            <w:pPr>
              <w:widowControl/>
              <w:jc w:val="center"/>
              <w:rPr>
                <w:color w:val="auto"/>
                <w:kern w:val="0"/>
                <w:szCs w:val="21"/>
                <w:highlight w:val="none"/>
              </w:rPr>
            </w:pPr>
            <w:r>
              <w:rPr>
                <w:color w:val="auto"/>
                <w:kern w:val="0"/>
                <w:szCs w:val="21"/>
                <w:highlight w:val="none"/>
              </w:rPr>
              <w:t>设备减振、隔声、消声、软连接</w:t>
            </w:r>
          </w:p>
        </w:tc>
        <w:tc>
          <w:tcPr>
            <w:tcW w:w="828" w:type="dxa"/>
            <w:vMerge w:val="continue"/>
            <w:vAlign w:val="center"/>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9" w:type="dxa"/>
            <w:vMerge w:val="continue"/>
            <w:vAlign w:val="center"/>
          </w:tcPr>
          <w:p>
            <w:pPr>
              <w:widowControl/>
              <w:jc w:val="center"/>
              <w:rPr>
                <w:color w:val="auto"/>
                <w:kern w:val="0"/>
                <w:szCs w:val="21"/>
                <w:highlight w:val="none"/>
              </w:rPr>
            </w:pPr>
          </w:p>
        </w:tc>
        <w:tc>
          <w:tcPr>
            <w:tcW w:w="2162" w:type="dxa"/>
            <w:vAlign w:val="center"/>
          </w:tcPr>
          <w:p>
            <w:pPr>
              <w:widowControl/>
              <w:jc w:val="center"/>
              <w:rPr>
                <w:color w:val="auto"/>
                <w:kern w:val="0"/>
                <w:szCs w:val="21"/>
                <w:highlight w:val="none"/>
              </w:rPr>
            </w:pPr>
            <w:r>
              <w:rPr>
                <w:color w:val="auto"/>
                <w:kern w:val="0"/>
                <w:szCs w:val="21"/>
                <w:highlight w:val="none"/>
              </w:rPr>
              <w:t>一般固废</w:t>
            </w:r>
          </w:p>
        </w:tc>
        <w:tc>
          <w:tcPr>
            <w:tcW w:w="4720" w:type="dxa"/>
            <w:vAlign w:val="center"/>
          </w:tcPr>
          <w:p>
            <w:pPr>
              <w:widowControl/>
              <w:jc w:val="center"/>
              <w:rPr>
                <w:color w:val="auto"/>
                <w:kern w:val="0"/>
                <w:szCs w:val="21"/>
                <w:highlight w:val="none"/>
              </w:rPr>
            </w:pPr>
            <w:r>
              <w:rPr>
                <w:rFonts w:hint="eastAsia"/>
                <w:color w:val="auto"/>
                <w:kern w:val="0"/>
                <w:szCs w:val="21"/>
                <w:highlight w:val="none"/>
              </w:rPr>
              <w:t>一般</w:t>
            </w:r>
            <w:r>
              <w:rPr>
                <w:color w:val="auto"/>
                <w:kern w:val="0"/>
                <w:szCs w:val="21"/>
                <w:highlight w:val="none"/>
              </w:rPr>
              <w:t>固废暂存间、收集装置</w:t>
            </w:r>
          </w:p>
        </w:tc>
        <w:tc>
          <w:tcPr>
            <w:tcW w:w="828" w:type="dxa"/>
            <w:vMerge w:val="continue"/>
            <w:vAlign w:val="center"/>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9" w:type="dxa"/>
            <w:vMerge w:val="continue"/>
            <w:vAlign w:val="center"/>
          </w:tcPr>
          <w:p>
            <w:pPr>
              <w:widowControl/>
              <w:jc w:val="center"/>
              <w:rPr>
                <w:color w:val="auto"/>
                <w:kern w:val="0"/>
                <w:szCs w:val="21"/>
                <w:highlight w:val="none"/>
              </w:rPr>
            </w:pPr>
          </w:p>
        </w:tc>
        <w:tc>
          <w:tcPr>
            <w:tcW w:w="2162" w:type="dxa"/>
            <w:vAlign w:val="center"/>
          </w:tcPr>
          <w:p>
            <w:pPr>
              <w:widowControl/>
              <w:jc w:val="center"/>
              <w:rPr>
                <w:color w:val="auto"/>
                <w:kern w:val="0"/>
                <w:szCs w:val="21"/>
                <w:highlight w:val="none"/>
              </w:rPr>
            </w:pPr>
            <w:r>
              <w:rPr>
                <w:color w:val="auto"/>
                <w:kern w:val="0"/>
                <w:szCs w:val="21"/>
                <w:highlight w:val="none"/>
              </w:rPr>
              <w:t>危险废物</w:t>
            </w:r>
          </w:p>
        </w:tc>
        <w:tc>
          <w:tcPr>
            <w:tcW w:w="4720" w:type="dxa"/>
            <w:vAlign w:val="center"/>
          </w:tcPr>
          <w:p>
            <w:pPr>
              <w:widowControl/>
              <w:jc w:val="center"/>
              <w:rPr>
                <w:color w:val="auto"/>
                <w:kern w:val="0"/>
                <w:szCs w:val="21"/>
                <w:highlight w:val="none"/>
              </w:rPr>
            </w:pPr>
            <w:r>
              <w:rPr>
                <w:color w:val="auto"/>
                <w:kern w:val="0"/>
                <w:szCs w:val="21"/>
                <w:highlight w:val="none"/>
              </w:rPr>
              <w:t>危废暂存间、收集装置</w:t>
            </w:r>
          </w:p>
        </w:tc>
        <w:tc>
          <w:tcPr>
            <w:tcW w:w="828" w:type="dxa"/>
            <w:vMerge w:val="continue"/>
            <w:vAlign w:val="center"/>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9" w:type="dxa"/>
            <w:vMerge w:val="continue"/>
            <w:vAlign w:val="center"/>
          </w:tcPr>
          <w:p>
            <w:pPr>
              <w:widowControl/>
              <w:jc w:val="center"/>
              <w:rPr>
                <w:color w:val="auto"/>
                <w:kern w:val="0"/>
                <w:szCs w:val="21"/>
                <w:highlight w:val="none"/>
              </w:rPr>
            </w:pPr>
          </w:p>
        </w:tc>
        <w:tc>
          <w:tcPr>
            <w:tcW w:w="2162" w:type="dxa"/>
            <w:vAlign w:val="center"/>
          </w:tcPr>
          <w:p>
            <w:pPr>
              <w:widowControl/>
              <w:jc w:val="center"/>
              <w:rPr>
                <w:color w:val="auto"/>
                <w:kern w:val="0"/>
                <w:szCs w:val="21"/>
                <w:highlight w:val="none"/>
              </w:rPr>
            </w:pPr>
            <w:r>
              <w:rPr>
                <w:color w:val="auto"/>
                <w:kern w:val="0"/>
                <w:szCs w:val="21"/>
                <w:highlight w:val="none"/>
              </w:rPr>
              <w:t>生活垃圾</w:t>
            </w:r>
          </w:p>
        </w:tc>
        <w:tc>
          <w:tcPr>
            <w:tcW w:w="4720" w:type="dxa"/>
            <w:vAlign w:val="center"/>
          </w:tcPr>
          <w:p>
            <w:pPr>
              <w:widowControl/>
              <w:jc w:val="center"/>
              <w:rPr>
                <w:color w:val="auto"/>
                <w:kern w:val="0"/>
                <w:szCs w:val="21"/>
                <w:highlight w:val="none"/>
              </w:rPr>
            </w:pPr>
            <w:r>
              <w:rPr>
                <w:color w:val="auto"/>
                <w:kern w:val="0"/>
                <w:szCs w:val="21"/>
                <w:highlight w:val="none"/>
              </w:rPr>
              <w:t>垃圾桶</w:t>
            </w:r>
          </w:p>
        </w:tc>
        <w:tc>
          <w:tcPr>
            <w:tcW w:w="828" w:type="dxa"/>
            <w:vMerge w:val="continue"/>
            <w:vAlign w:val="center"/>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9" w:type="dxa"/>
            <w:vMerge w:val="continue"/>
            <w:vAlign w:val="center"/>
          </w:tcPr>
          <w:p>
            <w:pPr>
              <w:widowControl/>
              <w:jc w:val="center"/>
              <w:rPr>
                <w:color w:val="auto"/>
                <w:kern w:val="0"/>
                <w:szCs w:val="21"/>
                <w:highlight w:val="none"/>
              </w:rPr>
            </w:pPr>
          </w:p>
        </w:tc>
        <w:tc>
          <w:tcPr>
            <w:tcW w:w="2162" w:type="dxa"/>
            <w:vAlign w:val="center"/>
          </w:tcPr>
          <w:p>
            <w:pPr>
              <w:widowControl/>
              <w:jc w:val="center"/>
              <w:rPr>
                <w:color w:val="auto"/>
                <w:kern w:val="0"/>
                <w:szCs w:val="21"/>
                <w:highlight w:val="none"/>
              </w:rPr>
            </w:pPr>
            <w:r>
              <w:rPr>
                <w:color w:val="auto"/>
                <w:kern w:val="0"/>
                <w:szCs w:val="21"/>
                <w:highlight w:val="none"/>
              </w:rPr>
              <w:t>危废暂存间</w:t>
            </w:r>
          </w:p>
        </w:tc>
        <w:tc>
          <w:tcPr>
            <w:tcW w:w="4720" w:type="dxa"/>
            <w:vAlign w:val="center"/>
          </w:tcPr>
          <w:p>
            <w:pPr>
              <w:widowControl/>
              <w:jc w:val="center"/>
              <w:rPr>
                <w:color w:val="auto"/>
                <w:kern w:val="0"/>
                <w:szCs w:val="21"/>
                <w:highlight w:val="none"/>
              </w:rPr>
            </w:pPr>
            <w:r>
              <w:rPr>
                <w:color w:val="auto"/>
                <w:kern w:val="0"/>
                <w:szCs w:val="21"/>
                <w:highlight w:val="none"/>
              </w:rPr>
              <w:t>按照《危险废物贮存污染控制标准》（GB18597-20</w:t>
            </w:r>
            <w:r>
              <w:rPr>
                <w:rFonts w:hint="eastAsia"/>
                <w:color w:val="auto"/>
                <w:kern w:val="0"/>
                <w:szCs w:val="21"/>
                <w:highlight w:val="none"/>
                <w:lang w:val="en-US" w:eastAsia="zh-CN"/>
              </w:rPr>
              <w:t>23</w:t>
            </w:r>
            <w:r>
              <w:rPr>
                <w:color w:val="auto"/>
                <w:kern w:val="0"/>
                <w:szCs w:val="21"/>
                <w:highlight w:val="none"/>
              </w:rPr>
              <w:t>）要求防渗，防渗系数</w:t>
            </w:r>
            <w:r>
              <w:rPr>
                <w:i/>
                <w:iCs/>
                <w:color w:val="auto"/>
                <w:kern w:val="0"/>
                <w:szCs w:val="21"/>
                <w:highlight w:val="none"/>
              </w:rPr>
              <w:t>K</w:t>
            </w:r>
            <w:r>
              <w:rPr>
                <w:color w:val="auto"/>
                <w:kern w:val="0"/>
                <w:szCs w:val="21"/>
                <w:highlight w:val="none"/>
              </w:rPr>
              <w:t>≤1.0×10</w:t>
            </w:r>
            <w:r>
              <w:rPr>
                <w:color w:val="auto"/>
                <w:kern w:val="0"/>
                <w:szCs w:val="21"/>
                <w:highlight w:val="none"/>
                <w:vertAlign w:val="superscript"/>
              </w:rPr>
              <w:t>-10</w:t>
            </w:r>
            <w:r>
              <w:rPr>
                <w:color w:val="auto"/>
                <w:kern w:val="0"/>
                <w:szCs w:val="21"/>
                <w:highlight w:val="none"/>
              </w:rPr>
              <w:t>cm/s；</w:t>
            </w:r>
          </w:p>
        </w:tc>
        <w:tc>
          <w:tcPr>
            <w:tcW w:w="828" w:type="dxa"/>
            <w:vMerge w:val="continue"/>
            <w:vAlign w:val="center"/>
          </w:tcPr>
          <w:p>
            <w:pPr>
              <w:widowControl/>
              <w:jc w:val="center"/>
              <w:rPr>
                <w:color w:val="auto"/>
                <w:kern w:val="0"/>
                <w:szCs w:val="21"/>
                <w:highlight w:val="none"/>
              </w:rPr>
            </w:pPr>
          </w:p>
        </w:tc>
      </w:tr>
    </w:tbl>
    <w:p>
      <w:pPr>
        <w:keepNext/>
        <w:keepLines/>
        <w:spacing w:line="360" w:lineRule="auto"/>
        <w:outlineLvl w:val="1"/>
        <w:rPr>
          <w:b/>
          <w:color w:val="auto"/>
          <w:sz w:val="28"/>
          <w:szCs w:val="32"/>
          <w:highlight w:val="none"/>
        </w:rPr>
      </w:pPr>
      <w:bookmarkStart w:id="826" w:name="_Toc75908767"/>
      <w:bookmarkStart w:id="827" w:name="_Toc12329"/>
      <w:r>
        <w:rPr>
          <w:b/>
          <w:color w:val="auto"/>
          <w:sz w:val="28"/>
          <w:szCs w:val="32"/>
          <w:highlight w:val="none"/>
        </w:rPr>
        <w:t>10.4 环境监测</w:t>
      </w:r>
      <w:bookmarkEnd w:id="826"/>
      <w:bookmarkEnd w:id="827"/>
    </w:p>
    <w:p>
      <w:pPr>
        <w:keepNext/>
        <w:keepLines/>
        <w:spacing w:line="360" w:lineRule="auto"/>
        <w:outlineLvl w:val="2"/>
        <w:rPr>
          <w:b/>
          <w:bCs/>
          <w:color w:val="auto"/>
          <w:sz w:val="24"/>
          <w:highlight w:val="none"/>
        </w:rPr>
      </w:pPr>
      <w:bookmarkStart w:id="828" w:name="_Toc75908768"/>
      <w:bookmarkStart w:id="829" w:name="_Toc11481"/>
      <w:r>
        <w:rPr>
          <w:b/>
          <w:bCs/>
          <w:color w:val="auto"/>
          <w:sz w:val="24"/>
          <w:highlight w:val="none"/>
        </w:rPr>
        <w:t>10.4.1 环境监测计划</w:t>
      </w:r>
      <w:bookmarkEnd w:id="828"/>
      <w:bookmarkEnd w:id="829"/>
    </w:p>
    <w:p>
      <w:pPr>
        <w:spacing w:line="360" w:lineRule="auto"/>
        <w:ind w:firstLine="480" w:firstLineChars="200"/>
        <w:rPr>
          <w:color w:val="auto"/>
          <w:sz w:val="24"/>
          <w:highlight w:val="none"/>
        </w:rPr>
      </w:pPr>
      <w:r>
        <w:rPr>
          <w:rFonts w:hint="eastAsia"/>
          <w:color w:val="auto"/>
          <w:sz w:val="24"/>
          <w:highlight w:val="none"/>
        </w:rPr>
        <w:t xml:space="preserve">项目营运期间，须定期监测各类污染物排放情况，以确保各类污染物达标，并掌握厂区周围环境质量水平和污染变化趋势。应根据技术的发展和国家有关要求，在公司环保部门下设环保专职或兼职人员。建设单位应该按照《排污单位自行监测技术指南-总纲》(HJ819-2017) 、《排污许可证申请 与核发技术规范总则》(HJ942-2018) 、《排污许可证申请与核发技术规范 </w:t>
      </w:r>
      <w:r>
        <w:rPr>
          <w:rFonts w:hint="eastAsia"/>
          <w:color w:val="auto"/>
          <w:sz w:val="24"/>
          <w:highlight w:val="none"/>
          <w:lang w:val="en-US" w:eastAsia="zh-CN"/>
        </w:rPr>
        <w:t>橡胶和塑料制品工业</w:t>
      </w:r>
      <w:r>
        <w:rPr>
          <w:rFonts w:hint="eastAsia"/>
          <w:color w:val="auto"/>
          <w:sz w:val="24"/>
          <w:highlight w:val="none"/>
        </w:rPr>
        <w:t>》(HJ</w:t>
      </w:r>
      <w:r>
        <w:rPr>
          <w:rFonts w:hint="eastAsia"/>
          <w:color w:val="auto"/>
          <w:sz w:val="24"/>
          <w:highlight w:val="none"/>
          <w:lang w:val="en-US" w:eastAsia="zh-CN"/>
        </w:rPr>
        <w:t>1122-2020</w:t>
      </w:r>
      <w:r>
        <w:rPr>
          <w:rFonts w:hint="eastAsia"/>
          <w:color w:val="auto"/>
          <w:sz w:val="24"/>
          <w:highlight w:val="none"/>
        </w:rPr>
        <w:t>) 的要求，在项目建成前完成自行监测方案的编制及相关准备工作。</w:t>
      </w:r>
    </w:p>
    <w:p>
      <w:pPr>
        <w:spacing w:line="360" w:lineRule="auto"/>
        <w:ind w:firstLine="480" w:firstLineChars="200"/>
        <w:rPr>
          <w:color w:val="auto"/>
          <w:sz w:val="24"/>
          <w:highlight w:val="none"/>
        </w:rPr>
      </w:pPr>
      <w:r>
        <w:rPr>
          <w:rFonts w:hint="eastAsia"/>
          <w:color w:val="auto"/>
          <w:sz w:val="24"/>
          <w:highlight w:val="none"/>
        </w:rPr>
        <w:t>本工程环境监测主要是对污染源进行定期监测，并对监测数据进行统计、分析，以便环境管理部门及时、准确地掌握本工程的污染动态和区域环境质量变化情况。本工程污染源和环境质量监测计划建议按表10.4-1执行。</w:t>
      </w:r>
    </w:p>
    <w:p>
      <w:pPr>
        <w:spacing w:line="360" w:lineRule="auto"/>
        <w:ind w:firstLine="480" w:firstLineChars="200"/>
        <w:rPr>
          <w:color w:val="auto"/>
          <w:sz w:val="24"/>
          <w:highlight w:val="none"/>
        </w:rPr>
      </w:pPr>
      <w:r>
        <w:rPr>
          <w:rFonts w:hint="eastAsia"/>
          <w:color w:val="auto"/>
          <w:sz w:val="24"/>
          <w:highlight w:val="none"/>
        </w:rPr>
        <w:t>环境监测分析方法按国家颁布的有关环境监测分析方法标准的规定执行，污染源监测按国家规定的污染源采样与监测分析方法执行。</w:t>
      </w:r>
    </w:p>
    <w:p>
      <w:pPr>
        <w:spacing w:line="360" w:lineRule="auto"/>
        <w:jc w:val="center"/>
        <w:rPr>
          <w:b/>
          <w:bCs/>
          <w:color w:val="auto"/>
          <w:sz w:val="24"/>
          <w:highlight w:val="none"/>
        </w:rPr>
      </w:pPr>
      <w:r>
        <w:rPr>
          <w:b/>
          <w:bCs/>
          <w:color w:val="auto"/>
          <w:sz w:val="24"/>
          <w:highlight w:val="none"/>
        </w:rPr>
        <w:t>表10.4-1  项目运营期污染源监测计划表</w:t>
      </w:r>
    </w:p>
    <w:tbl>
      <w:tblPr>
        <w:tblStyle w:val="56"/>
        <w:tblW w:w="8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815"/>
        <w:gridCol w:w="1783"/>
        <w:gridCol w:w="1080"/>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tcPr>
          <w:p>
            <w:pPr>
              <w:bidi w:val="0"/>
              <w:spacing w:line="240" w:lineRule="auto"/>
              <w:rPr>
                <w:b/>
                <w:bCs/>
                <w:color w:val="auto"/>
                <w:highlight w:val="none"/>
              </w:rPr>
            </w:pPr>
            <w:bookmarkStart w:id="830" w:name="_Toc123379146"/>
            <w:bookmarkStart w:id="831" w:name="_Toc175718847"/>
            <w:bookmarkStart w:id="832" w:name="_Toc208432962"/>
            <w:bookmarkStart w:id="833" w:name="_Toc477418958"/>
            <w:bookmarkStart w:id="834" w:name="_Toc497845707"/>
            <w:bookmarkStart w:id="835" w:name="_Toc463876695"/>
            <w:bookmarkStart w:id="836" w:name="_Toc153615578"/>
            <w:bookmarkStart w:id="837" w:name="_Toc169062725"/>
            <w:bookmarkStart w:id="838" w:name="_Toc186020018"/>
            <w:bookmarkStart w:id="839" w:name="_Toc124907693"/>
            <w:bookmarkStart w:id="840" w:name="_Toc460569815"/>
            <w:bookmarkStart w:id="841" w:name="_Toc75908769"/>
            <w:bookmarkStart w:id="842" w:name="_Toc467673318"/>
            <w:bookmarkStart w:id="843" w:name="_Toc193252765"/>
            <w:bookmarkStart w:id="844" w:name="_Toc178303152"/>
            <w:r>
              <w:rPr>
                <w:rFonts w:hint="eastAsia"/>
                <w:b/>
                <w:bCs/>
                <w:color w:val="auto"/>
                <w:highlight w:val="none"/>
              </w:rPr>
              <w:t>类别</w:t>
            </w:r>
          </w:p>
        </w:tc>
        <w:tc>
          <w:tcPr>
            <w:tcW w:w="1815" w:type="dxa"/>
          </w:tcPr>
          <w:p>
            <w:pPr>
              <w:bidi w:val="0"/>
              <w:spacing w:line="240" w:lineRule="auto"/>
              <w:rPr>
                <w:b/>
                <w:bCs/>
                <w:color w:val="auto"/>
                <w:highlight w:val="none"/>
              </w:rPr>
            </w:pPr>
            <w:r>
              <w:rPr>
                <w:rFonts w:hint="eastAsia"/>
                <w:b/>
                <w:bCs/>
                <w:color w:val="auto"/>
                <w:highlight w:val="none"/>
              </w:rPr>
              <w:t>监测点</w:t>
            </w:r>
          </w:p>
        </w:tc>
        <w:tc>
          <w:tcPr>
            <w:tcW w:w="1783" w:type="dxa"/>
          </w:tcPr>
          <w:p>
            <w:pPr>
              <w:bidi w:val="0"/>
              <w:spacing w:line="240" w:lineRule="auto"/>
              <w:rPr>
                <w:b/>
                <w:bCs/>
                <w:color w:val="auto"/>
                <w:highlight w:val="none"/>
              </w:rPr>
            </w:pPr>
            <w:r>
              <w:rPr>
                <w:rFonts w:hint="eastAsia"/>
                <w:b/>
                <w:bCs/>
                <w:color w:val="auto"/>
                <w:highlight w:val="none"/>
              </w:rPr>
              <w:t>监测指标</w:t>
            </w:r>
          </w:p>
        </w:tc>
        <w:tc>
          <w:tcPr>
            <w:tcW w:w="1080" w:type="dxa"/>
          </w:tcPr>
          <w:p>
            <w:pPr>
              <w:bidi w:val="0"/>
              <w:spacing w:line="240" w:lineRule="auto"/>
              <w:rPr>
                <w:b/>
                <w:bCs/>
                <w:color w:val="auto"/>
                <w:highlight w:val="none"/>
              </w:rPr>
            </w:pPr>
            <w:r>
              <w:rPr>
                <w:rFonts w:hint="eastAsia"/>
                <w:b/>
                <w:bCs/>
                <w:color w:val="auto"/>
                <w:highlight w:val="none"/>
              </w:rPr>
              <w:t>监测频次</w:t>
            </w:r>
          </w:p>
        </w:tc>
        <w:tc>
          <w:tcPr>
            <w:tcW w:w="3002" w:type="dxa"/>
          </w:tcPr>
          <w:p>
            <w:pPr>
              <w:bidi w:val="0"/>
              <w:spacing w:line="240" w:lineRule="auto"/>
              <w:rPr>
                <w:b/>
                <w:bCs/>
                <w:color w:val="auto"/>
                <w:highlight w:val="none"/>
              </w:rPr>
            </w:pPr>
            <w:r>
              <w:rPr>
                <w:rFonts w:hint="eastAsia"/>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restart"/>
          </w:tcPr>
          <w:p>
            <w:pPr>
              <w:bidi w:val="0"/>
              <w:spacing w:line="240" w:lineRule="auto"/>
              <w:rPr>
                <w:color w:val="auto"/>
                <w:highlight w:val="none"/>
              </w:rPr>
            </w:pPr>
            <w:r>
              <w:rPr>
                <w:rFonts w:hint="eastAsia"/>
                <w:color w:val="auto"/>
                <w:highlight w:val="none"/>
              </w:rPr>
              <w:t>有组织废气</w:t>
            </w:r>
          </w:p>
        </w:tc>
        <w:tc>
          <w:tcPr>
            <w:tcW w:w="1815" w:type="dxa"/>
            <w:vMerge w:val="restart"/>
          </w:tcPr>
          <w:p>
            <w:pPr>
              <w:bidi w:val="0"/>
              <w:spacing w:line="240" w:lineRule="auto"/>
              <w:rPr>
                <w:color w:val="auto"/>
                <w:highlight w:val="none"/>
              </w:rPr>
            </w:pPr>
            <w:r>
              <w:rPr>
                <w:rFonts w:hint="eastAsia"/>
                <w:color w:val="auto"/>
                <w:highlight w:val="none"/>
              </w:rPr>
              <w:t>DA001排气筒排口</w:t>
            </w:r>
          </w:p>
        </w:tc>
        <w:tc>
          <w:tcPr>
            <w:tcW w:w="1783" w:type="dxa"/>
          </w:tcPr>
          <w:p>
            <w:pPr>
              <w:bidi w:val="0"/>
              <w:spacing w:line="240" w:lineRule="auto"/>
              <w:rPr>
                <w:color w:val="auto"/>
                <w:highlight w:val="none"/>
              </w:rPr>
            </w:pPr>
            <w:r>
              <w:rPr>
                <w:rFonts w:hint="eastAsia"/>
                <w:color w:val="auto"/>
                <w:highlight w:val="none"/>
              </w:rPr>
              <w:t>非甲烷</w:t>
            </w:r>
            <w:r>
              <w:rPr>
                <w:rFonts w:hint="eastAsia"/>
                <w:color w:val="auto"/>
                <w:highlight w:val="none"/>
                <w:lang w:val="en-US" w:eastAsia="zh-CN"/>
              </w:rPr>
              <w:t>总烃</w:t>
            </w:r>
          </w:p>
        </w:tc>
        <w:tc>
          <w:tcPr>
            <w:tcW w:w="1080" w:type="dxa"/>
          </w:tcPr>
          <w:p>
            <w:pPr>
              <w:bidi w:val="0"/>
              <w:spacing w:line="240" w:lineRule="auto"/>
              <w:rPr>
                <w:color w:val="auto"/>
                <w:highlight w:val="none"/>
              </w:rPr>
            </w:pPr>
            <w:r>
              <w:rPr>
                <w:rFonts w:hint="eastAsia"/>
                <w:color w:val="auto"/>
                <w:highlight w:val="none"/>
              </w:rPr>
              <w:t>1次/年</w:t>
            </w:r>
          </w:p>
        </w:tc>
        <w:tc>
          <w:tcPr>
            <w:tcW w:w="3002" w:type="dxa"/>
            <w:vMerge w:val="restart"/>
          </w:tcPr>
          <w:p>
            <w:pPr>
              <w:bidi w:val="0"/>
              <w:spacing w:line="240" w:lineRule="auto"/>
              <w:rPr>
                <w:color w:val="auto"/>
                <w:highlight w:val="none"/>
              </w:rPr>
            </w:pPr>
            <w:r>
              <w:rPr>
                <w:rFonts w:hint="eastAsia"/>
                <w:color w:val="auto"/>
                <w:highlight w:val="none"/>
              </w:rPr>
              <w:t>颗粒物、非甲烷总烃执行《合成树脂工业污染物排放标准》（GB31572-2015）</w:t>
            </w:r>
          </w:p>
          <w:p>
            <w:pPr>
              <w:bidi w:val="0"/>
              <w:spacing w:line="240" w:lineRule="auto"/>
              <w:rPr>
                <w:color w:val="auto"/>
                <w:highlight w:val="none"/>
              </w:rPr>
            </w:pPr>
            <w:r>
              <w:rPr>
                <w:rFonts w:hint="eastAsia"/>
                <w:color w:val="auto"/>
                <w:highlight w:val="none"/>
              </w:rPr>
              <w:t>臭气执行《恶臭污染物排放标准》（GB14554-93）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Pr>
          <w:p>
            <w:pPr>
              <w:bidi w:val="0"/>
              <w:spacing w:line="240" w:lineRule="auto"/>
              <w:rPr>
                <w:color w:val="auto"/>
                <w:highlight w:val="none"/>
              </w:rPr>
            </w:pPr>
          </w:p>
        </w:tc>
        <w:tc>
          <w:tcPr>
            <w:tcW w:w="1815" w:type="dxa"/>
            <w:vMerge w:val="continue"/>
          </w:tcPr>
          <w:p>
            <w:pPr>
              <w:bidi w:val="0"/>
              <w:spacing w:line="240" w:lineRule="auto"/>
              <w:rPr>
                <w:color w:val="auto"/>
                <w:highlight w:val="none"/>
              </w:rPr>
            </w:pPr>
          </w:p>
        </w:tc>
        <w:tc>
          <w:tcPr>
            <w:tcW w:w="1783" w:type="dxa"/>
          </w:tcPr>
          <w:p>
            <w:pPr>
              <w:bidi w:val="0"/>
              <w:spacing w:line="240" w:lineRule="auto"/>
              <w:rPr>
                <w:color w:val="auto"/>
                <w:highlight w:val="none"/>
              </w:rPr>
            </w:pPr>
            <w:r>
              <w:rPr>
                <w:rFonts w:hint="eastAsia"/>
                <w:color w:val="auto"/>
                <w:highlight w:val="none"/>
              </w:rPr>
              <w:t>臭气浓度</w:t>
            </w:r>
          </w:p>
        </w:tc>
        <w:tc>
          <w:tcPr>
            <w:tcW w:w="1080" w:type="dxa"/>
          </w:tcPr>
          <w:p>
            <w:pPr>
              <w:bidi w:val="0"/>
              <w:spacing w:line="240" w:lineRule="auto"/>
              <w:rPr>
                <w:color w:val="auto"/>
                <w:highlight w:val="none"/>
              </w:rPr>
            </w:pPr>
            <w:r>
              <w:rPr>
                <w:rFonts w:hint="eastAsia"/>
                <w:color w:val="auto"/>
                <w:highlight w:val="none"/>
              </w:rPr>
              <w:t>1次/年</w:t>
            </w:r>
          </w:p>
        </w:tc>
        <w:tc>
          <w:tcPr>
            <w:tcW w:w="3002" w:type="dxa"/>
            <w:vMerge w:val="continue"/>
          </w:tcPr>
          <w:p>
            <w:pPr>
              <w:bidi w:val="0"/>
              <w:spacing w:line="24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tcPr>
          <w:p>
            <w:pPr>
              <w:bidi w:val="0"/>
              <w:spacing w:line="240" w:lineRule="auto"/>
              <w:rPr>
                <w:color w:val="auto"/>
                <w:highlight w:val="none"/>
              </w:rPr>
            </w:pPr>
            <w:r>
              <w:rPr>
                <w:rFonts w:hint="eastAsia"/>
                <w:color w:val="auto"/>
                <w:highlight w:val="none"/>
              </w:rPr>
              <w:t>无组织废气</w:t>
            </w:r>
          </w:p>
        </w:tc>
        <w:tc>
          <w:tcPr>
            <w:tcW w:w="1815" w:type="dxa"/>
          </w:tcPr>
          <w:p>
            <w:pPr>
              <w:bidi w:val="0"/>
              <w:spacing w:line="240" w:lineRule="auto"/>
              <w:rPr>
                <w:color w:val="auto"/>
                <w:highlight w:val="none"/>
              </w:rPr>
            </w:pPr>
            <w:r>
              <w:rPr>
                <w:rFonts w:hint="eastAsia"/>
                <w:color w:val="auto"/>
                <w:highlight w:val="none"/>
              </w:rPr>
              <w:t>厂界上风向1个参照点，下风向3个控制点</w:t>
            </w:r>
          </w:p>
        </w:tc>
        <w:tc>
          <w:tcPr>
            <w:tcW w:w="1783" w:type="dxa"/>
          </w:tcPr>
          <w:p>
            <w:pPr>
              <w:bidi w:val="0"/>
              <w:spacing w:line="240" w:lineRule="auto"/>
              <w:rPr>
                <w:color w:val="auto"/>
                <w:highlight w:val="none"/>
              </w:rPr>
            </w:pPr>
            <w:r>
              <w:rPr>
                <w:rFonts w:hint="eastAsia"/>
                <w:color w:val="auto"/>
                <w:highlight w:val="none"/>
              </w:rPr>
              <w:t>颗粒物、非甲烷总烃、臭气浓度</w:t>
            </w:r>
          </w:p>
        </w:tc>
        <w:tc>
          <w:tcPr>
            <w:tcW w:w="1080" w:type="dxa"/>
          </w:tcPr>
          <w:p>
            <w:pPr>
              <w:bidi w:val="0"/>
              <w:spacing w:line="240" w:lineRule="auto"/>
              <w:rPr>
                <w:color w:val="auto"/>
                <w:highlight w:val="none"/>
              </w:rPr>
            </w:pPr>
            <w:r>
              <w:rPr>
                <w:rFonts w:hint="eastAsia"/>
                <w:color w:val="auto"/>
                <w:highlight w:val="none"/>
              </w:rPr>
              <w:t>1次/年</w:t>
            </w:r>
          </w:p>
        </w:tc>
        <w:tc>
          <w:tcPr>
            <w:tcW w:w="3002" w:type="dxa"/>
            <w:vMerge w:val="continue"/>
          </w:tcPr>
          <w:p>
            <w:pPr>
              <w:bidi w:val="0"/>
              <w:spacing w:line="24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tcPr>
          <w:p>
            <w:pPr>
              <w:bidi w:val="0"/>
              <w:spacing w:line="240" w:lineRule="auto"/>
              <w:rPr>
                <w:color w:val="auto"/>
                <w:highlight w:val="none"/>
              </w:rPr>
            </w:pPr>
            <w:r>
              <w:rPr>
                <w:rFonts w:hint="eastAsia"/>
                <w:color w:val="auto"/>
                <w:highlight w:val="none"/>
              </w:rPr>
              <w:t>噪声</w:t>
            </w:r>
          </w:p>
        </w:tc>
        <w:tc>
          <w:tcPr>
            <w:tcW w:w="1815" w:type="dxa"/>
          </w:tcPr>
          <w:p>
            <w:pPr>
              <w:bidi w:val="0"/>
              <w:spacing w:line="240" w:lineRule="auto"/>
              <w:rPr>
                <w:color w:val="auto"/>
                <w:highlight w:val="none"/>
              </w:rPr>
            </w:pPr>
            <w:r>
              <w:rPr>
                <w:rFonts w:hint="eastAsia"/>
                <w:color w:val="auto"/>
                <w:highlight w:val="none"/>
              </w:rPr>
              <w:t>厂界东、南、西、北4个噪声监测点</w:t>
            </w:r>
          </w:p>
        </w:tc>
        <w:tc>
          <w:tcPr>
            <w:tcW w:w="1783" w:type="dxa"/>
          </w:tcPr>
          <w:p>
            <w:pPr>
              <w:bidi w:val="0"/>
              <w:spacing w:line="240" w:lineRule="auto"/>
              <w:rPr>
                <w:color w:val="auto"/>
                <w:highlight w:val="none"/>
              </w:rPr>
            </w:pPr>
            <w:r>
              <w:rPr>
                <w:rFonts w:hint="eastAsia"/>
                <w:color w:val="auto"/>
                <w:highlight w:val="none"/>
              </w:rPr>
              <w:t>等效连续A声级</w:t>
            </w:r>
          </w:p>
        </w:tc>
        <w:tc>
          <w:tcPr>
            <w:tcW w:w="1080" w:type="dxa"/>
          </w:tcPr>
          <w:p>
            <w:pPr>
              <w:bidi w:val="0"/>
              <w:spacing w:line="240" w:lineRule="auto"/>
              <w:rPr>
                <w:color w:val="auto"/>
                <w:highlight w:val="none"/>
              </w:rPr>
            </w:pPr>
            <w:r>
              <w:rPr>
                <w:rFonts w:hint="eastAsia"/>
                <w:color w:val="auto"/>
                <w:highlight w:val="none"/>
              </w:rPr>
              <w:t>1次/季度</w:t>
            </w:r>
          </w:p>
        </w:tc>
        <w:tc>
          <w:tcPr>
            <w:tcW w:w="3002" w:type="dxa"/>
          </w:tcPr>
          <w:p>
            <w:pPr>
              <w:bidi w:val="0"/>
              <w:spacing w:line="240" w:lineRule="auto"/>
              <w:rPr>
                <w:rFonts w:hint="default" w:eastAsia="宋体"/>
                <w:color w:val="auto"/>
                <w:highlight w:val="none"/>
                <w:lang w:val="en-US" w:eastAsia="zh-CN"/>
              </w:rPr>
            </w:pPr>
            <w:r>
              <w:rPr>
                <w:rFonts w:hint="eastAsia"/>
                <w:color w:val="auto"/>
                <w:highlight w:val="none"/>
                <w:lang w:val="en-US" w:eastAsia="zh-CN"/>
              </w:rPr>
              <w:t>北侧执行</w:t>
            </w:r>
            <w:r>
              <w:rPr>
                <w:rFonts w:hint="eastAsia"/>
                <w:color w:val="auto"/>
                <w:highlight w:val="none"/>
              </w:rPr>
              <w:t>《声环境质量标准》（GB3096-2008）中的</w:t>
            </w:r>
            <w:r>
              <w:rPr>
                <w:rFonts w:hint="eastAsia"/>
                <w:color w:val="auto"/>
                <w:highlight w:val="none"/>
                <w:lang w:val="en-US" w:eastAsia="zh-CN"/>
              </w:rPr>
              <w:t>4</w:t>
            </w:r>
            <w:r>
              <w:rPr>
                <w:rFonts w:hint="eastAsia"/>
                <w:color w:val="auto"/>
                <w:highlight w:val="none"/>
              </w:rPr>
              <w:t>类标准</w:t>
            </w:r>
            <w:r>
              <w:rPr>
                <w:rFonts w:hint="eastAsia"/>
                <w:color w:val="auto"/>
                <w:highlight w:val="none"/>
                <w:lang w:eastAsia="zh-CN"/>
              </w:rPr>
              <w:t>，</w:t>
            </w:r>
            <w:r>
              <w:rPr>
                <w:rFonts w:hint="eastAsia"/>
                <w:color w:val="auto"/>
                <w:highlight w:val="none"/>
                <w:lang w:val="en-US" w:eastAsia="zh-CN"/>
              </w:rPr>
              <w:t>其他区域执行2类标准</w:t>
            </w:r>
          </w:p>
        </w:tc>
      </w:tr>
    </w:tbl>
    <w:p>
      <w:pPr>
        <w:keepNext/>
        <w:keepLines/>
        <w:spacing w:line="360" w:lineRule="auto"/>
        <w:outlineLvl w:val="2"/>
        <w:rPr>
          <w:b/>
          <w:bCs/>
          <w:color w:val="auto"/>
          <w:sz w:val="24"/>
          <w:highlight w:val="none"/>
        </w:rPr>
      </w:pPr>
      <w:bookmarkStart w:id="845" w:name="_Toc2933"/>
      <w:r>
        <w:rPr>
          <w:b/>
          <w:bCs/>
          <w:color w:val="auto"/>
          <w:sz w:val="24"/>
          <w:highlight w:val="none"/>
        </w:rPr>
        <w:t>10.4.2 项目竣工环保验收管理</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pPr>
        <w:spacing w:line="360" w:lineRule="auto"/>
        <w:ind w:firstLine="480" w:firstLineChars="200"/>
        <w:rPr>
          <w:color w:val="auto"/>
          <w:sz w:val="24"/>
          <w:szCs w:val="32"/>
          <w:highlight w:val="none"/>
        </w:rPr>
      </w:pPr>
      <w:r>
        <w:rPr>
          <w:color w:val="auto"/>
          <w:sz w:val="24"/>
          <w:highlight w:val="none"/>
        </w:rPr>
        <w:t>（1）验收依据</w:t>
      </w:r>
      <w:bookmarkStart w:id="846" w:name="_Toc259104533"/>
      <w:bookmarkStart w:id="847" w:name="_Toc259105213"/>
      <w:bookmarkStart w:id="848" w:name="_Toc259129423"/>
      <w:bookmarkStart w:id="849" w:name="_Toc259130786"/>
      <w:r>
        <w:rPr>
          <w:color w:val="auto"/>
          <w:sz w:val="24"/>
          <w:szCs w:val="32"/>
          <w:highlight w:val="none"/>
        </w:rPr>
        <w:t>和程序</w:t>
      </w:r>
      <w:bookmarkEnd w:id="846"/>
      <w:bookmarkEnd w:id="847"/>
      <w:bookmarkEnd w:id="848"/>
      <w:bookmarkEnd w:id="849"/>
    </w:p>
    <w:p>
      <w:pPr>
        <w:spacing w:line="360" w:lineRule="auto"/>
        <w:ind w:firstLine="480" w:firstLineChars="200"/>
        <w:rPr>
          <w:color w:val="auto"/>
          <w:sz w:val="24"/>
          <w:szCs w:val="32"/>
          <w:highlight w:val="none"/>
        </w:rPr>
      </w:pPr>
      <w:r>
        <w:rPr>
          <w:color w:val="auto"/>
          <w:sz w:val="24"/>
          <w:szCs w:val="32"/>
          <w:highlight w:val="none"/>
        </w:rPr>
        <w:t>按照《建设项目竣工环境保护验收暂行办法》（国环规环评[2017]4号）中的有关规定执行。</w:t>
      </w:r>
    </w:p>
    <w:p>
      <w:pPr>
        <w:spacing w:line="360" w:lineRule="auto"/>
        <w:ind w:firstLine="480" w:firstLineChars="200"/>
        <w:rPr>
          <w:color w:val="auto"/>
          <w:sz w:val="24"/>
          <w:szCs w:val="32"/>
          <w:highlight w:val="none"/>
        </w:rPr>
      </w:pPr>
      <w:r>
        <w:rPr>
          <w:color w:val="auto"/>
          <w:sz w:val="24"/>
          <w:szCs w:val="32"/>
          <w:highlight w:val="none"/>
        </w:rPr>
        <w:t>建设项目竣工后，建设单位应当如实查验、监测、记载建设项目环境保护设施的建设和调试情况，编制验收监测报告。建设单位不具备编制验收监测报告能力的，可以委托有能力的技术机构编制。</w:t>
      </w:r>
      <w:bookmarkStart w:id="850" w:name="_Toc259105215"/>
      <w:bookmarkStart w:id="851" w:name="_Toc259129425"/>
      <w:bookmarkStart w:id="852" w:name="_Toc259130788"/>
      <w:bookmarkStart w:id="853" w:name="_Toc259104535"/>
    </w:p>
    <w:p>
      <w:pPr>
        <w:spacing w:line="360" w:lineRule="auto"/>
        <w:ind w:firstLine="480" w:firstLineChars="200"/>
        <w:rPr>
          <w:color w:val="auto"/>
          <w:sz w:val="24"/>
          <w:szCs w:val="32"/>
          <w:highlight w:val="none"/>
        </w:rPr>
      </w:pPr>
      <w:r>
        <w:rPr>
          <w:color w:val="auto"/>
          <w:sz w:val="24"/>
          <w:szCs w:val="32"/>
          <w:highlight w:val="none"/>
        </w:rPr>
        <w:t>（2）验收</w:t>
      </w:r>
      <w:bookmarkEnd w:id="850"/>
      <w:bookmarkEnd w:id="851"/>
      <w:bookmarkEnd w:id="852"/>
      <w:bookmarkEnd w:id="853"/>
      <w:r>
        <w:rPr>
          <w:color w:val="auto"/>
          <w:sz w:val="24"/>
          <w:szCs w:val="32"/>
          <w:highlight w:val="none"/>
        </w:rPr>
        <w:t>条件</w:t>
      </w:r>
    </w:p>
    <w:p>
      <w:pPr>
        <w:spacing w:line="360" w:lineRule="auto"/>
        <w:ind w:firstLine="480" w:firstLineChars="200"/>
        <w:rPr>
          <w:color w:val="auto"/>
          <w:sz w:val="24"/>
          <w:szCs w:val="32"/>
          <w:highlight w:val="none"/>
        </w:rPr>
      </w:pPr>
      <w:r>
        <w:rPr>
          <w:color w:val="auto"/>
          <w:sz w:val="24"/>
          <w:szCs w:val="32"/>
          <w:highlight w:val="none"/>
        </w:rPr>
        <w:t>验收前应具备的条件见表10.4-2。</w:t>
      </w:r>
    </w:p>
    <w:p>
      <w:pPr>
        <w:spacing w:line="360" w:lineRule="auto"/>
        <w:jc w:val="center"/>
        <w:rPr>
          <w:b/>
          <w:color w:val="auto"/>
          <w:sz w:val="24"/>
          <w:highlight w:val="none"/>
        </w:rPr>
      </w:pPr>
      <w:r>
        <w:rPr>
          <w:b/>
          <w:color w:val="auto"/>
          <w:sz w:val="24"/>
          <w:highlight w:val="none"/>
        </w:rPr>
        <w:t>表10.4-2  主要环保验收条件</w:t>
      </w:r>
    </w:p>
    <w:tbl>
      <w:tblPr>
        <w:tblStyle w:val="5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51" w:type="dxa"/>
            <w:vAlign w:val="center"/>
          </w:tcPr>
          <w:p>
            <w:pPr>
              <w:spacing w:line="360" w:lineRule="auto"/>
              <w:jc w:val="center"/>
              <w:rPr>
                <w:b/>
                <w:color w:val="auto"/>
                <w:szCs w:val="21"/>
                <w:highlight w:val="none"/>
              </w:rPr>
            </w:pPr>
            <w:r>
              <w:rPr>
                <w:b/>
                <w:color w:val="auto"/>
                <w:szCs w:val="21"/>
                <w:highlight w:val="none"/>
              </w:rPr>
              <w:t>实施部门</w:t>
            </w:r>
          </w:p>
        </w:tc>
        <w:tc>
          <w:tcPr>
            <w:tcW w:w="7398" w:type="dxa"/>
            <w:vAlign w:val="center"/>
          </w:tcPr>
          <w:p>
            <w:pPr>
              <w:spacing w:line="360" w:lineRule="auto"/>
              <w:jc w:val="center"/>
              <w:rPr>
                <w:b/>
                <w:color w:val="auto"/>
                <w:szCs w:val="21"/>
                <w:highlight w:val="none"/>
              </w:rPr>
            </w:pPr>
            <w:r>
              <w:rPr>
                <w:b/>
                <w:color w:val="auto"/>
                <w:szCs w:val="21"/>
                <w:highlight w:val="none"/>
              </w:rPr>
              <w:t>主要管理内容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1151" w:type="dxa"/>
            <w:vMerge w:val="restart"/>
            <w:vAlign w:val="center"/>
          </w:tcPr>
          <w:p>
            <w:pPr>
              <w:spacing w:line="360" w:lineRule="auto"/>
              <w:jc w:val="center"/>
              <w:rPr>
                <w:color w:val="auto"/>
                <w:szCs w:val="21"/>
                <w:highlight w:val="none"/>
              </w:rPr>
            </w:pPr>
            <w:r>
              <w:rPr>
                <w:color w:val="auto"/>
                <w:szCs w:val="21"/>
                <w:highlight w:val="none"/>
              </w:rPr>
              <w:t>建设单位</w:t>
            </w:r>
          </w:p>
        </w:tc>
        <w:tc>
          <w:tcPr>
            <w:tcW w:w="7398" w:type="dxa"/>
            <w:vAlign w:val="center"/>
          </w:tcPr>
          <w:p>
            <w:pPr>
              <w:spacing w:line="360" w:lineRule="auto"/>
              <w:rPr>
                <w:color w:val="auto"/>
                <w:szCs w:val="21"/>
                <w:highlight w:val="none"/>
              </w:rPr>
            </w:pPr>
            <w:r>
              <w:rPr>
                <w:color w:val="auto"/>
                <w:szCs w:val="21"/>
                <w:highlight w:val="none"/>
              </w:rPr>
              <w:t>1、建设前期环境保护审查、审批手续完备，技术资料与环保档案资料齐全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151" w:type="dxa"/>
            <w:vMerge w:val="continue"/>
            <w:vAlign w:val="center"/>
          </w:tcPr>
          <w:p>
            <w:pPr>
              <w:spacing w:line="360" w:lineRule="auto"/>
              <w:rPr>
                <w:color w:val="auto"/>
                <w:szCs w:val="21"/>
                <w:highlight w:val="none"/>
              </w:rPr>
            </w:pPr>
          </w:p>
        </w:tc>
        <w:tc>
          <w:tcPr>
            <w:tcW w:w="7398" w:type="dxa"/>
            <w:vAlign w:val="center"/>
          </w:tcPr>
          <w:p>
            <w:pPr>
              <w:spacing w:line="360" w:lineRule="auto"/>
              <w:rPr>
                <w:color w:val="auto"/>
                <w:szCs w:val="21"/>
                <w:highlight w:val="none"/>
              </w:rPr>
            </w:pPr>
            <w:r>
              <w:rPr>
                <w:color w:val="auto"/>
                <w:szCs w:val="21"/>
                <w:highlight w:val="none"/>
              </w:rPr>
              <w:t>2、环保设施与措施等已按环评报告、批复文件和设计文件要求建成或落实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1151" w:type="dxa"/>
            <w:vMerge w:val="continue"/>
            <w:vAlign w:val="center"/>
          </w:tcPr>
          <w:p>
            <w:pPr>
              <w:spacing w:line="360" w:lineRule="auto"/>
              <w:rPr>
                <w:color w:val="auto"/>
                <w:szCs w:val="21"/>
                <w:highlight w:val="none"/>
              </w:rPr>
            </w:pPr>
          </w:p>
        </w:tc>
        <w:tc>
          <w:tcPr>
            <w:tcW w:w="7398" w:type="dxa"/>
            <w:vAlign w:val="center"/>
          </w:tcPr>
          <w:p>
            <w:pPr>
              <w:spacing w:line="360" w:lineRule="auto"/>
              <w:rPr>
                <w:color w:val="auto"/>
                <w:szCs w:val="21"/>
                <w:highlight w:val="none"/>
              </w:rPr>
            </w:pPr>
            <w:r>
              <w:rPr>
                <w:color w:val="auto"/>
                <w:szCs w:val="21"/>
                <w:highlight w:val="none"/>
              </w:rPr>
              <w:t>3、环保设施安装质量符合国家专业工程验收规范、规程和检验评定标准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1151" w:type="dxa"/>
            <w:vMerge w:val="continue"/>
            <w:vAlign w:val="center"/>
          </w:tcPr>
          <w:p>
            <w:pPr>
              <w:spacing w:line="360" w:lineRule="auto"/>
              <w:rPr>
                <w:color w:val="auto"/>
                <w:szCs w:val="21"/>
                <w:highlight w:val="none"/>
              </w:rPr>
            </w:pPr>
          </w:p>
        </w:tc>
        <w:tc>
          <w:tcPr>
            <w:tcW w:w="7398" w:type="dxa"/>
            <w:vAlign w:val="center"/>
          </w:tcPr>
          <w:p>
            <w:pPr>
              <w:spacing w:line="360" w:lineRule="auto"/>
              <w:rPr>
                <w:color w:val="auto"/>
                <w:szCs w:val="21"/>
                <w:highlight w:val="none"/>
              </w:rPr>
            </w:pPr>
            <w:r>
              <w:rPr>
                <w:color w:val="auto"/>
                <w:szCs w:val="21"/>
                <w:highlight w:val="none"/>
              </w:rPr>
              <w:t>4、具备环保设施正常运转条件，包括经培训合格的操作人员、健全的岗位操作规程及相应的规章制度等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151" w:type="dxa"/>
            <w:vMerge w:val="continue"/>
            <w:vAlign w:val="center"/>
          </w:tcPr>
          <w:p>
            <w:pPr>
              <w:spacing w:line="360" w:lineRule="auto"/>
              <w:rPr>
                <w:color w:val="auto"/>
                <w:szCs w:val="21"/>
                <w:highlight w:val="none"/>
              </w:rPr>
            </w:pPr>
          </w:p>
        </w:tc>
        <w:tc>
          <w:tcPr>
            <w:tcW w:w="7398" w:type="dxa"/>
            <w:vAlign w:val="center"/>
          </w:tcPr>
          <w:p>
            <w:pPr>
              <w:spacing w:line="360" w:lineRule="auto"/>
              <w:rPr>
                <w:color w:val="auto"/>
                <w:szCs w:val="21"/>
                <w:highlight w:val="none"/>
              </w:rPr>
            </w:pPr>
            <w:r>
              <w:rPr>
                <w:color w:val="auto"/>
                <w:szCs w:val="21"/>
                <w:highlight w:val="none"/>
              </w:rPr>
              <w:t>5、污染物排放符合环评文件和设计文件中提出的标准及核定的总量控制指标</w:t>
            </w:r>
          </w:p>
        </w:tc>
      </w:tr>
    </w:tbl>
    <w:p>
      <w:pPr>
        <w:spacing w:line="360" w:lineRule="auto"/>
        <w:ind w:firstLine="480" w:firstLineChars="200"/>
        <w:rPr>
          <w:color w:val="auto"/>
          <w:sz w:val="24"/>
          <w:highlight w:val="none"/>
        </w:rPr>
      </w:pPr>
      <w:r>
        <w:rPr>
          <w:color w:val="auto"/>
          <w:sz w:val="24"/>
          <w:highlight w:val="none"/>
        </w:rPr>
        <w:t>（3）验收范围</w:t>
      </w:r>
    </w:p>
    <w:p>
      <w:pPr>
        <w:spacing w:line="360" w:lineRule="auto"/>
        <w:ind w:firstLine="480" w:firstLineChars="200"/>
        <w:rPr>
          <w:color w:val="auto"/>
          <w:sz w:val="24"/>
          <w:highlight w:val="none"/>
        </w:rPr>
      </w:pPr>
      <w:r>
        <w:rPr>
          <w:color w:val="auto"/>
          <w:sz w:val="24"/>
          <w:highlight w:val="none"/>
        </w:rPr>
        <w:t>环评报告书、批复文件和有关设计文件规定应采取的各项环保治理设施与措施。</w:t>
      </w:r>
    </w:p>
    <w:p>
      <w:pPr>
        <w:tabs>
          <w:tab w:val="left" w:pos="4695"/>
        </w:tabs>
        <w:spacing w:line="360" w:lineRule="auto"/>
        <w:ind w:firstLine="482"/>
        <w:rPr>
          <w:color w:val="auto"/>
          <w:sz w:val="24"/>
          <w:highlight w:val="none"/>
        </w:rPr>
      </w:pPr>
      <w:r>
        <w:rPr>
          <w:color w:val="auto"/>
          <w:sz w:val="24"/>
          <w:highlight w:val="none"/>
        </w:rPr>
        <w:t>（4）验收清单</w:t>
      </w:r>
    </w:p>
    <w:p>
      <w:pPr>
        <w:tabs>
          <w:tab w:val="left" w:pos="4695"/>
        </w:tabs>
        <w:spacing w:line="360" w:lineRule="auto"/>
        <w:ind w:firstLine="482"/>
        <w:rPr>
          <w:color w:val="auto"/>
          <w:sz w:val="24"/>
          <w:highlight w:val="none"/>
        </w:rPr>
      </w:pPr>
      <w:r>
        <w:rPr>
          <w:color w:val="auto"/>
          <w:sz w:val="24"/>
          <w:highlight w:val="none"/>
        </w:rPr>
        <w:t>建设项目竣工后，建设单位应当依照国家有关法律法规、建设项目竣工环境保护验收技术规范、建设项目环境影响报告书和审批决定等要求，如实查验、监测、记载建设项目环境保护设施的建设和调试情况，同时还应如实记载其他环境保护对策措施“三同时”落实情况，编制竣工环境保护验收报告，组织竣工验收工作。</w:t>
      </w:r>
    </w:p>
    <w:p>
      <w:pPr>
        <w:tabs>
          <w:tab w:val="left" w:pos="4695"/>
        </w:tabs>
        <w:spacing w:line="360" w:lineRule="auto"/>
        <w:ind w:firstLine="482"/>
        <w:rPr>
          <w:color w:val="auto"/>
          <w:sz w:val="24"/>
          <w:highlight w:val="none"/>
        </w:rPr>
      </w:pPr>
      <w:r>
        <w:rPr>
          <w:color w:val="auto"/>
          <w:sz w:val="24"/>
          <w:highlight w:val="none"/>
        </w:rPr>
        <w:t>各级环境保护部门应当强化建设项目环境保护事中事后监督管理，建立</w:t>
      </w:r>
      <w:r>
        <w:rPr>
          <w:rFonts w:hint="eastAsia"/>
          <w:color w:val="auto"/>
          <w:sz w:val="24"/>
          <w:highlight w:val="none"/>
          <w:lang w:eastAsia="zh-CN"/>
        </w:rPr>
        <w:t>“双随机、一公开”</w:t>
      </w:r>
      <w:r>
        <w:rPr>
          <w:color w:val="auto"/>
          <w:sz w:val="24"/>
          <w:highlight w:val="none"/>
        </w:rPr>
        <w:t>抽查制度，对建设项目环境保护设施“三同时”落实情况、竣工环境保护验收等情况进行监督性检查，结果向社会公开，将建设项目有关环境违法信息及时记入诚信档案。</w:t>
      </w:r>
    </w:p>
    <w:p>
      <w:pPr>
        <w:spacing w:line="360" w:lineRule="auto"/>
        <w:ind w:firstLine="480" w:firstLineChars="200"/>
        <w:rPr>
          <w:color w:val="auto"/>
          <w:sz w:val="24"/>
          <w:highlight w:val="none"/>
        </w:rPr>
      </w:pPr>
      <w:r>
        <w:rPr>
          <w:color w:val="auto"/>
          <w:sz w:val="24"/>
          <w:highlight w:val="none"/>
        </w:rPr>
        <w:t>运营期项目竣工环境保护验收建议清单见表10.4-3。</w:t>
      </w:r>
    </w:p>
    <w:p>
      <w:pPr>
        <w:spacing w:line="360" w:lineRule="auto"/>
        <w:jc w:val="center"/>
        <w:rPr>
          <w:b/>
          <w:color w:val="auto"/>
          <w:sz w:val="24"/>
          <w:highlight w:val="none"/>
        </w:rPr>
      </w:pPr>
    </w:p>
    <w:p>
      <w:pPr>
        <w:spacing w:line="360" w:lineRule="auto"/>
        <w:jc w:val="center"/>
        <w:rPr>
          <w:b/>
          <w:color w:val="auto"/>
          <w:sz w:val="24"/>
          <w:highlight w:val="none"/>
        </w:rPr>
      </w:pPr>
    </w:p>
    <w:p>
      <w:pPr>
        <w:spacing w:line="360" w:lineRule="auto"/>
        <w:jc w:val="center"/>
        <w:rPr>
          <w:b/>
          <w:color w:val="auto"/>
          <w:sz w:val="24"/>
          <w:highlight w:val="none"/>
        </w:rPr>
      </w:pPr>
    </w:p>
    <w:p>
      <w:pPr>
        <w:spacing w:line="360" w:lineRule="auto"/>
        <w:jc w:val="center"/>
        <w:rPr>
          <w:b/>
          <w:color w:val="auto"/>
          <w:sz w:val="24"/>
          <w:highlight w:val="none"/>
        </w:rPr>
      </w:pPr>
      <w:r>
        <w:rPr>
          <w:b/>
          <w:color w:val="auto"/>
          <w:sz w:val="24"/>
          <w:highlight w:val="none"/>
        </w:rPr>
        <w:t>表10.4-3  项目运营期环境保护竣工验收建议清单一览表</w:t>
      </w:r>
    </w:p>
    <w:tbl>
      <w:tblPr>
        <w:tblStyle w:val="55"/>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42"/>
        <w:gridCol w:w="2241"/>
        <w:gridCol w:w="915"/>
        <w:gridCol w:w="1287"/>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552" w:type="dxa"/>
            <w:tcMar>
              <w:left w:w="17" w:type="dxa"/>
              <w:right w:w="17" w:type="dxa"/>
            </w:tcMar>
            <w:vAlign w:val="center"/>
          </w:tcPr>
          <w:p>
            <w:pPr>
              <w:jc w:val="center"/>
              <w:rPr>
                <w:b/>
                <w:color w:val="auto"/>
                <w:szCs w:val="21"/>
                <w:highlight w:val="none"/>
              </w:rPr>
            </w:pPr>
            <w:r>
              <w:rPr>
                <w:b/>
                <w:color w:val="auto"/>
                <w:szCs w:val="21"/>
                <w:highlight w:val="none"/>
              </w:rPr>
              <w:t>污染类别</w:t>
            </w:r>
          </w:p>
        </w:tc>
        <w:tc>
          <w:tcPr>
            <w:tcW w:w="1542" w:type="dxa"/>
            <w:tcMar>
              <w:left w:w="17" w:type="dxa"/>
              <w:right w:w="17" w:type="dxa"/>
            </w:tcMar>
            <w:vAlign w:val="center"/>
          </w:tcPr>
          <w:p>
            <w:pPr>
              <w:jc w:val="center"/>
              <w:rPr>
                <w:b/>
                <w:color w:val="auto"/>
                <w:szCs w:val="21"/>
                <w:highlight w:val="none"/>
              </w:rPr>
            </w:pPr>
            <w:r>
              <w:rPr>
                <w:b/>
                <w:color w:val="auto"/>
                <w:szCs w:val="21"/>
                <w:highlight w:val="none"/>
              </w:rPr>
              <w:t>污染源</w:t>
            </w:r>
          </w:p>
        </w:tc>
        <w:tc>
          <w:tcPr>
            <w:tcW w:w="2241" w:type="dxa"/>
            <w:tcMar>
              <w:left w:w="17" w:type="dxa"/>
              <w:right w:w="17" w:type="dxa"/>
            </w:tcMar>
            <w:vAlign w:val="center"/>
          </w:tcPr>
          <w:p>
            <w:pPr>
              <w:jc w:val="center"/>
              <w:rPr>
                <w:b/>
                <w:color w:val="auto"/>
                <w:szCs w:val="21"/>
                <w:highlight w:val="none"/>
              </w:rPr>
            </w:pPr>
            <w:r>
              <w:rPr>
                <w:b/>
                <w:color w:val="auto"/>
                <w:szCs w:val="21"/>
                <w:highlight w:val="none"/>
              </w:rPr>
              <w:t>治理措施</w:t>
            </w:r>
          </w:p>
        </w:tc>
        <w:tc>
          <w:tcPr>
            <w:tcW w:w="915" w:type="dxa"/>
            <w:vAlign w:val="center"/>
          </w:tcPr>
          <w:p>
            <w:pPr>
              <w:jc w:val="center"/>
              <w:rPr>
                <w:b/>
                <w:color w:val="auto"/>
                <w:szCs w:val="21"/>
                <w:highlight w:val="none"/>
              </w:rPr>
            </w:pPr>
            <w:r>
              <w:rPr>
                <w:b/>
                <w:color w:val="auto"/>
                <w:szCs w:val="21"/>
                <w:highlight w:val="none"/>
              </w:rPr>
              <w:t>数量</w:t>
            </w:r>
          </w:p>
          <w:p>
            <w:pPr>
              <w:jc w:val="center"/>
              <w:rPr>
                <w:b/>
                <w:color w:val="auto"/>
                <w:szCs w:val="21"/>
                <w:highlight w:val="none"/>
              </w:rPr>
            </w:pPr>
            <w:r>
              <w:rPr>
                <w:rFonts w:hint="eastAsia"/>
                <w:b/>
                <w:color w:val="auto"/>
                <w:szCs w:val="21"/>
                <w:highlight w:val="none"/>
              </w:rPr>
              <w:t>(</w:t>
            </w:r>
            <w:r>
              <w:rPr>
                <w:b/>
                <w:color w:val="auto"/>
                <w:szCs w:val="21"/>
                <w:highlight w:val="none"/>
              </w:rPr>
              <w:t>台/套</w:t>
            </w:r>
            <w:r>
              <w:rPr>
                <w:rFonts w:hint="eastAsia"/>
                <w:b/>
                <w:color w:val="auto"/>
                <w:szCs w:val="21"/>
                <w:highlight w:val="none"/>
              </w:rPr>
              <w:t>)</w:t>
            </w:r>
          </w:p>
        </w:tc>
        <w:tc>
          <w:tcPr>
            <w:tcW w:w="1287" w:type="dxa"/>
            <w:vAlign w:val="center"/>
          </w:tcPr>
          <w:p>
            <w:pPr>
              <w:jc w:val="center"/>
              <w:rPr>
                <w:b/>
                <w:color w:val="auto"/>
                <w:szCs w:val="21"/>
                <w:highlight w:val="none"/>
              </w:rPr>
            </w:pPr>
            <w:r>
              <w:rPr>
                <w:b/>
                <w:color w:val="auto"/>
                <w:szCs w:val="21"/>
                <w:highlight w:val="none"/>
              </w:rPr>
              <w:t>规格</w:t>
            </w:r>
          </w:p>
        </w:tc>
        <w:tc>
          <w:tcPr>
            <w:tcW w:w="1916" w:type="dxa"/>
            <w:vAlign w:val="center"/>
          </w:tcPr>
          <w:p>
            <w:pPr>
              <w:jc w:val="center"/>
              <w:rPr>
                <w:b/>
                <w:color w:val="auto"/>
                <w:szCs w:val="21"/>
                <w:highlight w:val="none"/>
              </w:rPr>
            </w:pPr>
            <w:r>
              <w:rPr>
                <w:b/>
                <w:color w:val="auto"/>
                <w:szCs w:val="21"/>
                <w:highlight w:val="none"/>
              </w:rPr>
              <w:t>标准及验收要求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52" w:type="dxa"/>
            <w:vMerge w:val="restart"/>
            <w:tcMar>
              <w:left w:w="17" w:type="dxa"/>
              <w:right w:w="17" w:type="dxa"/>
            </w:tcMar>
            <w:vAlign w:val="center"/>
          </w:tcPr>
          <w:p>
            <w:pPr>
              <w:jc w:val="center"/>
              <w:rPr>
                <w:color w:val="auto"/>
                <w:szCs w:val="21"/>
                <w:highlight w:val="none"/>
              </w:rPr>
            </w:pPr>
            <w:r>
              <w:rPr>
                <w:color w:val="auto"/>
                <w:szCs w:val="21"/>
                <w:highlight w:val="none"/>
              </w:rPr>
              <w:t>废气</w:t>
            </w:r>
          </w:p>
        </w:tc>
        <w:tc>
          <w:tcPr>
            <w:tcW w:w="1542" w:type="dxa"/>
            <w:vMerge w:val="restart"/>
            <w:tcMar>
              <w:left w:w="17" w:type="dxa"/>
              <w:right w:w="17" w:type="dxa"/>
            </w:tcMar>
            <w:vAlign w:val="center"/>
          </w:tcPr>
          <w:p>
            <w:pPr>
              <w:jc w:val="center"/>
              <w:rPr>
                <w:color w:val="auto"/>
                <w:szCs w:val="21"/>
                <w:highlight w:val="none"/>
              </w:rPr>
            </w:pPr>
            <w:r>
              <w:rPr>
                <w:rFonts w:hint="eastAsia"/>
                <w:color w:val="auto"/>
                <w:szCs w:val="21"/>
                <w:highlight w:val="none"/>
                <w:lang w:val="en-US" w:eastAsia="zh-CN"/>
              </w:rPr>
              <w:t>热熔注塑</w:t>
            </w:r>
            <w:r>
              <w:rPr>
                <w:color w:val="auto"/>
                <w:szCs w:val="21"/>
                <w:highlight w:val="none"/>
              </w:rPr>
              <w:t>废气</w:t>
            </w:r>
          </w:p>
        </w:tc>
        <w:tc>
          <w:tcPr>
            <w:tcW w:w="2241" w:type="dxa"/>
            <w:tcMar>
              <w:left w:w="17" w:type="dxa"/>
              <w:right w:w="17" w:type="dxa"/>
            </w:tcMar>
            <w:vAlign w:val="center"/>
          </w:tcPr>
          <w:p>
            <w:pPr>
              <w:jc w:val="center"/>
              <w:rPr>
                <w:color w:val="auto"/>
                <w:szCs w:val="21"/>
                <w:highlight w:val="none"/>
              </w:rPr>
            </w:pPr>
            <w:r>
              <w:rPr>
                <w:color w:val="auto"/>
                <w:szCs w:val="21"/>
                <w:highlight w:val="none"/>
              </w:rPr>
              <w:t>集气罩（</w:t>
            </w:r>
            <w:r>
              <w:rPr>
                <w:rFonts w:hint="eastAsia"/>
                <w:color w:val="auto"/>
                <w:szCs w:val="21"/>
                <w:highlight w:val="none"/>
                <w:lang w:val="en-US" w:eastAsia="zh-CN"/>
              </w:rPr>
              <w:t>各注塑机出口设置1个</w:t>
            </w:r>
            <w:r>
              <w:rPr>
                <w:color w:val="auto"/>
                <w:szCs w:val="21"/>
                <w:highlight w:val="none"/>
              </w:rPr>
              <w:t>）</w:t>
            </w:r>
          </w:p>
        </w:tc>
        <w:tc>
          <w:tcPr>
            <w:tcW w:w="915" w:type="dxa"/>
            <w:vAlign w:val="center"/>
          </w:tcPr>
          <w:p>
            <w:pPr>
              <w:jc w:val="center"/>
              <w:rPr>
                <w:color w:val="auto"/>
                <w:szCs w:val="21"/>
                <w:highlight w:val="none"/>
              </w:rPr>
            </w:pPr>
            <w:r>
              <w:rPr>
                <w:color w:val="auto"/>
                <w:szCs w:val="21"/>
                <w:highlight w:val="none"/>
              </w:rPr>
              <w:t>共</w:t>
            </w:r>
            <w:r>
              <w:rPr>
                <w:rFonts w:hint="eastAsia"/>
                <w:color w:val="auto"/>
                <w:szCs w:val="21"/>
                <w:highlight w:val="none"/>
                <w:lang w:val="en-US" w:eastAsia="zh-CN"/>
              </w:rPr>
              <w:t>6</w:t>
            </w:r>
            <w:r>
              <w:rPr>
                <w:color w:val="auto"/>
                <w:szCs w:val="21"/>
                <w:highlight w:val="none"/>
              </w:rPr>
              <w:t>个</w:t>
            </w:r>
          </w:p>
        </w:tc>
        <w:tc>
          <w:tcPr>
            <w:tcW w:w="1287" w:type="dxa"/>
            <w:vAlign w:val="center"/>
          </w:tcPr>
          <w:p>
            <w:pPr>
              <w:jc w:val="center"/>
              <w:rPr>
                <w:color w:val="auto"/>
                <w:szCs w:val="21"/>
                <w:highlight w:val="none"/>
              </w:rPr>
            </w:pPr>
            <w:r>
              <w:rPr>
                <w:color w:val="auto"/>
                <w:szCs w:val="21"/>
                <w:highlight w:val="none"/>
              </w:rPr>
              <w:t>集气效率</w:t>
            </w:r>
            <w:r>
              <w:rPr>
                <w:rFonts w:hint="eastAsia"/>
                <w:color w:val="auto"/>
                <w:szCs w:val="21"/>
                <w:highlight w:val="none"/>
                <w:lang w:val="en-US" w:eastAsia="zh-CN"/>
              </w:rPr>
              <w:t>90</w:t>
            </w:r>
            <w:r>
              <w:rPr>
                <w:color w:val="auto"/>
                <w:szCs w:val="21"/>
                <w:highlight w:val="none"/>
              </w:rPr>
              <w:t>%</w:t>
            </w:r>
          </w:p>
        </w:tc>
        <w:tc>
          <w:tcPr>
            <w:tcW w:w="1916" w:type="dxa"/>
            <w:vMerge w:val="restart"/>
            <w:vAlign w:val="center"/>
          </w:tcPr>
          <w:p>
            <w:pPr>
              <w:jc w:val="center"/>
              <w:rPr>
                <w:color w:val="auto"/>
                <w:szCs w:val="21"/>
                <w:highlight w:val="none"/>
              </w:rPr>
            </w:pPr>
            <w:r>
              <w:rPr>
                <w:rFonts w:hint="eastAsia"/>
                <w:color w:val="auto"/>
                <w:szCs w:val="21"/>
                <w:highlight w:val="none"/>
              </w:rPr>
              <w:t>《合成树脂工业污染物排放标准》（GB31572-2015）及</w:t>
            </w:r>
            <w:r>
              <w:rPr>
                <w:color w:val="auto"/>
                <w:szCs w:val="21"/>
                <w:highlight w:val="none"/>
              </w:rPr>
              <w:t>《恶臭污染物排放标准》（GB14554-93）二级标准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552" w:type="dxa"/>
            <w:vMerge w:val="continue"/>
            <w:tcMar>
              <w:left w:w="17" w:type="dxa"/>
              <w:right w:w="17" w:type="dxa"/>
            </w:tcMar>
            <w:vAlign w:val="center"/>
          </w:tcPr>
          <w:p>
            <w:pPr>
              <w:jc w:val="center"/>
              <w:rPr>
                <w:color w:val="auto"/>
                <w:szCs w:val="21"/>
                <w:highlight w:val="none"/>
              </w:rPr>
            </w:pPr>
          </w:p>
        </w:tc>
        <w:tc>
          <w:tcPr>
            <w:tcW w:w="1542" w:type="dxa"/>
            <w:vMerge w:val="continue"/>
            <w:tcMar>
              <w:left w:w="17" w:type="dxa"/>
              <w:right w:w="17" w:type="dxa"/>
            </w:tcMar>
            <w:vAlign w:val="center"/>
          </w:tcPr>
          <w:p>
            <w:pPr>
              <w:jc w:val="center"/>
              <w:rPr>
                <w:color w:val="auto"/>
                <w:szCs w:val="21"/>
                <w:highlight w:val="none"/>
              </w:rPr>
            </w:pPr>
          </w:p>
        </w:tc>
        <w:tc>
          <w:tcPr>
            <w:tcW w:w="2241" w:type="dxa"/>
            <w:tcMar>
              <w:left w:w="17" w:type="dxa"/>
              <w:right w:w="17" w:type="dxa"/>
            </w:tcMar>
            <w:vAlign w:val="center"/>
          </w:tcPr>
          <w:p>
            <w:pPr>
              <w:jc w:val="center"/>
              <w:rPr>
                <w:color w:val="auto"/>
                <w:szCs w:val="21"/>
                <w:highlight w:val="none"/>
              </w:rPr>
            </w:pPr>
            <w:r>
              <w:rPr>
                <w:rFonts w:hint="eastAsia"/>
                <w:color w:val="auto"/>
                <w:szCs w:val="21"/>
                <w:highlight w:val="none"/>
                <w:lang w:val="en-US" w:eastAsia="zh-CN"/>
              </w:rPr>
              <w:t>三级活性炭吸附装置+15</w:t>
            </w:r>
            <w:r>
              <w:rPr>
                <w:color w:val="auto"/>
                <w:szCs w:val="21"/>
                <w:highlight w:val="none"/>
              </w:rPr>
              <w:t>m高排气筒</w:t>
            </w:r>
          </w:p>
        </w:tc>
        <w:tc>
          <w:tcPr>
            <w:tcW w:w="915" w:type="dxa"/>
            <w:vAlign w:val="center"/>
          </w:tcPr>
          <w:p>
            <w:pPr>
              <w:jc w:val="center"/>
              <w:rPr>
                <w:color w:val="auto"/>
                <w:szCs w:val="21"/>
                <w:highlight w:val="none"/>
              </w:rPr>
            </w:pPr>
            <w:r>
              <w:rPr>
                <w:rFonts w:hint="eastAsia"/>
                <w:color w:val="auto"/>
                <w:szCs w:val="21"/>
                <w:highlight w:val="none"/>
              </w:rPr>
              <w:t>1</w:t>
            </w:r>
          </w:p>
        </w:tc>
        <w:tc>
          <w:tcPr>
            <w:tcW w:w="1287" w:type="dxa"/>
            <w:vAlign w:val="center"/>
          </w:tcPr>
          <w:p>
            <w:pPr>
              <w:jc w:val="center"/>
              <w:rPr>
                <w:color w:val="auto"/>
                <w:szCs w:val="21"/>
                <w:highlight w:val="none"/>
              </w:rPr>
            </w:pPr>
            <w:r>
              <w:rPr>
                <w:color w:val="auto"/>
                <w:kern w:val="0"/>
                <w:szCs w:val="21"/>
                <w:highlight w:val="none"/>
              </w:rPr>
              <w:t>有机废气</w:t>
            </w:r>
            <w:r>
              <w:rPr>
                <w:rFonts w:hint="eastAsia"/>
                <w:color w:val="auto"/>
                <w:kern w:val="0"/>
                <w:szCs w:val="21"/>
                <w:highlight w:val="none"/>
              </w:rPr>
              <w:t>综合</w:t>
            </w:r>
            <w:r>
              <w:rPr>
                <w:color w:val="auto"/>
                <w:kern w:val="0"/>
                <w:szCs w:val="21"/>
                <w:highlight w:val="none"/>
              </w:rPr>
              <w:t>去除效率</w:t>
            </w:r>
            <w:r>
              <w:rPr>
                <w:rFonts w:hint="eastAsia"/>
                <w:color w:val="auto"/>
                <w:kern w:val="0"/>
                <w:szCs w:val="21"/>
                <w:highlight w:val="none"/>
              </w:rPr>
              <w:t>取80</w:t>
            </w:r>
            <w:r>
              <w:rPr>
                <w:color w:val="auto"/>
                <w:kern w:val="0"/>
                <w:szCs w:val="21"/>
                <w:highlight w:val="none"/>
              </w:rPr>
              <w:t>%</w:t>
            </w:r>
          </w:p>
        </w:tc>
        <w:tc>
          <w:tcPr>
            <w:tcW w:w="1916"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vMerge w:val="continue"/>
            <w:tcMar>
              <w:left w:w="17" w:type="dxa"/>
              <w:right w:w="17" w:type="dxa"/>
            </w:tcMar>
            <w:vAlign w:val="center"/>
          </w:tcPr>
          <w:p>
            <w:pPr>
              <w:jc w:val="center"/>
              <w:rPr>
                <w:color w:val="auto"/>
                <w:szCs w:val="21"/>
                <w:highlight w:val="none"/>
              </w:rPr>
            </w:pPr>
          </w:p>
        </w:tc>
        <w:tc>
          <w:tcPr>
            <w:tcW w:w="1542" w:type="dxa"/>
            <w:vMerge w:val="continue"/>
            <w:tcMar>
              <w:left w:w="17" w:type="dxa"/>
              <w:right w:w="17" w:type="dxa"/>
            </w:tcMar>
            <w:vAlign w:val="center"/>
          </w:tcPr>
          <w:p>
            <w:pPr>
              <w:jc w:val="center"/>
              <w:rPr>
                <w:color w:val="auto"/>
                <w:szCs w:val="21"/>
                <w:highlight w:val="none"/>
              </w:rPr>
            </w:pPr>
          </w:p>
        </w:tc>
        <w:tc>
          <w:tcPr>
            <w:tcW w:w="2241" w:type="dxa"/>
            <w:tcMar>
              <w:left w:w="17" w:type="dxa"/>
              <w:right w:w="17" w:type="dxa"/>
            </w:tcMar>
            <w:vAlign w:val="center"/>
          </w:tcPr>
          <w:p>
            <w:pPr>
              <w:jc w:val="center"/>
              <w:rPr>
                <w:color w:val="auto"/>
                <w:szCs w:val="21"/>
                <w:highlight w:val="none"/>
              </w:rPr>
            </w:pPr>
            <w:r>
              <w:rPr>
                <w:color w:val="auto"/>
                <w:szCs w:val="21"/>
                <w:highlight w:val="none"/>
              </w:rPr>
              <w:t>机械通风换气</w:t>
            </w:r>
          </w:p>
        </w:tc>
        <w:tc>
          <w:tcPr>
            <w:tcW w:w="915" w:type="dxa"/>
            <w:vAlign w:val="center"/>
          </w:tcPr>
          <w:p>
            <w:pPr>
              <w:jc w:val="center"/>
              <w:rPr>
                <w:color w:val="auto"/>
                <w:szCs w:val="21"/>
                <w:highlight w:val="none"/>
              </w:rPr>
            </w:pPr>
            <w:r>
              <w:rPr>
                <w:color w:val="auto"/>
                <w:szCs w:val="21"/>
                <w:highlight w:val="none"/>
              </w:rPr>
              <w:t>配套</w:t>
            </w:r>
          </w:p>
        </w:tc>
        <w:tc>
          <w:tcPr>
            <w:tcW w:w="1287" w:type="dxa"/>
            <w:vAlign w:val="center"/>
          </w:tcPr>
          <w:p>
            <w:pPr>
              <w:jc w:val="center"/>
              <w:rPr>
                <w:color w:val="auto"/>
                <w:szCs w:val="21"/>
                <w:highlight w:val="none"/>
              </w:rPr>
            </w:pPr>
            <w:r>
              <w:rPr>
                <w:color w:val="auto"/>
                <w:szCs w:val="21"/>
                <w:highlight w:val="none"/>
              </w:rPr>
              <w:t>/</w:t>
            </w:r>
          </w:p>
        </w:tc>
        <w:tc>
          <w:tcPr>
            <w:tcW w:w="1916"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vMerge w:val="continue"/>
            <w:tcMar>
              <w:left w:w="17" w:type="dxa"/>
              <w:right w:w="17" w:type="dxa"/>
            </w:tcMar>
            <w:vAlign w:val="center"/>
          </w:tcPr>
          <w:p>
            <w:pPr>
              <w:jc w:val="center"/>
              <w:rPr>
                <w:color w:val="auto"/>
                <w:szCs w:val="21"/>
                <w:highlight w:val="none"/>
              </w:rPr>
            </w:pPr>
          </w:p>
        </w:tc>
        <w:tc>
          <w:tcPr>
            <w:tcW w:w="1542" w:type="dxa"/>
            <w:tcMar>
              <w:left w:w="17" w:type="dxa"/>
              <w:right w:w="17" w:type="dxa"/>
            </w:tcMar>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拌料废气</w:t>
            </w:r>
          </w:p>
        </w:tc>
        <w:tc>
          <w:tcPr>
            <w:tcW w:w="2241" w:type="dxa"/>
            <w:tcMar>
              <w:left w:w="17" w:type="dxa"/>
              <w:right w:w="17" w:type="dxa"/>
            </w:tcMar>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封闭装置内进行，车间沉降</w:t>
            </w:r>
          </w:p>
        </w:tc>
        <w:tc>
          <w:tcPr>
            <w:tcW w:w="915"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配套</w:t>
            </w:r>
          </w:p>
        </w:tc>
        <w:tc>
          <w:tcPr>
            <w:tcW w:w="128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粉尘去除率90%</w:t>
            </w:r>
          </w:p>
        </w:tc>
        <w:tc>
          <w:tcPr>
            <w:tcW w:w="1916"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vMerge w:val="continue"/>
            <w:tcMar>
              <w:left w:w="17" w:type="dxa"/>
              <w:right w:w="17" w:type="dxa"/>
            </w:tcMar>
            <w:vAlign w:val="center"/>
          </w:tcPr>
          <w:p>
            <w:pPr>
              <w:jc w:val="center"/>
              <w:rPr>
                <w:color w:val="auto"/>
                <w:szCs w:val="21"/>
                <w:highlight w:val="none"/>
              </w:rPr>
            </w:pPr>
          </w:p>
        </w:tc>
        <w:tc>
          <w:tcPr>
            <w:tcW w:w="1542" w:type="dxa"/>
            <w:tcMar>
              <w:left w:w="17" w:type="dxa"/>
              <w:right w:w="17" w:type="dxa"/>
            </w:tcMar>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破碎废气</w:t>
            </w:r>
          </w:p>
        </w:tc>
        <w:tc>
          <w:tcPr>
            <w:tcW w:w="2241" w:type="dxa"/>
            <w:tcMar>
              <w:left w:w="17" w:type="dxa"/>
              <w:right w:w="17" w:type="dxa"/>
            </w:tcMar>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破碎过程全密闭，规范生产操作</w:t>
            </w:r>
          </w:p>
        </w:tc>
        <w:tc>
          <w:tcPr>
            <w:tcW w:w="915"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配套</w:t>
            </w:r>
          </w:p>
        </w:tc>
        <w:tc>
          <w:tcPr>
            <w:tcW w:w="128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粉尘去除率80%</w:t>
            </w:r>
          </w:p>
        </w:tc>
        <w:tc>
          <w:tcPr>
            <w:tcW w:w="1916"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vMerge w:val="restart"/>
            <w:tcMar>
              <w:left w:w="17" w:type="dxa"/>
              <w:right w:w="17" w:type="dxa"/>
            </w:tcMar>
            <w:vAlign w:val="center"/>
          </w:tcPr>
          <w:p>
            <w:pPr>
              <w:jc w:val="center"/>
              <w:rPr>
                <w:color w:val="auto"/>
                <w:szCs w:val="21"/>
                <w:highlight w:val="none"/>
              </w:rPr>
            </w:pPr>
            <w:r>
              <w:rPr>
                <w:color w:val="auto"/>
                <w:szCs w:val="21"/>
                <w:highlight w:val="none"/>
              </w:rPr>
              <w:t>废水</w:t>
            </w:r>
          </w:p>
        </w:tc>
        <w:tc>
          <w:tcPr>
            <w:tcW w:w="1542" w:type="dxa"/>
            <w:tcMar>
              <w:left w:w="17" w:type="dxa"/>
              <w:right w:w="17" w:type="dxa"/>
            </w:tcMar>
            <w:vAlign w:val="center"/>
          </w:tcPr>
          <w:p>
            <w:pPr>
              <w:jc w:val="center"/>
              <w:rPr>
                <w:color w:val="auto"/>
                <w:szCs w:val="21"/>
                <w:highlight w:val="none"/>
              </w:rPr>
            </w:pPr>
            <w:r>
              <w:rPr>
                <w:color w:val="auto"/>
                <w:szCs w:val="21"/>
                <w:highlight w:val="none"/>
              </w:rPr>
              <w:t>生产废水</w:t>
            </w:r>
          </w:p>
        </w:tc>
        <w:tc>
          <w:tcPr>
            <w:tcW w:w="2241" w:type="dxa"/>
            <w:tcMar>
              <w:left w:w="17" w:type="dxa"/>
              <w:right w:w="17" w:type="dxa"/>
            </w:tcMar>
            <w:vAlign w:val="center"/>
          </w:tcPr>
          <w:p>
            <w:pPr>
              <w:jc w:val="center"/>
              <w:rPr>
                <w:color w:val="auto"/>
                <w:szCs w:val="21"/>
                <w:highlight w:val="none"/>
              </w:rPr>
            </w:pPr>
            <w:r>
              <w:rPr>
                <w:color w:val="auto"/>
                <w:szCs w:val="21"/>
                <w:highlight w:val="none"/>
              </w:rPr>
              <w:t>冷却水池</w:t>
            </w:r>
          </w:p>
        </w:tc>
        <w:tc>
          <w:tcPr>
            <w:tcW w:w="915" w:type="dxa"/>
            <w:vAlign w:val="center"/>
          </w:tcPr>
          <w:p>
            <w:pPr>
              <w:jc w:val="center"/>
              <w:rPr>
                <w:color w:val="auto"/>
                <w:szCs w:val="21"/>
                <w:highlight w:val="none"/>
              </w:rPr>
            </w:pPr>
            <w:r>
              <w:rPr>
                <w:rFonts w:hint="eastAsia"/>
                <w:color w:val="auto"/>
                <w:szCs w:val="21"/>
                <w:highlight w:val="none"/>
              </w:rPr>
              <w:t>1</w:t>
            </w:r>
          </w:p>
        </w:tc>
        <w:tc>
          <w:tcPr>
            <w:tcW w:w="1287" w:type="dxa"/>
            <w:vAlign w:val="center"/>
          </w:tcPr>
          <w:p>
            <w:pPr>
              <w:jc w:val="center"/>
              <w:rPr>
                <w:color w:val="auto"/>
                <w:szCs w:val="21"/>
                <w:highlight w:val="none"/>
              </w:rPr>
            </w:pPr>
            <w:r>
              <w:rPr>
                <w:color w:val="auto"/>
                <w:szCs w:val="21"/>
                <w:highlight w:val="none"/>
              </w:rPr>
              <w:t>容积</w:t>
            </w:r>
            <w:r>
              <w:rPr>
                <w:rFonts w:hint="eastAsia"/>
                <w:color w:val="auto"/>
                <w:szCs w:val="21"/>
                <w:highlight w:val="none"/>
                <w:lang w:val="en-US" w:eastAsia="zh-CN"/>
              </w:rPr>
              <w:t>31</w:t>
            </w:r>
            <w:r>
              <w:rPr>
                <w:color w:val="auto"/>
                <w:szCs w:val="21"/>
                <w:highlight w:val="none"/>
              </w:rPr>
              <w:t>m</w:t>
            </w:r>
            <w:r>
              <w:rPr>
                <w:color w:val="auto"/>
                <w:szCs w:val="21"/>
                <w:highlight w:val="none"/>
                <w:vertAlign w:val="superscript"/>
              </w:rPr>
              <w:t>3</w:t>
            </w:r>
          </w:p>
        </w:tc>
        <w:tc>
          <w:tcPr>
            <w:tcW w:w="1916" w:type="dxa"/>
            <w:vAlign w:val="center"/>
          </w:tcPr>
          <w:p>
            <w:pPr>
              <w:jc w:val="center"/>
              <w:rPr>
                <w:color w:val="auto"/>
                <w:szCs w:val="21"/>
                <w:highlight w:val="none"/>
              </w:rPr>
            </w:pPr>
            <w:r>
              <w:rPr>
                <w:color w:val="auto"/>
                <w:kern w:val="0"/>
                <w:szCs w:val="21"/>
                <w:highlight w:val="none"/>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vMerge w:val="continue"/>
            <w:tcMar>
              <w:left w:w="17" w:type="dxa"/>
              <w:right w:w="17" w:type="dxa"/>
            </w:tcMar>
            <w:vAlign w:val="center"/>
          </w:tcPr>
          <w:p>
            <w:pPr>
              <w:jc w:val="center"/>
              <w:rPr>
                <w:color w:val="auto"/>
                <w:szCs w:val="21"/>
                <w:highlight w:val="none"/>
              </w:rPr>
            </w:pPr>
          </w:p>
        </w:tc>
        <w:tc>
          <w:tcPr>
            <w:tcW w:w="1542" w:type="dxa"/>
            <w:tcMar>
              <w:left w:w="17" w:type="dxa"/>
              <w:right w:w="17" w:type="dxa"/>
            </w:tcMar>
            <w:vAlign w:val="center"/>
          </w:tcPr>
          <w:p>
            <w:pPr>
              <w:jc w:val="center"/>
              <w:rPr>
                <w:rFonts w:hint="default" w:eastAsia="宋体"/>
                <w:color w:val="auto"/>
                <w:szCs w:val="21"/>
                <w:highlight w:val="none"/>
                <w:lang w:val="en-US" w:eastAsia="zh-CN"/>
              </w:rPr>
            </w:pPr>
            <w:r>
              <w:rPr>
                <w:color w:val="auto"/>
                <w:szCs w:val="21"/>
                <w:highlight w:val="none"/>
              </w:rPr>
              <w:t>生活废水</w:t>
            </w:r>
            <w:r>
              <w:rPr>
                <w:rFonts w:hint="eastAsia"/>
                <w:color w:val="auto"/>
                <w:szCs w:val="21"/>
                <w:highlight w:val="none"/>
                <w:lang w:eastAsia="zh-CN"/>
              </w:rPr>
              <w:t>、</w:t>
            </w:r>
            <w:r>
              <w:rPr>
                <w:rFonts w:hint="eastAsia"/>
                <w:color w:val="auto"/>
                <w:szCs w:val="21"/>
                <w:highlight w:val="none"/>
                <w:lang w:val="en-US" w:eastAsia="zh-CN"/>
              </w:rPr>
              <w:t>地面清洗废水</w:t>
            </w:r>
          </w:p>
        </w:tc>
        <w:tc>
          <w:tcPr>
            <w:tcW w:w="2241" w:type="dxa"/>
            <w:tcMar>
              <w:left w:w="17" w:type="dxa"/>
              <w:right w:w="17" w:type="dxa"/>
            </w:tcMar>
            <w:vAlign w:val="center"/>
          </w:tcPr>
          <w:p>
            <w:pPr>
              <w:jc w:val="center"/>
              <w:rPr>
                <w:color w:val="auto"/>
                <w:szCs w:val="21"/>
                <w:highlight w:val="none"/>
              </w:rPr>
            </w:pPr>
            <w:r>
              <w:rPr>
                <w:color w:val="auto"/>
                <w:szCs w:val="21"/>
                <w:highlight w:val="none"/>
              </w:rPr>
              <w:t>化粪池</w:t>
            </w:r>
          </w:p>
        </w:tc>
        <w:tc>
          <w:tcPr>
            <w:tcW w:w="915" w:type="dxa"/>
            <w:vAlign w:val="center"/>
          </w:tcPr>
          <w:p>
            <w:pPr>
              <w:jc w:val="center"/>
              <w:rPr>
                <w:color w:val="auto"/>
                <w:szCs w:val="21"/>
                <w:highlight w:val="none"/>
              </w:rPr>
            </w:pPr>
            <w:r>
              <w:rPr>
                <w:color w:val="auto"/>
                <w:szCs w:val="21"/>
                <w:highlight w:val="none"/>
              </w:rPr>
              <w:t>1</w:t>
            </w:r>
          </w:p>
        </w:tc>
        <w:tc>
          <w:tcPr>
            <w:tcW w:w="1287" w:type="dxa"/>
            <w:vAlign w:val="center"/>
          </w:tcPr>
          <w:p>
            <w:pPr>
              <w:jc w:val="center"/>
              <w:rPr>
                <w:color w:val="auto"/>
                <w:szCs w:val="21"/>
                <w:highlight w:val="none"/>
              </w:rPr>
            </w:pPr>
            <w:r>
              <w:rPr>
                <w:color w:val="auto"/>
                <w:szCs w:val="21"/>
                <w:highlight w:val="none"/>
              </w:rPr>
              <w:t>容积</w:t>
            </w:r>
            <w:r>
              <w:rPr>
                <w:rFonts w:hint="eastAsia"/>
                <w:color w:val="auto"/>
                <w:szCs w:val="21"/>
                <w:highlight w:val="none"/>
                <w:lang w:val="en-US" w:eastAsia="zh-CN"/>
              </w:rPr>
              <w:t>27</w:t>
            </w:r>
            <w:r>
              <w:rPr>
                <w:color w:val="auto"/>
                <w:szCs w:val="21"/>
                <w:highlight w:val="none"/>
              </w:rPr>
              <w:t>m</w:t>
            </w:r>
            <w:r>
              <w:rPr>
                <w:color w:val="auto"/>
                <w:szCs w:val="21"/>
                <w:highlight w:val="none"/>
                <w:vertAlign w:val="superscript"/>
              </w:rPr>
              <w:t>3</w:t>
            </w:r>
          </w:p>
        </w:tc>
        <w:tc>
          <w:tcPr>
            <w:tcW w:w="1916" w:type="dxa"/>
            <w:vAlign w:val="center"/>
          </w:tcPr>
          <w:p>
            <w:pPr>
              <w:jc w:val="center"/>
              <w:rPr>
                <w:color w:val="auto"/>
                <w:kern w:val="0"/>
                <w:szCs w:val="21"/>
                <w:highlight w:val="none"/>
              </w:rPr>
            </w:pPr>
            <w:r>
              <w:rPr>
                <w:rFonts w:hint="eastAsia"/>
                <w:color w:val="auto"/>
                <w:szCs w:val="21"/>
                <w:highlight w:val="none"/>
                <w:lang w:val="en-US" w:eastAsia="zh-CN"/>
              </w:rPr>
              <w:t>排入化粪池处理后由建设单位定期清运至寻甸县水质净化厂</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tcMar>
              <w:left w:w="17" w:type="dxa"/>
              <w:right w:w="17" w:type="dxa"/>
            </w:tcMar>
            <w:vAlign w:val="center"/>
          </w:tcPr>
          <w:p>
            <w:pPr>
              <w:jc w:val="center"/>
              <w:rPr>
                <w:color w:val="auto"/>
                <w:szCs w:val="21"/>
                <w:highlight w:val="none"/>
              </w:rPr>
            </w:pPr>
            <w:r>
              <w:rPr>
                <w:color w:val="auto"/>
                <w:szCs w:val="21"/>
                <w:highlight w:val="none"/>
              </w:rPr>
              <w:t>噪声</w:t>
            </w:r>
          </w:p>
        </w:tc>
        <w:tc>
          <w:tcPr>
            <w:tcW w:w="1542" w:type="dxa"/>
            <w:tcMar>
              <w:left w:w="17" w:type="dxa"/>
              <w:right w:w="17" w:type="dxa"/>
            </w:tcMar>
            <w:vAlign w:val="center"/>
          </w:tcPr>
          <w:p>
            <w:pPr>
              <w:jc w:val="center"/>
              <w:rPr>
                <w:color w:val="auto"/>
                <w:szCs w:val="21"/>
                <w:highlight w:val="none"/>
              </w:rPr>
            </w:pPr>
            <w:r>
              <w:rPr>
                <w:rFonts w:hint="eastAsia"/>
                <w:color w:val="auto"/>
                <w:szCs w:val="21"/>
                <w:highlight w:val="none"/>
              </w:rPr>
              <w:t>设备噪声</w:t>
            </w:r>
          </w:p>
        </w:tc>
        <w:tc>
          <w:tcPr>
            <w:tcW w:w="2241" w:type="dxa"/>
            <w:tcMar>
              <w:left w:w="17" w:type="dxa"/>
              <w:right w:w="17" w:type="dxa"/>
            </w:tcMar>
            <w:vAlign w:val="center"/>
          </w:tcPr>
          <w:p>
            <w:pPr>
              <w:jc w:val="center"/>
              <w:rPr>
                <w:color w:val="auto"/>
                <w:szCs w:val="21"/>
                <w:highlight w:val="none"/>
              </w:rPr>
            </w:pPr>
            <w:r>
              <w:rPr>
                <w:color w:val="auto"/>
                <w:szCs w:val="21"/>
                <w:highlight w:val="none"/>
              </w:rPr>
              <w:t>选用低噪声设备、优化布局、基础减振、封闭厂房隔声、设备隔声罩、消声器、进出口软连接</w:t>
            </w:r>
          </w:p>
        </w:tc>
        <w:tc>
          <w:tcPr>
            <w:tcW w:w="915" w:type="dxa"/>
            <w:vAlign w:val="center"/>
          </w:tcPr>
          <w:p>
            <w:pPr>
              <w:jc w:val="center"/>
              <w:rPr>
                <w:color w:val="auto"/>
                <w:szCs w:val="21"/>
                <w:highlight w:val="none"/>
              </w:rPr>
            </w:pPr>
            <w:r>
              <w:rPr>
                <w:color w:val="auto"/>
                <w:szCs w:val="21"/>
                <w:highlight w:val="none"/>
              </w:rPr>
              <w:t>/</w:t>
            </w:r>
          </w:p>
        </w:tc>
        <w:tc>
          <w:tcPr>
            <w:tcW w:w="1287" w:type="dxa"/>
            <w:vAlign w:val="center"/>
          </w:tcPr>
          <w:p>
            <w:pPr>
              <w:jc w:val="center"/>
              <w:rPr>
                <w:color w:val="auto"/>
                <w:szCs w:val="21"/>
                <w:highlight w:val="none"/>
              </w:rPr>
            </w:pPr>
            <w:r>
              <w:rPr>
                <w:color w:val="auto"/>
                <w:szCs w:val="21"/>
                <w:highlight w:val="none"/>
              </w:rPr>
              <w:t>/</w:t>
            </w:r>
          </w:p>
        </w:tc>
        <w:tc>
          <w:tcPr>
            <w:tcW w:w="1916" w:type="dxa"/>
            <w:vAlign w:val="center"/>
          </w:tcPr>
          <w:p>
            <w:pPr>
              <w:jc w:val="center"/>
              <w:rPr>
                <w:color w:val="auto"/>
                <w:szCs w:val="21"/>
                <w:highlight w:val="none"/>
              </w:rPr>
            </w:pPr>
            <w:r>
              <w:rPr>
                <w:color w:val="auto"/>
                <w:szCs w:val="21"/>
                <w:highlight w:val="none"/>
              </w:rPr>
              <w:t>《工业企业厂界环境噪声排放标</w:t>
            </w:r>
          </w:p>
          <w:p>
            <w:pPr>
              <w:jc w:val="center"/>
              <w:rPr>
                <w:color w:val="auto"/>
                <w:szCs w:val="21"/>
                <w:highlight w:val="none"/>
              </w:rPr>
            </w:pPr>
            <w:r>
              <w:rPr>
                <w:color w:val="auto"/>
                <w:szCs w:val="21"/>
                <w:highlight w:val="none"/>
              </w:rPr>
              <w:t>准》（GB12348-2008）中</w:t>
            </w:r>
            <w:r>
              <w:rPr>
                <w:rFonts w:hint="eastAsia"/>
                <w:color w:val="auto"/>
                <w:szCs w:val="21"/>
                <w:highlight w:val="none"/>
                <w:lang w:val="en-US" w:eastAsia="zh-CN"/>
              </w:rPr>
              <w:t>2类和4</w:t>
            </w:r>
            <w:r>
              <w:rPr>
                <w:color w:val="auto"/>
                <w:szCs w:val="21"/>
                <w:highlight w:val="none"/>
              </w:rPr>
              <w:t>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vMerge w:val="restart"/>
            <w:tcMar>
              <w:left w:w="17" w:type="dxa"/>
              <w:right w:w="17" w:type="dxa"/>
            </w:tcMar>
            <w:vAlign w:val="center"/>
          </w:tcPr>
          <w:p>
            <w:pPr>
              <w:jc w:val="center"/>
              <w:rPr>
                <w:color w:val="auto"/>
                <w:szCs w:val="21"/>
                <w:highlight w:val="none"/>
              </w:rPr>
            </w:pPr>
            <w:r>
              <w:rPr>
                <w:color w:val="auto"/>
                <w:szCs w:val="21"/>
                <w:highlight w:val="none"/>
              </w:rPr>
              <w:t>固废</w:t>
            </w:r>
          </w:p>
        </w:tc>
        <w:tc>
          <w:tcPr>
            <w:tcW w:w="1542" w:type="dxa"/>
            <w:tcMar>
              <w:left w:w="17" w:type="dxa"/>
              <w:right w:w="17" w:type="dxa"/>
            </w:tcMar>
            <w:vAlign w:val="center"/>
          </w:tcPr>
          <w:p>
            <w:pPr>
              <w:jc w:val="center"/>
              <w:rPr>
                <w:color w:val="auto"/>
                <w:szCs w:val="21"/>
                <w:highlight w:val="none"/>
              </w:rPr>
            </w:pPr>
            <w:r>
              <w:rPr>
                <w:color w:val="auto"/>
                <w:szCs w:val="21"/>
                <w:highlight w:val="none"/>
              </w:rPr>
              <w:t>一般固废</w:t>
            </w:r>
          </w:p>
        </w:tc>
        <w:tc>
          <w:tcPr>
            <w:tcW w:w="2241" w:type="dxa"/>
            <w:tcMar>
              <w:left w:w="17" w:type="dxa"/>
              <w:right w:w="17" w:type="dxa"/>
            </w:tcMar>
            <w:vAlign w:val="center"/>
          </w:tcPr>
          <w:p>
            <w:pPr>
              <w:jc w:val="center"/>
              <w:rPr>
                <w:color w:val="auto"/>
                <w:szCs w:val="21"/>
                <w:highlight w:val="none"/>
              </w:rPr>
            </w:pPr>
            <w:r>
              <w:rPr>
                <w:color w:val="auto"/>
                <w:szCs w:val="21"/>
                <w:highlight w:val="none"/>
              </w:rPr>
              <w:t>一般固废临时收集场所</w:t>
            </w:r>
          </w:p>
        </w:tc>
        <w:tc>
          <w:tcPr>
            <w:tcW w:w="915" w:type="dxa"/>
            <w:vAlign w:val="center"/>
          </w:tcPr>
          <w:p>
            <w:pPr>
              <w:jc w:val="center"/>
              <w:rPr>
                <w:color w:val="auto"/>
                <w:szCs w:val="21"/>
                <w:highlight w:val="none"/>
              </w:rPr>
            </w:pPr>
            <w:r>
              <w:rPr>
                <w:color w:val="auto"/>
                <w:szCs w:val="21"/>
                <w:highlight w:val="none"/>
              </w:rPr>
              <w:t>1</w:t>
            </w:r>
          </w:p>
        </w:tc>
        <w:tc>
          <w:tcPr>
            <w:tcW w:w="1287" w:type="dxa"/>
            <w:vAlign w:val="center"/>
          </w:tcPr>
          <w:p>
            <w:pPr>
              <w:jc w:val="center"/>
              <w:rPr>
                <w:color w:val="auto"/>
                <w:szCs w:val="21"/>
                <w:highlight w:val="none"/>
              </w:rPr>
            </w:pPr>
            <w:r>
              <w:rPr>
                <w:color w:val="auto"/>
                <w:szCs w:val="21"/>
                <w:highlight w:val="none"/>
              </w:rPr>
              <w:t>10m</w:t>
            </w:r>
            <w:r>
              <w:rPr>
                <w:color w:val="auto"/>
                <w:szCs w:val="21"/>
                <w:highlight w:val="none"/>
                <w:vertAlign w:val="superscript"/>
              </w:rPr>
              <w:t>2</w:t>
            </w:r>
          </w:p>
        </w:tc>
        <w:tc>
          <w:tcPr>
            <w:tcW w:w="1916" w:type="dxa"/>
            <w:vAlign w:val="center"/>
          </w:tcPr>
          <w:p>
            <w:pPr>
              <w:jc w:val="center"/>
              <w:rPr>
                <w:color w:val="auto"/>
                <w:szCs w:val="21"/>
                <w:highlight w:val="none"/>
              </w:rPr>
            </w:pPr>
            <w:r>
              <w:rPr>
                <w:color w:val="auto"/>
                <w:szCs w:val="21"/>
                <w:highlight w:val="none"/>
              </w:rPr>
              <w:t>《一般工业固体废物贮存和填埋污染控制标准》（GB 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552" w:type="dxa"/>
            <w:vMerge w:val="continue"/>
            <w:tcMar>
              <w:left w:w="17" w:type="dxa"/>
              <w:right w:w="17" w:type="dxa"/>
            </w:tcMar>
            <w:vAlign w:val="center"/>
          </w:tcPr>
          <w:p>
            <w:pPr>
              <w:jc w:val="center"/>
              <w:rPr>
                <w:color w:val="auto"/>
                <w:szCs w:val="21"/>
                <w:highlight w:val="none"/>
              </w:rPr>
            </w:pPr>
          </w:p>
        </w:tc>
        <w:tc>
          <w:tcPr>
            <w:tcW w:w="1542" w:type="dxa"/>
            <w:tcMar>
              <w:left w:w="17" w:type="dxa"/>
              <w:right w:w="17" w:type="dxa"/>
            </w:tcMar>
            <w:vAlign w:val="center"/>
          </w:tcPr>
          <w:p>
            <w:pPr>
              <w:jc w:val="center"/>
              <w:rPr>
                <w:color w:val="auto"/>
                <w:szCs w:val="21"/>
                <w:highlight w:val="none"/>
              </w:rPr>
            </w:pPr>
            <w:r>
              <w:rPr>
                <w:color w:val="auto"/>
                <w:szCs w:val="21"/>
                <w:highlight w:val="none"/>
              </w:rPr>
              <w:t>危险废物</w:t>
            </w:r>
          </w:p>
        </w:tc>
        <w:tc>
          <w:tcPr>
            <w:tcW w:w="2241" w:type="dxa"/>
            <w:tcMar>
              <w:left w:w="17" w:type="dxa"/>
              <w:right w:w="17" w:type="dxa"/>
            </w:tcMar>
            <w:vAlign w:val="center"/>
          </w:tcPr>
          <w:p>
            <w:pPr>
              <w:jc w:val="center"/>
              <w:rPr>
                <w:color w:val="auto"/>
                <w:szCs w:val="21"/>
                <w:highlight w:val="none"/>
              </w:rPr>
            </w:pPr>
            <w:r>
              <w:rPr>
                <w:rFonts w:hint="eastAsia"/>
                <w:color w:val="auto"/>
                <w:szCs w:val="21"/>
                <w:highlight w:val="none"/>
              </w:rPr>
              <w:t>危废暂存间</w:t>
            </w:r>
          </w:p>
        </w:tc>
        <w:tc>
          <w:tcPr>
            <w:tcW w:w="915" w:type="dxa"/>
            <w:vAlign w:val="center"/>
          </w:tcPr>
          <w:p>
            <w:pPr>
              <w:jc w:val="center"/>
              <w:rPr>
                <w:color w:val="auto"/>
                <w:szCs w:val="21"/>
                <w:highlight w:val="none"/>
              </w:rPr>
            </w:pPr>
            <w:r>
              <w:rPr>
                <w:color w:val="auto"/>
                <w:szCs w:val="21"/>
                <w:highlight w:val="none"/>
              </w:rPr>
              <w:t>1</w:t>
            </w:r>
          </w:p>
        </w:tc>
        <w:tc>
          <w:tcPr>
            <w:tcW w:w="1287" w:type="dxa"/>
            <w:vAlign w:val="center"/>
          </w:tcPr>
          <w:p>
            <w:pPr>
              <w:jc w:val="center"/>
              <w:rPr>
                <w:color w:val="auto"/>
                <w:szCs w:val="21"/>
                <w:highlight w:val="none"/>
              </w:rPr>
            </w:pPr>
            <w:r>
              <w:rPr>
                <w:rFonts w:hint="eastAsia"/>
                <w:color w:val="auto"/>
                <w:szCs w:val="21"/>
                <w:highlight w:val="none"/>
                <w:lang w:val="en-US" w:eastAsia="zh-CN"/>
              </w:rPr>
              <w:t>5</w:t>
            </w:r>
            <w:r>
              <w:rPr>
                <w:color w:val="auto"/>
                <w:szCs w:val="21"/>
                <w:highlight w:val="none"/>
              </w:rPr>
              <w:t>m</w:t>
            </w:r>
            <w:r>
              <w:rPr>
                <w:color w:val="auto"/>
                <w:szCs w:val="21"/>
                <w:highlight w:val="none"/>
                <w:vertAlign w:val="superscript"/>
              </w:rPr>
              <w:t>2</w:t>
            </w:r>
          </w:p>
        </w:tc>
        <w:tc>
          <w:tcPr>
            <w:tcW w:w="1916" w:type="dxa"/>
            <w:vAlign w:val="center"/>
          </w:tcPr>
          <w:p>
            <w:pPr>
              <w:jc w:val="center"/>
              <w:rPr>
                <w:color w:val="auto"/>
                <w:szCs w:val="21"/>
                <w:highlight w:val="none"/>
              </w:rPr>
            </w:pPr>
            <w:r>
              <w:rPr>
                <w:color w:val="auto"/>
                <w:szCs w:val="21"/>
                <w:highlight w:val="none"/>
              </w:rPr>
              <w:t>《危险废物贮存污染控制标准》（GB18597-20</w:t>
            </w:r>
            <w:r>
              <w:rPr>
                <w:rFonts w:hint="eastAsia"/>
                <w:color w:val="auto"/>
                <w:szCs w:val="21"/>
                <w:highlight w:val="none"/>
                <w:lang w:val="en-US" w:eastAsia="zh-CN"/>
              </w:rPr>
              <w:t>23</w:t>
            </w:r>
            <w:r>
              <w:rPr>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vMerge w:val="continue"/>
            <w:tcMar>
              <w:left w:w="17" w:type="dxa"/>
              <w:right w:w="17" w:type="dxa"/>
            </w:tcMar>
            <w:vAlign w:val="center"/>
          </w:tcPr>
          <w:p>
            <w:pPr>
              <w:jc w:val="center"/>
              <w:rPr>
                <w:color w:val="auto"/>
                <w:szCs w:val="21"/>
                <w:highlight w:val="none"/>
              </w:rPr>
            </w:pPr>
          </w:p>
        </w:tc>
        <w:tc>
          <w:tcPr>
            <w:tcW w:w="1542" w:type="dxa"/>
            <w:tcMar>
              <w:left w:w="17" w:type="dxa"/>
              <w:right w:w="17" w:type="dxa"/>
            </w:tcMar>
            <w:vAlign w:val="center"/>
          </w:tcPr>
          <w:p>
            <w:pPr>
              <w:jc w:val="center"/>
              <w:rPr>
                <w:color w:val="auto"/>
                <w:szCs w:val="21"/>
                <w:highlight w:val="none"/>
              </w:rPr>
            </w:pPr>
            <w:r>
              <w:rPr>
                <w:color w:val="auto"/>
                <w:szCs w:val="21"/>
                <w:highlight w:val="none"/>
              </w:rPr>
              <w:t>生活垃圾</w:t>
            </w:r>
          </w:p>
        </w:tc>
        <w:tc>
          <w:tcPr>
            <w:tcW w:w="2241" w:type="dxa"/>
            <w:tcMar>
              <w:left w:w="17" w:type="dxa"/>
              <w:right w:w="17" w:type="dxa"/>
            </w:tcMar>
            <w:vAlign w:val="center"/>
          </w:tcPr>
          <w:p>
            <w:pPr>
              <w:jc w:val="center"/>
              <w:rPr>
                <w:color w:val="auto"/>
                <w:szCs w:val="21"/>
                <w:highlight w:val="none"/>
              </w:rPr>
            </w:pPr>
            <w:r>
              <w:rPr>
                <w:color w:val="auto"/>
                <w:szCs w:val="21"/>
                <w:highlight w:val="none"/>
              </w:rPr>
              <w:t>生活垃圾收集桶</w:t>
            </w:r>
          </w:p>
        </w:tc>
        <w:tc>
          <w:tcPr>
            <w:tcW w:w="915" w:type="dxa"/>
            <w:vAlign w:val="center"/>
          </w:tcPr>
          <w:p>
            <w:pPr>
              <w:jc w:val="center"/>
              <w:rPr>
                <w:color w:val="auto"/>
                <w:szCs w:val="21"/>
                <w:highlight w:val="none"/>
              </w:rPr>
            </w:pPr>
            <w:r>
              <w:rPr>
                <w:color w:val="auto"/>
                <w:szCs w:val="21"/>
                <w:highlight w:val="none"/>
              </w:rPr>
              <w:t>若干</w:t>
            </w:r>
          </w:p>
        </w:tc>
        <w:tc>
          <w:tcPr>
            <w:tcW w:w="1287" w:type="dxa"/>
            <w:vAlign w:val="center"/>
          </w:tcPr>
          <w:p>
            <w:pPr>
              <w:jc w:val="center"/>
              <w:rPr>
                <w:color w:val="auto"/>
                <w:szCs w:val="21"/>
                <w:highlight w:val="none"/>
              </w:rPr>
            </w:pPr>
            <w:r>
              <w:rPr>
                <w:color w:val="auto"/>
                <w:szCs w:val="21"/>
                <w:highlight w:val="none"/>
              </w:rPr>
              <w:t>/</w:t>
            </w:r>
          </w:p>
        </w:tc>
        <w:tc>
          <w:tcPr>
            <w:tcW w:w="1916" w:type="dxa"/>
            <w:vAlign w:val="center"/>
          </w:tcPr>
          <w:p>
            <w:pPr>
              <w:jc w:val="center"/>
              <w:rPr>
                <w:color w:val="auto"/>
                <w:szCs w:val="21"/>
                <w:highlight w:val="none"/>
              </w:rPr>
            </w:pPr>
            <w:r>
              <w:rPr>
                <w:color w:val="auto"/>
                <w:szCs w:val="21"/>
                <w:highlight w:val="none"/>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2" w:type="dxa"/>
            <w:tcMar>
              <w:left w:w="17" w:type="dxa"/>
              <w:right w:w="17" w:type="dxa"/>
            </w:tcMar>
            <w:vAlign w:val="center"/>
          </w:tcPr>
          <w:p>
            <w:pPr>
              <w:jc w:val="center"/>
              <w:rPr>
                <w:color w:val="auto"/>
                <w:szCs w:val="21"/>
                <w:highlight w:val="none"/>
              </w:rPr>
            </w:pPr>
            <w:r>
              <w:rPr>
                <w:color w:val="auto"/>
                <w:szCs w:val="21"/>
                <w:highlight w:val="none"/>
              </w:rPr>
              <w:t>地下水</w:t>
            </w:r>
          </w:p>
        </w:tc>
        <w:tc>
          <w:tcPr>
            <w:tcW w:w="1542" w:type="dxa"/>
            <w:tcMar>
              <w:left w:w="17" w:type="dxa"/>
              <w:right w:w="17" w:type="dxa"/>
            </w:tcMar>
            <w:vAlign w:val="center"/>
          </w:tcPr>
          <w:p>
            <w:pPr>
              <w:jc w:val="center"/>
              <w:rPr>
                <w:color w:val="auto"/>
                <w:szCs w:val="21"/>
                <w:highlight w:val="none"/>
              </w:rPr>
            </w:pPr>
            <w:r>
              <w:rPr>
                <w:color w:val="auto"/>
                <w:szCs w:val="21"/>
                <w:highlight w:val="none"/>
              </w:rPr>
              <w:t>危废暂存间</w:t>
            </w:r>
          </w:p>
        </w:tc>
        <w:tc>
          <w:tcPr>
            <w:tcW w:w="2241" w:type="dxa"/>
            <w:tcMar>
              <w:left w:w="17" w:type="dxa"/>
              <w:right w:w="17" w:type="dxa"/>
            </w:tcMar>
            <w:vAlign w:val="center"/>
          </w:tcPr>
          <w:p>
            <w:pPr>
              <w:jc w:val="center"/>
              <w:rPr>
                <w:color w:val="auto"/>
                <w:szCs w:val="21"/>
                <w:highlight w:val="none"/>
              </w:rPr>
            </w:pPr>
            <w:r>
              <w:rPr>
                <w:color w:val="auto"/>
                <w:szCs w:val="21"/>
                <w:highlight w:val="none"/>
              </w:rPr>
              <w:t>重点防渗区</w:t>
            </w:r>
            <w:r>
              <w:rPr>
                <w:rFonts w:hint="eastAsia"/>
                <w:color w:val="auto"/>
                <w:szCs w:val="21"/>
                <w:highlight w:val="none"/>
              </w:rPr>
              <w:t>：</w:t>
            </w:r>
            <w:r>
              <w:rPr>
                <w:rFonts w:hint="eastAsia"/>
                <w:color w:val="auto"/>
                <w:szCs w:val="21"/>
                <w:highlight w:val="none"/>
                <w:lang w:val="en-US" w:eastAsia="zh-CN"/>
              </w:rPr>
              <w:t>在现有水泥硬化基础上新增</w:t>
            </w:r>
            <w:r>
              <w:rPr>
                <w:color w:val="auto"/>
                <w:szCs w:val="21"/>
                <w:highlight w:val="none"/>
              </w:rPr>
              <w:t>2.0mmHDPE膜进行防渗</w:t>
            </w:r>
          </w:p>
        </w:tc>
        <w:tc>
          <w:tcPr>
            <w:tcW w:w="915" w:type="dxa"/>
            <w:vAlign w:val="center"/>
          </w:tcPr>
          <w:p>
            <w:pPr>
              <w:jc w:val="center"/>
              <w:rPr>
                <w:color w:val="auto"/>
                <w:szCs w:val="21"/>
                <w:highlight w:val="none"/>
              </w:rPr>
            </w:pPr>
            <w:r>
              <w:rPr>
                <w:color w:val="auto"/>
                <w:szCs w:val="21"/>
                <w:highlight w:val="none"/>
              </w:rPr>
              <w:t>/</w:t>
            </w:r>
          </w:p>
        </w:tc>
        <w:tc>
          <w:tcPr>
            <w:tcW w:w="1287" w:type="dxa"/>
            <w:vAlign w:val="center"/>
          </w:tcPr>
          <w:p>
            <w:pPr>
              <w:jc w:val="center"/>
              <w:rPr>
                <w:color w:val="auto"/>
                <w:szCs w:val="21"/>
                <w:highlight w:val="none"/>
              </w:rPr>
            </w:pPr>
            <w:r>
              <w:rPr>
                <w:color w:val="auto"/>
                <w:szCs w:val="21"/>
                <w:highlight w:val="none"/>
              </w:rPr>
              <w:t>/</w:t>
            </w:r>
          </w:p>
        </w:tc>
        <w:tc>
          <w:tcPr>
            <w:tcW w:w="1916" w:type="dxa"/>
            <w:vAlign w:val="center"/>
          </w:tcPr>
          <w:p>
            <w:pPr>
              <w:jc w:val="center"/>
              <w:rPr>
                <w:color w:val="auto"/>
                <w:szCs w:val="21"/>
                <w:highlight w:val="none"/>
              </w:rPr>
            </w:pPr>
            <w:r>
              <w:rPr>
                <w:color w:val="auto"/>
                <w:szCs w:val="21"/>
                <w:highlight w:val="none"/>
              </w:rPr>
              <w:t>达到渗透系数≤1×10</w:t>
            </w:r>
            <w:r>
              <w:rPr>
                <w:color w:val="auto"/>
                <w:szCs w:val="21"/>
                <w:highlight w:val="none"/>
                <w:vertAlign w:val="superscript"/>
              </w:rPr>
              <w:t>-10</w:t>
            </w:r>
            <w:r>
              <w:rPr>
                <w:color w:val="auto"/>
                <w:szCs w:val="21"/>
                <w:highlight w:val="none"/>
              </w:rPr>
              <w:t>cm/s的防渗性能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094" w:type="dxa"/>
            <w:gridSpan w:val="2"/>
            <w:tcMar>
              <w:left w:w="17" w:type="dxa"/>
              <w:right w:w="17" w:type="dxa"/>
            </w:tcMar>
            <w:vAlign w:val="center"/>
          </w:tcPr>
          <w:p>
            <w:pPr>
              <w:jc w:val="center"/>
              <w:rPr>
                <w:color w:val="auto"/>
                <w:szCs w:val="21"/>
                <w:highlight w:val="none"/>
              </w:rPr>
            </w:pPr>
            <w:r>
              <w:rPr>
                <w:color w:val="auto"/>
                <w:szCs w:val="21"/>
                <w:highlight w:val="none"/>
              </w:rPr>
              <w:t>排污口规范化设置</w:t>
            </w:r>
          </w:p>
        </w:tc>
        <w:tc>
          <w:tcPr>
            <w:tcW w:w="2241" w:type="dxa"/>
            <w:tcMar>
              <w:left w:w="17" w:type="dxa"/>
              <w:right w:w="17" w:type="dxa"/>
            </w:tcMar>
            <w:vAlign w:val="center"/>
          </w:tcPr>
          <w:p>
            <w:pPr>
              <w:jc w:val="center"/>
              <w:rPr>
                <w:color w:val="auto"/>
                <w:szCs w:val="21"/>
                <w:highlight w:val="none"/>
              </w:rPr>
            </w:pPr>
            <w:r>
              <w:rPr>
                <w:color w:val="auto"/>
                <w:szCs w:val="21"/>
                <w:highlight w:val="none"/>
              </w:rPr>
              <w:t>废气采样口，排放源标志牌等</w:t>
            </w:r>
          </w:p>
        </w:tc>
        <w:tc>
          <w:tcPr>
            <w:tcW w:w="915" w:type="dxa"/>
            <w:vAlign w:val="center"/>
          </w:tcPr>
          <w:p>
            <w:pPr>
              <w:jc w:val="center"/>
              <w:rPr>
                <w:color w:val="auto"/>
                <w:szCs w:val="21"/>
                <w:highlight w:val="none"/>
              </w:rPr>
            </w:pPr>
            <w:r>
              <w:rPr>
                <w:color w:val="auto"/>
                <w:szCs w:val="21"/>
                <w:highlight w:val="none"/>
              </w:rPr>
              <w:t>/</w:t>
            </w:r>
          </w:p>
        </w:tc>
        <w:tc>
          <w:tcPr>
            <w:tcW w:w="1287" w:type="dxa"/>
            <w:vAlign w:val="center"/>
          </w:tcPr>
          <w:p>
            <w:pPr>
              <w:jc w:val="center"/>
              <w:rPr>
                <w:color w:val="auto"/>
                <w:szCs w:val="21"/>
                <w:highlight w:val="none"/>
              </w:rPr>
            </w:pPr>
            <w:r>
              <w:rPr>
                <w:color w:val="auto"/>
                <w:szCs w:val="21"/>
                <w:highlight w:val="none"/>
              </w:rPr>
              <w:t>/</w:t>
            </w:r>
          </w:p>
        </w:tc>
        <w:tc>
          <w:tcPr>
            <w:tcW w:w="1916" w:type="dxa"/>
            <w:vAlign w:val="center"/>
          </w:tcPr>
          <w:p>
            <w:pPr>
              <w:jc w:val="center"/>
              <w:rPr>
                <w:color w:val="auto"/>
                <w:szCs w:val="21"/>
                <w:highlight w:val="none"/>
              </w:rPr>
            </w:pPr>
            <w:r>
              <w:rPr>
                <w:color w:val="auto"/>
                <w:szCs w:val="21"/>
                <w:highlight w:val="none"/>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94" w:type="dxa"/>
            <w:gridSpan w:val="2"/>
            <w:vMerge w:val="restart"/>
            <w:tcMar>
              <w:left w:w="17" w:type="dxa"/>
              <w:right w:w="17" w:type="dxa"/>
            </w:tcMar>
            <w:vAlign w:val="center"/>
          </w:tcPr>
          <w:p>
            <w:pPr>
              <w:jc w:val="center"/>
              <w:rPr>
                <w:color w:val="auto"/>
                <w:szCs w:val="21"/>
                <w:highlight w:val="none"/>
              </w:rPr>
            </w:pPr>
            <w:r>
              <w:rPr>
                <w:color w:val="auto"/>
                <w:szCs w:val="21"/>
                <w:highlight w:val="none"/>
              </w:rPr>
              <w:t>环境管理</w:t>
            </w:r>
          </w:p>
        </w:tc>
        <w:tc>
          <w:tcPr>
            <w:tcW w:w="6359" w:type="dxa"/>
            <w:gridSpan w:val="4"/>
            <w:tcMar>
              <w:left w:w="17" w:type="dxa"/>
              <w:right w:w="17" w:type="dxa"/>
            </w:tcMar>
            <w:vAlign w:val="center"/>
          </w:tcPr>
          <w:p>
            <w:pPr>
              <w:jc w:val="center"/>
              <w:rPr>
                <w:color w:val="auto"/>
                <w:szCs w:val="21"/>
                <w:highlight w:val="none"/>
              </w:rPr>
            </w:pPr>
            <w:r>
              <w:rPr>
                <w:color w:val="auto"/>
                <w:szCs w:val="21"/>
                <w:highlight w:val="none"/>
              </w:rPr>
              <w:t>建立健全环保档案，为保护和改善区域环境质量作好组织和监督工作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094" w:type="dxa"/>
            <w:gridSpan w:val="2"/>
            <w:vMerge w:val="continue"/>
            <w:tcMar>
              <w:left w:w="17" w:type="dxa"/>
              <w:right w:w="17" w:type="dxa"/>
            </w:tcMar>
            <w:vAlign w:val="center"/>
          </w:tcPr>
          <w:p>
            <w:pPr>
              <w:jc w:val="center"/>
              <w:rPr>
                <w:color w:val="auto"/>
                <w:szCs w:val="21"/>
                <w:highlight w:val="none"/>
              </w:rPr>
            </w:pPr>
          </w:p>
        </w:tc>
        <w:tc>
          <w:tcPr>
            <w:tcW w:w="6359" w:type="dxa"/>
            <w:gridSpan w:val="4"/>
            <w:tcMar>
              <w:left w:w="17" w:type="dxa"/>
              <w:right w:w="17" w:type="dxa"/>
            </w:tcMar>
            <w:vAlign w:val="center"/>
          </w:tcPr>
          <w:p>
            <w:pPr>
              <w:jc w:val="center"/>
              <w:rPr>
                <w:color w:val="auto"/>
                <w:szCs w:val="21"/>
                <w:highlight w:val="none"/>
              </w:rPr>
            </w:pPr>
            <w:r>
              <w:rPr>
                <w:color w:val="auto"/>
                <w:szCs w:val="21"/>
                <w:highlight w:val="none"/>
              </w:rPr>
              <w:t>编制环境风险应急预案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94" w:type="dxa"/>
            <w:gridSpan w:val="2"/>
            <w:vMerge w:val="continue"/>
            <w:tcMar>
              <w:left w:w="17" w:type="dxa"/>
              <w:right w:w="17" w:type="dxa"/>
            </w:tcMar>
            <w:vAlign w:val="center"/>
          </w:tcPr>
          <w:p>
            <w:pPr>
              <w:jc w:val="center"/>
              <w:rPr>
                <w:color w:val="auto"/>
                <w:szCs w:val="21"/>
                <w:highlight w:val="none"/>
              </w:rPr>
            </w:pPr>
          </w:p>
        </w:tc>
        <w:tc>
          <w:tcPr>
            <w:tcW w:w="6359" w:type="dxa"/>
            <w:gridSpan w:val="4"/>
            <w:tcMar>
              <w:left w:w="17" w:type="dxa"/>
              <w:right w:w="17" w:type="dxa"/>
            </w:tcMar>
            <w:vAlign w:val="center"/>
          </w:tcPr>
          <w:p>
            <w:pPr>
              <w:jc w:val="center"/>
              <w:rPr>
                <w:color w:val="auto"/>
                <w:szCs w:val="21"/>
                <w:highlight w:val="none"/>
              </w:rPr>
            </w:pPr>
            <w:r>
              <w:rPr>
                <w:color w:val="auto"/>
                <w:szCs w:val="21"/>
                <w:highlight w:val="none"/>
              </w:rPr>
              <w:t>为保证有机废气处理效率，企业需定期</w:t>
            </w:r>
            <w:r>
              <w:rPr>
                <w:rFonts w:hint="eastAsia"/>
                <w:color w:val="auto"/>
                <w:szCs w:val="21"/>
                <w:highlight w:val="none"/>
              </w:rPr>
              <w:t>更换</w:t>
            </w:r>
            <w:r>
              <w:rPr>
                <w:color w:val="auto"/>
                <w:szCs w:val="21"/>
                <w:highlight w:val="none"/>
              </w:rPr>
              <w:t>活性炭</w:t>
            </w:r>
          </w:p>
        </w:tc>
      </w:tr>
      <w:bookmarkEnd w:id="788"/>
      <w:bookmarkEnd w:id="789"/>
      <w:bookmarkEnd w:id="790"/>
      <w:bookmarkEnd w:id="791"/>
      <w:bookmarkEnd w:id="792"/>
      <w:bookmarkEnd w:id="793"/>
      <w:bookmarkEnd w:id="794"/>
      <w:bookmarkEnd w:id="795"/>
    </w:tbl>
    <w:p>
      <w:pPr>
        <w:spacing w:line="360" w:lineRule="auto"/>
        <w:ind w:firstLine="482"/>
        <w:rPr>
          <w:color w:val="auto"/>
          <w:sz w:val="24"/>
          <w:szCs w:val="20"/>
          <w:highlight w:val="none"/>
        </w:rPr>
      </w:pPr>
    </w:p>
    <w:p>
      <w:pPr>
        <w:pStyle w:val="21"/>
        <w:spacing w:after="0" w:line="360" w:lineRule="auto"/>
        <w:rPr>
          <w:color w:val="auto"/>
          <w:sz w:val="24"/>
          <w:szCs w:val="20"/>
          <w:highlight w:val="none"/>
        </w:rPr>
        <w:sectPr>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pPr>
    </w:p>
    <w:p>
      <w:pPr>
        <w:pStyle w:val="2"/>
        <w:tabs>
          <w:tab w:val="left" w:pos="4140"/>
        </w:tabs>
        <w:spacing w:before="0" w:after="0" w:line="360" w:lineRule="auto"/>
        <w:rPr>
          <w:color w:val="auto"/>
          <w:sz w:val="32"/>
          <w:highlight w:val="none"/>
        </w:rPr>
      </w:pPr>
      <w:bookmarkStart w:id="854" w:name="_Toc367281707"/>
      <w:bookmarkStart w:id="855" w:name="_Toc28682"/>
      <w:bookmarkStart w:id="856" w:name="_Toc75908770"/>
      <w:bookmarkStart w:id="857" w:name="_Toc259130795"/>
      <w:bookmarkStart w:id="858" w:name="_Toc367282290"/>
      <w:bookmarkStart w:id="859" w:name="_Toc259104541"/>
      <w:bookmarkStart w:id="860" w:name="_Toc275730708"/>
      <w:bookmarkStart w:id="861" w:name="_Toc275002347"/>
      <w:bookmarkStart w:id="862" w:name="_Toc259105221"/>
      <w:bookmarkStart w:id="863" w:name="_Toc341369726"/>
      <w:bookmarkStart w:id="864" w:name="_Toc259129432"/>
      <w:r>
        <w:rPr>
          <w:color w:val="auto"/>
          <w:sz w:val="32"/>
          <w:highlight w:val="none"/>
        </w:rPr>
        <w:t>11、环境影响评价结论</w:t>
      </w:r>
      <w:bookmarkEnd w:id="854"/>
      <w:bookmarkEnd w:id="855"/>
      <w:bookmarkEnd w:id="856"/>
      <w:bookmarkEnd w:id="857"/>
      <w:bookmarkEnd w:id="858"/>
      <w:bookmarkEnd w:id="859"/>
      <w:bookmarkEnd w:id="860"/>
      <w:bookmarkEnd w:id="861"/>
      <w:bookmarkEnd w:id="862"/>
      <w:bookmarkEnd w:id="863"/>
      <w:bookmarkEnd w:id="864"/>
    </w:p>
    <w:p>
      <w:pPr>
        <w:keepNext/>
        <w:keepLines/>
        <w:spacing w:line="360" w:lineRule="auto"/>
        <w:outlineLvl w:val="1"/>
        <w:rPr>
          <w:b/>
          <w:color w:val="auto"/>
          <w:sz w:val="28"/>
          <w:szCs w:val="32"/>
          <w:highlight w:val="none"/>
        </w:rPr>
      </w:pPr>
      <w:bookmarkStart w:id="865" w:name="_Toc259104542"/>
      <w:bookmarkStart w:id="866" w:name="_Toc275002348"/>
      <w:bookmarkStart w:id="867" w:name="_Toc259105222"/>
      <w:bookmarkStart w:id="868" w:name="_Toc1472"/>
      <w:bookmarkStart w:id="869" w:name="_Toc75908771"/>
      <w:bookmarkStart w:id="870" w:name="_Toc341369727"/>
      <w:bookmarkStart w:id="871" w:name="_Toc275730709"/>
      <w:bookmarkStart w:id="872" w:name="_Toc367281708"/>
      <w:bookmarkStart w:id="873" w:name="_Toc259129433"/>
      <w:bookmarkStart w:id="874" w:name="_Toc259130796"/>
      <w:bookmarkStart w:id="875" w:name="_Toc367282291"/>
      <w:r>
        <w:rPr>
          <w:b/>
          <w:color w:val="auto"/>
          <w:sz w:val="28"/>
          <w:szCs w:val="32"/>
          <w:highlight w:val="none"/>
        </w:rPr>
        <w:t>11.1 工程概况</w:t>
      </w:r>
      <w:bookmarkEnd w:id="865"/>
      <w:bookmarkEnd w:id="866"/>
      <w:bookmarkEnd w:id="867"/>
      <w:bookmarkEnd w:id="868"/>
      <w:bookmarkEnd w:id="869"/>
      <w:bookmarkEnd w:id="870"/>
      <w:bookmarkEnd w:id="871"/>
      <w:bookmarkEnd w:id="872"/>
      <w:bookmarkEnd w:id="873"/>
      <w:bookmarkEnd w:id="874"/>
      <w:bookmarkEnd w:id="875"/>
    </w:p>
    <w:p>
      <w:pPr>
        <w:autoSpaceDE w:val="0"/>
        <w:autoSpaceDN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寻甸县蜀滇塑料制品经营部总投资500万元，租用寻甸县仁德街道建设社区原三月三铸造厂厂房建设塑料框生产项目，项目总用地1994.56m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，建筑面积约1060m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，建设生产车间和仓库，配备注塑机、破碎机等设备，形成6条塑料框生产线，预计年产50万只蔬菜框。</w:t>
      </w:r>
    </w:p>
    <w:p>
      <w:pPr>
        <w:keepNext/>
        <w:keepLines/>
        <w:spacing w:line="360" w:lineRule="auto"/>
        <w:outlineLvl w:val="1"/>
        <w:rPr>
          <w:b/>
          <w:color w:val="auto"/>
          <w:sz w:val="28"/>
          <w:szCs w:val="32"/>
          <w:highlight w:val="none"/>
        </w:rPr>
      </w:pPr>
      <w:bookmarkStart w:id="876" w:name="_Toc75908772"/>
      <w:bookmarkStart w:id="877" w:name="_Toc27698"/>
      <w:bookmarkStart w:id="878" w:name="_Toc500508909"/>
      <w:r>
        <w:rPr>
          <w:b/>
          <w:color w:val="auto"/>
          <w:sz w:val="28"/>
          <w:szCs w:val="32"/>
          <w:highlight w:val="none"/>
        </w:rPr>
        <w:t>11.2 环境质量现状</w:t>
      </w:r>
      <w:bookmarkEnd w:id="876"/>
      <w:bookmarkEnd w:id="877"/>
      <w:bookmarkEnd w:id="878"/>
    </w:p>
    <w:p>
      <w:pPr>
        <w:spacing w:line="360" w:lineRule="auto"/>
        <w:ind w:firstLine="480" w:firstLineChars="200"/>
        <w:rPr>
          <w:color w:val="auto"/>
          <w:sz w:val="24"/>
          <w:szCs w:val="20"/>
          <w:highlight w:val="none"/>
        </w:rPr>
      </w:pPr>
      <w:r>
        <w:rPr>
          <w:rFonts w:hint="eastAsia"/>
          <w:color w:val="auto"/>
          <w:sz w:val="24"/>
          <w:highlight w:val="none"/>
        </w:rPr>
        <w:t>项目所在区域</w:t>
      </w:r>
      <w:r>
        <w:rPr>
          <w:color w:val="auto"/>
          <w:sz w:val="24"/>
          <w:highlight w:val="none"/>
        </w:rPr>
        <w:t>环境空气质量达到《环境空气质量标准》（GB3095-2012）二级标准，为环境空气质量达标区</w:t>
      </w:r>
      <w:r>
        <w:rPr>
          <w:rFonts w:hint="eastAsia"/>
          <w:color w:val="auto"/>
          <w:sz w:val="24"/>
          <w:highlight w:val="none"/>
        </w:rPr>
        <w:t>；</w:t>
      </w:r>
      <w:r>
        <w:rPr>
          <w:color w:val="auto"/>
          <w:sz w:val="24"/>
          <w:highlight w:val="none"/>
        </w:rPr>
        <w:t>项目周围最近的地表水体</w:t>
      </w:r>
      <w:r>
        <w:rPr>
          <w:rFonts w:hint="eastAsia"/>
          <w:color w:val="auto"/>
          <w:sz w:val="24"/>
          <w:highlight w:val="none"/>
          <w:lang w:val="en-US" w:eastAsia="zh-CN"/>
        </w:rPr>
        <w:t>三月三水库和前进河均</w:t>
      </w:r>
      <w:r>
        <w:rPr>
          <w:color w:val="auto"/>
          <w:sz w:val="24"/>
          <w:highlight w:val="none"/>
        </w:rPr>
        <w:t>未达到《地表水环境质量标准》(GB3838-2002) Ⅲ类水质</w:t>
      </w:r>
      <w:r>
        <w:rPr>
          <w:rFonts w:ascii="Times New Roman" w:hAnsi="Times New Roman" w:eastAsia="宋体" w:cs="Times New Roman"/>
          <w:color w:val="auto"/>
          <w:sz w:val="24"/>
          <w:highlight w:val="none"/>
        </w:rPr>
        <w:t>量标准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超标原因主要是由于生活污水汇入，生活面源污染导致</w:t>
      </w:r>
      <w:r>
        <w:rPr>
          <w:rFonts w:hint="eastAsia" w:ascii="Times New Roman" w:hAnsi="Times New Roman" w:eastAsia="宋体" w:cs="Times New Roman"/>
          <w:color w:val="auto"/>
          <w:sz w:val="24"/>
          <w:highlight w:val="none"/>
          <w:lang w:val="en-US" w:eastAsia="zh-CN"/>
        </w:rPr>
        <w:t>地表水</w:t>
      </w:r>
      <w:r>
        <w:rPr>
          <w:rFonts w:hint="default" w:ascii="Times New Roman" w:hAnsi="Times New Roman" w:eastAsia="宋体" w:cs="Times New Roman"/>
          <w:color w:val="auto"/>
          <w:sz w:val="24"/>
          <w:highlight w:val="none"/>
          <w:lang w:val="en-US" w:eastAsia="zh-CN"/>
        </w:rPr>
        <w:t>水质变差；</w:t>
      </w:r>
      <w:r>
        <w:rPr>
          <w:rFonts w:ascii="Times New Roman" w:hAnsi="Times New Roman" w:eastAsia="宋体" w:cs="Times New Roman"/>
          <w:color w:val="auto"/>
          <w:sz w:val="24"/>
          <w:highlight w:val="none"/>
        </w:rPr>
        <w:t>声环境达到《声环境质量标准》（GB3096-2008）</w:t>
      </w:r>
      <w:r>
        <w:rPr>
          <w:rFonts w:hint="eastAsia" w:ascii="Times New Roman" w:hAnsi="Times New Roman" w:eastAsia="宋体" w:cs="Times New Roman"/>
          <w:color w:val="auto"/>
          <w:sz w:val="24"/>
          <w:highlight w:val="none"/>
          <w:lang w:val="en-US" w:eastAsia="zh-CN"/>
        </w:rPr>
        <w:t>2</w:t>
      </w:r>
      <w:r>
        <w:rPr>
          <w:rFonts w:ascii="Times New Roman" w:hAnsi="Times New Roman" w:eastAsia="宋体" w:cs="Times New Roman"/>
          <w:color w:val="auto"/>
          <w:sz w:val="24"/>
          <w:highlight w:val="none"/>
        </w:rPr>
        <w:t>类</w:t>
      </w:r>
      <w:r>
        <w:rPr>
          <w:rFonts w:hint="eastAsia" w:ascii="Times New Roman" w:hAnsi="Times New Roman" w:eastAsia="宋体" w:cs="Times New Roman"/>
          <w:color w:val="auto"/>
          <w:sz w:val="24"/>
          <w:highlight w:val="none"/>
          <w:lang w:val="en-US" w:eastAsia="zh-CN"/>
        </w:rPr>
        <w:t>和4a类</w:t>
      </w:r>
      <w:r>
        <w:rPr>
          <w:rFonts w:ascii="Times New Roman" w:hAnsi="Times New Roman" w:eastAsia="宋体" w:cs="Times New Roman"/>
          <w:color w:val="auto"/>
          <w:sz w:val="24"/>
          <w:highlight w:val="none"/>
        </w:rPr>
        <w:t>标准限值要求</w:t>
      </w:r>
      <w:r>
        <w:rPr>
          <w:color w:val="auto"/>
          <w:sz w:val="24"/>
          <w:highlight w:val="none"/>
        </w:rPr>
        <w:t>；土壤环境符合《土壤环境质量 建设用地土壤污染风险管控标准（试行）》（GB36600-2018）中的第二类用地土壤污染风险筛选值标准。</w:t>
      </w:r>
    </w:p>
    <w:p>
      <w:pPr>
        <w:keepNext/>
        <w:keepLines/>
        <w:spacing w:line="360" w:lineRule="auto"/>
        <w:outlineLvl w:val="1"/>
        <w:rPr>
          <w:b/>
          <w:color w:val="auto"/>
          <w:sz w:val="28"/>
          <w:szCs w:val="32"/>
          <w:highlight w:val="none"/>
        </w:rPr>
      </w:pPr>
      <w:bookmarkStart w:id="879" w:name="_Toc259105225"/>
      <w:bookmarkStart w:id="880" w:name="_Toc259104545"/>
      <w:bookmarkStart w:id="881" w:name="_Toc367281709"/>
      <w:bookmarkStart w:id="882" w:name="_Toc275002349"/>
      <w:bookmarkStart w:id="883" w:name="_Toc367282292"/>
      <w:bookmarkStart w:id="884" w:name="_Toc259129436"/>
      <w:bookmarkStart w:id="885" w:name="_Toc341369728"/>
      <w:bookmarkStart w:id="886" w:name="_Toc259130799"/>
      <w:bookmarkStart w:id="887" w:name="_Toc275730710"/>
      <w:bookmarkStart w:id="888" w:name="_Toc11342"/>
      <w:bookmarkStart w:id="889" w:name="_Toc75908778"/>
      <w:r>
        <w:rPr>
          <w:b/>
          <w:color w:val="auto"/>
          <w:sz w:val="28"/>
          <w:szCs w:val="32"/>
          <w:highlight w:val="none"/>
        </w:rPr>
        <w:t>11.3环境影响</w:t>
      </w:r>
      <w:bookmarkEnd w:id="879"/>
      <w:bookmarkEnd w:id="880"/>
      <w:r>
        <w:rPr>
          <w:b/>
          <w:color w:val="auto"/>
          <w:sz w:val="28"/>
          <w:szCs w:val="32"/>
          <w:highlight w:val="none"/>
        </w:rPr>
        <w:t>及</w:t>
      </w:r>
      <w:bookmarkEnd w:id="881"/>
      <w:bookmarkEnd w:id="882"/>
      <w:bookmarkEnd w:id="883"/>
      <w:bookmarkEnd w:id="884"/>
      <w:bookmarkEnd w:id="885"/>
      <w:bookmarkEnd w:id="886"/>
      <w:bookmarkEnd w:id="887"/>
      <w:r>
        <w:rPr>
          <w:b/>
          <w:color w:val="auto"/>
          <w:sz w:val="28"/>
          <w:szCs w:val="32"/>
          <w:highlight w:val="none"/>
        </w:rPr>
        <w:t>污染防治措施</w:t>
      </w:r>
      <w:bookmarkEnd w:id="888"/>
      <w:bookmarkEnd w:id="889"/>
    </w:p>
    <w:p>
      <w:pPr>
        <w:keepNext/>
        <w:keepLines/>
        <w:spacing w:line="360" w:lineRule="auto"/>
        <w:outlineLvl w:val="2"/>
        <w:rPr>
          <w:b/>
          <w:bCs/>
          <w:color w:val="auto"/>
          <w:sz w:val="24"/>
          <w:highlight w:val="none"/>
        </w:rPr>
      </w:pPr>
      <w:bookmarkStart w:id="890" w:name="_Toc341369730"/>
      <w:bookmarkStart w:id="891" w:name="_Toc4883"/>
      <w:bookmarkStart w:id="892" w:name="_Toc259105227"/>
      <w:bookmarkStart w:id="893" w:name="_Toc75908779"/>
      <w:bookmarkStart w:id="894" w:name="_Toc275002351"/>
      <w:bookmarkStart w:id="895" w:name="_Toc367281711"/>
      <w:bookmarkStart w:id="896" w:name="_Toc259129438"/>
      <w:bookmarkStart w:id="897" w:name="_Toc259104547"/>
      <w:bookmarkStart w:id="898" w:name="_Toc259130801"/>
      <w:bookmarkStart w:id="899" w:name="_Toc367282294"/>
      <w:bookmarkStart w:id="900" w:name="_Toc275730712"/>
      <w:r>
        <w:rPr>
          <w:b/>
          <w:bCs/>
          <w:color w:val="auto"/>
          <w:sz w:val="24"/>
          <w:highlight w:val="none"/>
        </w:rPr>
        <w:t>11.3.1环境空气影响及污染防治措施</w:t>
      </w:r>
      <w:bookmarkEnd w:id="890"/>
      <w:bookmarkEnd w:id="891"/>
      <w:bookmarkEnd w:id="892"/>
      <w:bookmarkEnd w:id="893"/>
      <w:bookmarkEnd w:id="894"/>
      <w:bookmarkEnd w:id="895"/>
      <w:bookmarkEnd w:id="896"/>
      <w:bookmarkEnd w:id="897"/>
      <w:bookmarkEnd w:id="898"/>
      <w:bookmarkEnd w:id="899"/>
      <w:bookmarkEnd w:id="900"/>
    </w:p>
    <w:p>
      <w:pPr>
        <w:spacing w:line="360" w:lineRule="auto"/>
        <w:ind w:firstLine="480" w:firstLineChars="200"/>
        <w:rPr>
          <w:color w:val="auto"/>
          <w:sz w:val="24"/>
          <w:szCs w:val="20"/>
          <w:highlight w:val="none"/>
        </w:rPr>
      </w:pPr>
      <w:r>
        <w:rPr>
          <w:color w:val="auto"/>
          <w:sz w:val="24"/>
          <w:highlight w:val="none"/>
        </w:rPr>
        <w:t>本项目生产废气主要来自塑料</w:t>
      </w:r>
      <w:r>
        <w:rPr>
          <w:rFonts w:hint="eastAsia"/>
          <w:color w:val="auto"/>
          <w:sz w:val="24"/>
          <w:highlight w:val="none"/>
          <w:lang w:val="en-US" w:eastAsia="zh-CN"/>
        </w:rPr>
        <w:t>热熔注塑</w:t>
      </w:r>
      <w:r>
        <w:rPr>
          <w:color w:val="auto"/>
          <w:sz w:val="24"/>
          <w:highlight w:val="none"/>
        </w:rPr>
        <w:t>工序产生的有机废气（以非甲烷总烃计）、臭气和</w:t>
      </w:r>
      <w:r>
        <w:rPr>
          <w:rFonts w:hint="eastAsia"/>
          <w:color w:val="auto"/>
          <w:sz w:val="24"/>
          <w:highlight w:val="none"/>
          <w:lang w:val="en-US" w:eastAsia="zh-CN"/>
        </w:rPr>
        <w:t>拌料工序及</w:t>
      </w:r>
      <w:r>
        <w:rPr>
          <w:rFonts w:hint="eastAsia"/>
          <w:color w:val="auto"/>
          <w:sz w:val="24"/>
          <w:szCs w:val="20"/>
          <w:highlight w:val="none"/>
          <w:lang w:val="en-US" w:eastAsia="zh-CN"/>
        </w:rPr>
        <w:t>不合格产品破碎工序产生的颗粒物</w:t>
      </w:r>
      <w:r>
        <w:rPr>
          <w:color w:val="auto"/>
          <w:sz w:val="24"/>
          <w:szCs w:val="20"/>
          <w:highlight w:val="none"/>
        </w:rPr>
        <w:t>。</w:t>
      </w:r>
    </w:p>
    <w:p>
      <w:pPr>
        <w:spacing w:line="360" w:lineRule="auto"/>
        <w:ind w:firstLine="480" w:firstLineChars="200"/>
        <w:rPr>
          <w:color w:val="auto"/>
          <w:sz w:val="24"/>
          <w:highlight w:val="none"/>
        </w:rPr>
      </w:pPr>
      <w:r>
        <w:rPr>
          <w:color w:val="auto"/>
          <w:sz w:val="24"/>
          <w:szCs w:val="20"/>
          <w:highlight w:val="none"/>
        </w:rPr>
        <w:t>根据估算模式估算结果，</w:t>
      </w:r>
      <w:r>
        <w:rPr>
          <w:color w:val="auto"/>
          <w:sz w:val="24"/>
          <w:highlight w:val="none"/>
        </w:rPr>
        <w:t>项目1#排气筒排放的有机废气（非甲烷总烃）下风向最大落地浓度最大值</w:t>
      </w:r>
      <w:r>
        <w:rPr>
          <w:rFonts w:hint="eastAsia"/>
          <w:color w:val="auto"/>
          <w:sz w:val="24"/>
          <w:highlight w:val="none"/>
          <w:lang w:val="en-US" w:eastAsia="zh-CN"/>
        </w:rPr>
        <w:t>为7.7068</w:t>
      </w:r>
      <w:r>
        <w:rPr>
          <w:color w:val="auto"/>
          <w:sz w:val="24"/>
          <w:highlight w:val="none"/>
        </w:rPr>
        <w:t>ug/m</w:t>
      </w:r>
      <w:r>
        <w:rPr>
          <w:color w:val="auto"/>
          <w:sz w:val="24"/>
          <w:highlight w:val="none"/>
          <w:vertAlign w:val="superscript"/>
        </w:rPr>
        <w:t>3</w:t>
      </w:r>
      <w:r>
        <w:rPr>
          <w:color w:val="auto"/>
          <w:sz w:val="24"/>
          <w:highlight w:val="none"/>
        </w:rPr>
        <w:t>，最大浓度占标率为</w:t>
      </w:r>
      <w:r>
        <w:rPr>
          <w:rFonts w:hint="eastAsia"/>
          <w:color w:val="auto"/>
          <w:sz w:val="24"/>
          <w:highlight w:val="none"/>
          <w:lang w:val="en-US" w:eastAsia="zh-CN"/>
        </w:rPr>
        <w:t>0.39</w:t>
      </w:r>
      <w:r>
        <w:rPr>
          <w:color w:val="auto"/>
          <w:sz w:val="24"/>
          <w:highlight w:val="none"/>
        </w:rPr>
        <w:t>%，位于下风向</w:t>
      </w:r>
      <w:r>
        <w:rPr>
          <w:rFonts w:hint="eastAsia"/>
          <w:color w:val="auto"/>
          <w:sz w:val="24"/>
          <w:highlight w:val="none"/>
          <w:lang w:val="en-US" w:eastAsia="zh-CN"/>
        </w:rPr>
        <w:t>114</w:t>
      </w:r>
      <w:r>
        <w:rPr>
          <w:color w:val="auto"/>
          <w:sz w:val="24"/>
          <w:highlight w:val="none"/>
        </w:rPr>
        <w:t>m处，非甲烷总烃满足《大气污染物综合排放标准详解》中2000μg/m</w:t>
      </w:r>
      <w:r>
        <w:rPr>
          <w:color w:val="auto"/>
          <w:sz w:val="24"/>
          <w:highlight w:val="none"/>
          <w:vertAlign w:val="superscript"/>
        </w:rPr>
        <w:t>3</w:t>
      </w:r>
      <w:r>
        <w:rPr>
          <w:color w:val="auto"/>
          <w:sz w:val="24"/>
          <w:highlight w:val="none"/>
        </w:rPr>
        <w:t>限值要求。</w:t>
      </w:r>
    </w:p>
    <w:p>
      <w:pPr>
        <w:spacing w:line="360" w:lineRule="auto"/>
        <w:ind w:firstLine="480" w:firstLineChars="200"/>
        <w:rPr>
          <w:color w:val="auto"/>
          <w:sz w:val="24"/>
          <w:highlight w:val="none"/>
        </w:rPr>
      </w:pPr>
      <w:r>
        <w:rPr>
          <w:color w:val="auto"/>
          <w:sz w:val="24"/>
          <w:highlight w:val="none"/>
        </w:rPr>
        <w:t>厂房面源排放的有机废气（非甲烷总烃）</w:t>
      </w:r>
      <w:r>
        <w:rPr>
          <w:rFonts w:hint="eastAsia"/>
          <w:color w:val="auto"/>
          <w:sz w:val="24"/>
          <w:highlight w:val="none"/>
        </w:rPr>
        <w:t>、颗粒物</w:t>
      </w:r>
      <w:r>
        <w:rPr>
          <w:color w:val="auto"/>
          <w:sz w:val="24"/>
          <w:highlight w:val="none"/>
        </w:rPr>
        <w:t>下风向最大落地浓度分别为</w:t>
      </w:r>
      <w:r>
        <w:rPr>
          <w:rFonts w:hint="eastAsia"/>
          <w:color w:val="auto"/>
          <w:sz w:val="24"/>
          <w:highlight w:val="none"/>
          <w:lang w:val="en-US" w:eastAsia="zh-CN"/>
        </w:rPr>
        <w:t>110.6956</w:t>
      </w:r>
      <w:r>
        <w:rPr>
          <w:color w:val="auto"/>
          <w:sz w:val="24"/>
          <w:highlight w:val="none"/>
        </w:rPr>
        <w:t>ug/m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21.6510</w:t>
      </w:r>
      <w:r>
        <w:rPr>
          <w:color w:val="auto"/>
          <w:sz w:val="24"/>
          <w:highlight w:val="none"/>
        </w:rPr>
        <w:t>ug/m</w:t>
      </w:r>
      <w:r>
        <w:rPr>
          <w:color w:val="auto"/>
          <w:sz w:val="24"/>
          <w:highlight w:val="none"/>
          <w:vertAlign w:val="superscript"/>
        </w:rPr>
        <w:t>3</w:t>
      </w:r>
      <w:r>
        <w:rPr>
          <w:color w:val="auto"/>
          <w:sz w:val="24"/>
          <w:highlight w:val="none"/>
        </w:rPr>
        <w:t>，最大浓度占标率分别为</w:t>
      </w:r>
      <w:r>
        <w:rPr>
          <w:rFonts w:hint="eastAsia"/>
          <w:color w:val="auto"/>
          <w:sz w:val="24"/>
          <w:highlight w:val="none"/>
          <w:lang w:val="en-US" w:eastAsia="zh-CN"/>
        </w:rPr>
        <w:t>5.53</w:t>
      </w:r>
      <w:r>
        <w:rPr>
          <w:color w:val="auto"/>
          <w:sz w:val="24"/>
          <w:highlight w:val="none"/>
        </w:rPr>
        <w:t>%，</w:t>
      </w:r>
      <w:r>
        <w:rPr>
          <w:rFonts w:hint="eastAsia"/>
          <w:color w:val="auto"/>
          <w:sz w:val="24"/>
          <w:highlight w:val="none"/>
          <w:lang w:val="en-US" w:eastAsia="zh-CN"/>
        </w:rPr>
        <w:t>2.41</w:t>
      </w:r>
      <w:r>
        <w:rPr>
          <w:color w:val="auto"/>
          <w:sz w:val="24"/>
          <w:highlight w:val="none"/>
        </w:rPr>
        <w:t>%，位于下风向</w:t>
      </w:r>
      <w:r>
        <w:rPr>
          <w:rFonts w:hint="eastAsia"/>
          <w:color w:val="auto"/>
          <w:sz w:val="24"/>
          <w:highlight w:val="none"/>
          <w:lang w:val="en-US" w:eastAsia="zh-CN"/>
        </w:rPr>
        <w:t>18</w:t>
      </w:r>
      <w:r>
        <w:rPr>
          <w:color w:val="auto"/>
          <w:sz w:val="24"/>
          <w:highlight w:val="none"/>
        </w:rPr>
        <w:t>m处，非甲烷总烃满足《大气污染物综合排放标准详解》中2000μg/m</w:t>
      </w:r>
      <w:r>
        <w:rPr>
          <w:color w:val="auto"/>
          <w:sz w:val="24"/>
          <w:highlight w:val="none"/>
          <w:vertAlign w:val="superscript"/>
        </w:rPr>
        <w:t>3</w:t>
      </w:r>
      <w:r>
        <w:rPr>
          <w:color w:val="auto"/>
          <w:sz w:val="24"/>
          <w:highlight w:val="none"/>
        </w:rPr>
        <w:t>限值要求。TSP满足《环境空气质量标准》（GB3095-2012）中TSP的二级标准要求；</w:t>
      </w:r>
    </w:p>
    <w:p>
      <w:pPr>
        <w:spacing w:line="360" w:lineRule="auto"/>
        <w:ind w:firstLine="480" w:firstLineChars="200"/>
        <w:rPr>
          <w:color w:val="auto"/>
          <w:sz w:val="24"/>
          <w:szCs w:val="20"/>
          <w:highlight w:val="none"/>
        </w:rPr>
      </w:pPr>
      <w:r>
        <w:rPr>
          <w:color w:val="auto"/>
          <w:sz w:val="24"/>
          <w:highlight w:val="none"/>
        </w:rPr>
        <w:t>同时项目厂界非甲烷总烃、颗粒物能满足《合成树脂工业污染物排放标准》（GB31572-2015）表9规定的企业边界大气污染物浓度限值</w:t>
      </w:r>
      <w:r>
        <w:rPr>
          <w:color w:val="auto"/>
          <w:sz w:val="24"/>
          <w:szCs w:val="20"/>
          <w:highlight w:val="none"/>
        </w:rPr>
        <w:t>。</w:t>
      </w:r>
    </w:p>
    <w:p>
      <w:pPr>
        <w:spacing w:line="360" w:lineRule="auto"/>
        <w:ind w:firstLine="480" w:firstLineChars="200"/>
        <w:rPr>
          <w:color w:val="auto"/>
          <w:sz w:val="24"/>
          <w:highlight w:val="none"/>
        </w:rPr>
      </w:pPr>
      <w:r>
        <w:rPr>
          <w:rFonts w:hint="eastAsia"/>
          <w:color w:val="auto"/>
          <w:sz w:val="24"/>
          <w:highlight w:val="none"/>
          <w:lang w:val="en-US" w:eastAsia="zh-CN"/>
        </w:rPr>
        <w:t>再生塑料颗粒</w:t>
      </w:r>
      <w:r>
        <w:rPr>
          <w:color w:val="auto"/>
          <w:sz w:val="24"/>
          <w:highlight w:val="none"/>
        </w:rPr>
        <w:t>在</w:t>
      </w:r>
      <w:r>
        <w:rPr>
          <w:rFonts w:hint="eastAsia"/>
          <w:color w:val="auto"/>
          <w:sz w:val="24"/>
          <w:highlight w:val="none"/>
          <w:lang w:val="en-US" w:eastAsia="zh-CN"/>
        </w:rPr>
        <w:t>热熔注塑</w:t>
      </w:r>
      <w:r>
        <w:rPr>
          <w:color w:val="auto"/>
          <w:sz w:val="24"/>
          <w:highlight w:val="none"/>
        </w:rPr>
        <w:t>工序会产生臭气。在</w:t>
      </w:r>
      <w:r>
        <w:rPr>
          <w:rFonts w:hint="eastAsia"/>
          <w:color w:val="auto"/>
          <w:sz w:val="24"/>
          <w:highlight w:val="none"/>
          <w:lang w:val="en-US" w:eastAsia="zh-CN"/>
        </w:rPr>
        <w:t>每台注塑机出口</w:t>
      </w:r>
      <w:r>
        <w:rPr>
          <w:color w:val="auto"/>
          <w:sz w:val="24"/>
          <w:highlight w:val="none"/>
        </w:rPr>
        <w:t>上方设置集气罩，</w:t>
      </w:r>
      <w:r>
        <w:rPr>
          <w:rFonts w:hint="eastAsia"/>
          <w:color w:val="auto"/>
          <w:sz w:val="24"/>
          <w:szCs w:val="20"/>
          <w:highlight w:val="none"/>
          <w:lang w:val="en-US" w:eastAsia="zh-CN"/>
        </w:rPr>
        <w:t>废气经集气罩收集后</w:t>
      </w:r>
      <w:r>
        <w:rPr>
          <w:color w:val="auto"/>
          <w:sz w:val="24"/>
          <w:szCs w:val="20"/>
          <w:highlight w:val="none"/>
        </w:rPr>
        <w:t>通过“</w:t>
      </w:r>
      <w:r>
        <w:rPr>
          <w:rFonts w:hint="eastAsia"/>
          <w:color w:val="auto"/>
          <w:sz w:val="24"/>
          <w:szCs w:val="20"/>
          <w:highlight w:val="none"/>
          <w:lang w:val="en-US" w:eastAsia="zh-CN"/>
        </w:rPr>
        <w:t>三级活性炭吸附装置</w:t>
      </w:r>
      <w:r>
        <w:rPr>
          <w:color w:val="auto"/>
          <w:sz w:val="24"/>
          <w:szCs w:val="20"/>
          <w:highlight w:val="none"/>
        </w:rPr>
        <w:t>”集中处理后高空排放，其余少量有机废气呈无组织逸散，从而产生少量异味。若建设单位有效落实废气治理设施的维护，做好车间的通风换气措施，臭气浓度可达到《恶臭污染物排放标准》（GB14554-93）表1新扩改建厂界标准限值二级标准，对周边大气环境的影响不大</w:t>
      </w:r>
      <w:r>
        <w:rPr>
          <w:color w:val="auto"/>
          <w:sz w:val="24"/>
          <w:highlight w:val="none"/>
        </w:rPr>
        <w:t>。</w:t>
      </w:r>
    </w:p>
    <w:p>
      <w:pPr>
        <w:spacing w:line="360" w:lineRule="auto"/>
        <w:ind w:firstLine="480" w:firstLineChars="200"/>
        <w:rPr>
          <w:color w:val="auto"/>
          <w:sz w:val="24"/>
          <w:szCs w:val="20"/>
          <w:highlight w:val="none"/>
        </w:rPr>
      </w:pPr>
      <w:bookmarkStart w:id="901" w:name="_Toc259105228"/>
      <w:bookmarkStart w:id="902" w:name="_Toc259104548"/>
      <w:bookmarkStart w:id="903" w:name="_Toc75908780"/>
      <w:bookmarkStart w:id="904" w:name="_Toc367281712"/>
      <w:bookmarkStart w:id="905" w:name="_Toc275002352"/>
      <w:bookmarkStart w:id="906" w:name="_Toc259129439"/>
      <w:bookmarkStart w:id="907" w:name="_Toc259130802"/>
      <w:bookmarkStart w:id="908" w:name="_Toc275730713"/>
      <w:bookmarkStart w:id="909" w:name="_Toc341369731"/>
      <w:bookmarkStart w:id="910" w:name="_Toc367282295"/>
      <w:r>
        <w:rPr>
          <w:color w:val="auto"/>
          <w:sz w:val="24"/>
          <w:szCs w:val="20"/>
          <w:highlight w:val="none"/>
        </w:rPr>
        <w:t>因此本项目废气对周边大气环境影响较小。</w:t>
      </w:r>
    </w:p>
    <w:p>
      <w:pPr>
        <w:keepNext/>
        <w:keepLines/>
        <w:spacing w:line="360" w:lineRule="auto"/>
        <w:outlineLvl w:val="2"/>
        <w:rPr>
          <w:b/>
          <w:bCs/>
          <w:color w:val="auto"/>
          <w:sz w:val="24"/>
          <w:highlight w:val="none"/>
        </w:rPr>
      </w:pPr>
      <w:bookmarkStart w:id="911" w:name="_Toc9508"/>
      <w:r>
        <w:rPr>
          <w:b/>
          <w:bCs/>
          <w:color w:val="auto"/>
          <w:sz w:val="24"/>
          <w:highlight w:val="none"/>
        </w:rPr>
        <w:t>11.3.2 地表水环境影响</w:t>
      </w:r>
      <w:bookmarkEnd w:id="901"/>
      <w:bookmarkEnd w:id="902"/>
      <w:r>
        <w:rPr>
          <w:b/>
          <w:bCs/>
          <w:color w:val="auto"/>
          <w:sz w:val="24"/>
          <w:highlight w:val="none"/>
        </w:rPr>
        <w:t>及污染防治措施</w:t>
      </w:r>
      <w:bookmarkEnd w:id="903"/>
      <w:bookmarkEnd w:id="904"/>
      <w:bookmarkEnd w:id="905"/>
      <w:bookmarkEnd w:id="906"/>
      <w:bookmarkEnd w:id="907"/>
      <w:bookmarkEnd w:id="908"/>
      <w:bookmarkEnd w:id="909"/>
      <w:bookmarkEnd w:id="910"/>
      <w:bookmarkEnd w:id="911"/>
    </w:p>
    <w:p>
      <w:pPr>
        <w:spacing w:line="360" w:lineRule="auto"/>
        <w:ind w:firstLine="480" w:firstLineChars="200"/>
        <w:rPr>
          <w:color w:val="auto"/>
          <w:sz w:val="24"/>
          <w:highlight w:val="none"/>
        </w:rPr>
      </w:pPr>
      <w:r>
        <w:rPr>
          <w:rFonts w:hint="eastAsia"/>
          <w:color w:val="auto"/>
          <w:sz w:val="24"/>
          <w:highlight w:val="none"/>
          <w:lang w:val="en-US" w:eastAsia="zh-CN"/>
        </w:rPr>
        <w:t>项目实施雨污分流排水体制，雨水通过雨水沟收集后排入附近自然排水沟；</w:t>
      </w:r>
      <w:r>
        <w:rPr>
          <w:color w:val="auto"/>
          <w:sz w:val="24"/>
          <w:highlight w:val="none"/>
        </w:rPr>
        <w:t>本项目产生的废水主要为生产废水和生活污水。</w:t>
      </w:r>
    </w:p>
    <w:p>
      <w:pPr>
        <w:spacing w:line="360" w:lineRule="auto"/>
        <w:ind w:firstLine="480" w:firstLineChars="200"/>
        <w:rPr>
          <w:color w:val="auto"/>
          <w:sz w:val="24"/>
          <w:highlight w:val="none"/>
        </w:rPr>
      </w:pPr>
      <w:r>
        <w:rPr>
          <w:color w:val="auto"/>
          <w:sz w:val="24"/>
          <w:highlight w:val="none"/>
        </w:rPr>
        <w:t>生产废水包冷却水</w:t>
      </w:r>
      <w:r>
        <w:rPr>
          <w:rFonts w:hint="eastAsia"/>
          <w:color w:val="auto"/>
          <w:sz w:val="24"/>
          <w:highlight w:val="none"/>
          <w:lang w:val="en-US" w:eastAsia="zh-CN"/>
        </w:rPr>
        <w:t>和</w:t>
      </w:r>
      <w:r>
        <w:rPr>
          <w:color w:val="auto"/>
          <w:sz w:val="24"/>
          <w:highlight w:val="none"/>
        </w:rPr>
        <w:t>车间地面清洗废水</w:t>
      </w:r>
      <w:r>
        <w:rPr>
          <w:rFonts w:hint="eastAsia"/>
          <w:color w:val="auto"/>
          <w:sz w:val="24"/>
          <w:highlight w:val="none"/>
        </w:rPr>
        <w:t>。</w:t>
      </w:r>
      <w:r>
        <w:rPr>
          <w:rFonts w:hint="eastAsia"/>
          <w:color w:val="auto"/>
          <w:sz w:val="24"/>
          <w:highlight w:val="none"/>
          <w:lang w:val="en-US" w:eastAsia="zh-CN"/>
        </w:rPr>
        <w:t>冷却水经冷却循环水池收集后循环使用，不外排；车间地面清洗废水和员工生活污水一起排入化粪池处理后，由建设单位定期清运至寻甸县水质净化厂处理，不外排。</w:t>
      </w:r>
    </w:p>
    <w:p>
      <w:pPr>
        <w:keepNext/>
        <w:keepLines/>
        <w:spacing w:line="360" w:lineRule="auto"/>
        <w:outlineLvl w:val="2"/>
        <w:rPr>
          <w:b/>
          <w:bCs/>
          <w:color w:val="auto"/>
          <w:sz w:val="24"/>
          <w:highlight w:val="none"/>
        </w:rPr>
      </w:pPr>
      <w:bookmarkStart w:id="912" w:name="_Toc259104550"/>
      <w:bookmarkStart w:id="913" w:name="_Toc259105230"/>
      <w:bookmarkStart w:id="914" w:name="_Toc341369733"/>
      <w:bookmarkStart w:id="915" w:name="_Toc275730715"/>
      <w:bookmarkStart w:id="916" w:name="_Toc275002354"/>
      <w:bookmarkStart w:id="917" w:name="_Toc367281714"/>
      <w:bookmarkStart w:id="918" w:name="_Toc367282297"/>
      <w:bookmarkStart w:id="919" w:name="_Toc75908782"/>
      <w:bookmarkStart w:id="920" w:name="_Toc10439"/>
      <w:bookmarkStart w:id="921" w:name="_Toc259130804"/>
      <w:bookmarkStart w:id="922" w:name="_Toc259129441"/>
      <w:r>
        <w:rPr>
          <w:b/>
          <w:bCs/>
          <w:color w:val="auto"/>
          <w:sz w:val="24"/>
          <w:highlight w:val="none"/>
        </w:rPr>
        <w:t>11.3.</w:t>
      </w:r>
      <w:r>
        <w:rPr>
          <w:rFonts w:hint="eastAsia"/>
          <w:b/>
          <w:bCs/>
          <w:color w:val="auto"/>
          <w:sz w:val="24"/>
          <w:highlight w:val="none"/>
          <w:lang w:val="en-US" w:eastAsia="zh-CN"/>
        </w:rPr>
        <w:t xml:space="preserve">3 </w:t>
      </w:r>
      <w:r>
        <w:rPr>
          <w:b/>
          <w:bCs/>
          <w:color w:val="auto"/>
          <w:sz w:val="24"/>
          <w:highlight w:val="none"/>
        </w:rPr>
        <w:t>声环境影响</w:t>
      </w:r>
      <w:bookmarkEnd w:id="912"/>
      <w:bookmarkEnd w:id="913"/>
      <w:r>
        <w:rPr>
          <w:b/>
          <w:bCs/>
          <w:color w:val="auto"/>
          <w:sz w:val="24"/>
          <w:highlight w:val="none"/>
        </w:rPr>
        <w:t>及控制措施</w:t>
      </w:r>
      <w:bookmarkEnd w:id="914"/>
      <w:bookmarkEnd w:id="915"/>
      <w:bookmarkEnd w:id="916"/>
      <w:bookmarkEnd w:id="917"/>
      <w:bookmarkEnd w:id="918"/>
      <w:bookmarkEnd w:id="919"/>
      <w:bookmarkEnd w:id="920"/>
      <w:bookmarkEnd w:id="921"/>
      <w:bookmarkEnd w:id="922"/>
    </w:p>
    <w:p>
      <w:pPr>
        <w:spacing w:line="360" w:lineRule="auto"/>
        <w:ind w:firstLine="480" w:firstLineChars="200"/>
        <w:rPr>
          <w:color w:val="auto"/>
          <w:sz w:val="24"/>
          <w:highlight w:val="none"/>
        </w:rPr>
      </w:pPr>
      <w:r>
        <w:rPr>
          <w:color w:val="auto"/>
          <w:sz w:val="24"/>
          <w:highlight w:val="none"/>
        </w:rPr>
        <w:t>项目噪声源主要为</w:t>
      </w:r>
      <w:r>
        <w:rPr>
          <w:rFonts w:hint="eastAsia"/>
          <w:color w:val="auto"/>
          <w:sz w:val="24"/>
          <w:highlight w:val="none"/>
          <w:lang w:val="en-US" w:eastAsia="zh-CN"/>
        </w:rPr>
        <w:t>注塑机、上料机、破碎机</w:t>
      </w:r>
      <w:r>
        <w:rPr>
          <w:color w:val="auto"/>
          <w:sz w:val="24"/>
          <w:highlight w:val="none"/>
        </w:rPr>
        <w:t>、水泵、风机等运行时产生的噪声，噪声源强为70～90dB(A)，经隔声、减振、消声、软管连接，并对废气处理装置风机进一步加装隔声罩进行隔声等措施后，同时要求建设单位强化生产管理，车间封闭，确保降噪设施的有效运行，并加强对生产设备的保养、检修与润滑，保证设备处于良好的运转状态，杜绝因设备不正常运转而产生的高噪声现象，确保厂界噪声达标。不会对周边环境及敏感点造成不良影响。</w:t>
      </w:r>
    </w:p>
    <w:p>
      <w:pPr>
        <w:keepNext/>
        <w:keepLines/>
        <w:spacing w:line="360" w:lineRule="auto"/>
        <w:outlineLvl w:val="2"/>
        <w:rPr>
          <w:b/>
          <w:bCs/>
          <w:color w:val="auto"/>
          <w:sz w:val="24"/>
          <w:highlight w:val="none"/>
        </w:rPr>
      </w:pPr>
      <w:bookmarkStart w:id="923" w:name="_Toc259105231"/>
      <w:bookmarkStart w:id="924" w:name="_Toc259104551"/>
      <w:bookmarkStart w:id="925" w:name="_Toc367282299"/>
      <w:bookmarkStart w:id="926" w:name="_Toc2447"/>
      <w:bookmarkStart w:id="927" w:name="_Toc275730716"/>
      <w:bookmarkStart w:id="928" w:name="_Toc275002355"/>
      <w:bookmarkStart w:id="929" w:name="_Toc75908783"/>
      <w:bookmarkStart w:id="930" w:name="_Toc259130805"/>
      <w:bookmarkStart w:id="931" w:name="_Toc367281716"/>
      <w:bookmarkStart w:id="932" w:name="_Toc259129442"/>
      <w:bookmarkStart w:id="933" w:name="_Toc341369734"/>
      <w:r>
        <w:rPr>
          <w:b/>
          <w:bCs/>
          <w:color w:val="auto"/>
          <w:sz w:val="24"/>
          <w:highlight w:val="none"/>
        </w:rPr>
        <w:t>11.3.</w:t>
      </w:r>
      <w:r>
        <w:rPr>
          <w:rFonts w:hint="eastAsia"/>
          <w:b/>
          <w:bCs/>
          <w:color w:val="auto"/>
          <w:sz w:val="24"/>
          <w:highlight w:val="none"/>
          <w:lang w:val="en-US" w:eastAsia="zh-CN"/>
        </w:rPr>
        <w:t>4</w:t>
      </w:r>
      <w:r>
        <w:rPr>
          <w:b/>
          <w:bCs/>
          <w:color w:val="auto"/>
          <w:sz w:val="24"/>
          <w:highlight w:val="none"/>
        </w:rPr>
        <w:t xml:space="preserve"> 固体废物</w:t>
      </w:r>
      <w:bookmarkEnd w:id="923"/>
      <w:bookmarkEnd w:id="924"/>
      <w:r>
        <w:rPr>
          <w:b/>
          <w:bCs/>
          <w:color w:val="auto"/>
          <w:sz w:val="24"/>
          <w:highlight w:val="none"/>
        </w:rPr>
        <w:t>环境影响及处置措施</w:t>
      </w:r>
      <w:bookmarkEnd w:id="925"/>
      <w:bookmarkEnd w:id="926"/>
      <w:bookmarkEnd w:id="927"/>
      <w:bookmarkEnd w:id="928"/>
      <w:bookmarkEnd w:id="929"/>
      <w:bookmarkEnd w:id="930"/>
      <w:bookmarkEnd w:id="931"/>
      <w:bookmarkEnd w:id="932"/>
      <w:bookmarkEnd w:id="933"/>
    </w:p>
    <w:p>
      <w:pPr>
        <w:spacing w:line="360" w:lineRule="auto"/>
        <w:ind w:firstLine="480" w:firstLineChars="200"/>
        <w:rPr>
          <w:color w:val="auto"/>
          <w:sz w:val="24"/>
          <w:highlight w:val="none"/>
        </w:rPr>
      </w:pPr>
      <w:r>
        <w:rPr>
          <w:color w:val="auto"/>
          <w:sz w:val="24"/>
          <w:highlight w:val="none"/>
        </w:rPr>
        <w:t>本项目运营期</w:t>
      </w:r>
      <w:r>
        <w:rPr>
          <w:rFonts w:hint="eastAsia"/>
          <w:color w:val="auto"/>
          <w:sz w:val="24"/>
          <w:highlight w:val="none"/>
          <w:lang w:val="en-US" w:eastAsia="zh-CN"/>
        </w:rPr>
        <w:t>产生的固体废物主要为废包装材料、不合格产品及废料、</w:t>
      </w:r>
      <w:r>
        <w:rPr>
          <w:color w:val="auto"/>
          <w:sz w:val="24"/>
          <w:highlight w:val="none"/>
        </w:rPr>
        <w:t>废活性炭</w:t>
      </w:r>
      <w:r>
        <w:rPr>
          <w:rFonts w:hint="eastAsia"/>
          <w:color w:val="auto"/>
          <w:sz w:val="24"/>
          <w:highlight w:val="none"/>
        </w:rPr>
        <w:t>、</w:t>
      </w:r>
      <w:r>
        <w:rPr>
          <w:color w:val="auto"/>
          <w:sz w:val="24"/>
          <w:highlight w:val="none"/>
        </w:rPr>
        <w:t>维修废物</w:t>
      </w:r>
      <w:r>
        <w:rPr>
          <w:rFonts w:hint="eastAsia"/>
          <w:color w:val="auto"/>
          <w:sz w:val="24"/>
          <w:highlight w:val="none"/>
        </w:rPr>
        <w:t>、生活垃圾</w:t>
      </w:r>
      <w:r>
        <w:rPr>
          <w:color w:val="auto"/>
          <w:sz w:val="24"/>
          <w:highlight w:val="none"/>
        </w:rPr>
        <w:t>。</w:t>
      </w:r>
      <w:r>
        <w:rPr>
          <w:rFonts w:hint="eastAsia"/>
          <w:color w:val="auto"/>
          <w:sz w:val="24"/>
          <w:highlight w:val="none"/>
          <w:lang w:val="en-US" w:eastAsia="zh-CN"/>
        </w:rPr>
        <w:t>废包装材料收集后直接外售废品回收站；不合格产品及边角料直接经过破碎机粉碎后回用于生产；</w:t>
      </w:r>
      <w:r>
        <w:rPr>
          <w:color w:val="auto"/>
          <w:sz w:val="24"/>
          <w:highlight w:val="none"/>
        </w:rPr>
        <w:t>生活垃圾分类收集</w:t>
      </w:r>
      <w:r>
        <w:rPr>
          <w:color w:val="auto"/>
          <w:sz w:val="24"/>
          <w:szCs w:val="20"/>
          <w:highlight w:val="none"/>
        </w:rPr>
        <w:t>定期运往指定地点由环卫部门集中处置</w:t>
      </w:r>
      <w:r>
        <w:rPr>
          <w:color w:val="auto"/>
          <w:sz w:val="24"/>
          <w:highlight w:val="none"/>
        </w:rPr>
        <w:t>；本项目运营期产生的</w:t>
      </w:r>
      <w:r>
        <w:rPr>
          <w:rFonts w:hint="eastAsia"/>
          <w:color w:val="auto"/>
          <w:sz w:val="24"/>
          <w:highlight w:val="none"/>
        </w:rPr>
        <w:t>废机油</w:t>
      </w:r>
      <w:r>
        <w:rPr>
          <w:color w:val="auto"/>
          <w:sz w:val="24"/>
          <w:highlight w:val="none"/>
        </w:rPr>
        <w:t>、废油桶、废活性炭属于危险废物，分类暂存于危废暂存间内，并定期交由有资质的单位处置。</w:t>
      </w:r>
    </w:p>
    <w:p>
      <w:pPr>
        <w:keepNext/>
        <w:keepLines/>
        <w:spacing w:line="360" w:lineRule="auto"/>
        <w:outlineLvl w:val="2"/>
        <w:rPr>
          <w:b/>
          <w:bCs/>
          <w:color w:val="auto"/>
          <w:sz w:val="24"/>
          <w:highlight w:val="none"/>
        </w:rPr>
      </w:pPr>
      <w:bookmarkStart w:id="934" w:name="_Toc75908784"/>
      <w:bookmarkStart w:id="935" w:name="_Toc6286"/>
      <w:r>
        <w:rPr>
          <w:b/>
          <w:bCs/>
          <w:color w:val="auto"/>
          <w:sz w:val="24"/>
          <w:highlight w:val="none"/>
        </w:rPr>
        <w:t>11.3.</w:t>
      </w:r>
      <w:r>
        <w:rPr>
          <w:rFonts w:hint="eastAsia"/>
          <w:b/>
          <w:bCs/>
          <w:color w:val="auto"/>
          <w:sz w:val="24"/>
          <w:highlight w:val="none"/>
          <w:lang w:val="en-US" w:eastAsia="zh-CN"/>
        </w:rPr>
        <w:t>5</w:t>
      </w:r>
      <w:r>
        <w:rPr>
          <w:b/>
          <w:bCs/>
          <w:color w:val="auto"/>
          <w:sz w:val="24"/>
          <w:highlight w:val="none"/>
        </w:rPr>
        <w:t xml:space="preserve"> 土壤环境影响分析</w:t>
      </w:r>
      <w:bookmarkEnd w:id="934"/>
      <w:bookmarkEnd w:id="935"/>
    </w:p>
    <w:p>
      <w:pPr>
        <w:tabs>
          <w:tab w:val="left" w:pos="1625"/>
        </w:tabs>
        <w:spacing w:line="360" w:lineRule="auto"/>
        <w:ind w:firstLine="480" w:firstLineChars="200"/>
        <w:rPr>
          <w:color w:val="auto"/>
          <w:sz w:val="24"/>
          <w:highlight w:val="none"/>
          <w:lang w:val="zh-CN"/>
        </w:rPr>
      </w:pPr>
      <w:r>
        <w:rPr>
          <w:color w:val="auto"/>
          <w:sz w:val="24"/>
          <w:highlight w:val="none"/>
        </w:rPr>
        <w:t>项目位于</w:t>
      </w:r>
      <w:r>
        <w:rPr>
          <w:rFonts w:hint="eastAsia"/>
          <w:color w:val="auto"/>
          <w:sz w:val="24"/>
          <w:highlight w:val="none"/>
          <w:lang w:val="en-US" w:eastAsia="zh-CN"/>
        </w:rPr>
        <w:t>寻甸县仁德街道原三月三铸造厂</w:t>
      </w:r>
      <w:r>
        <w:rPr>
          <w:color w:val="auto"/>
          <w:sz w:val="24"/>
          <w:highlight w:val="none"/>
        </w:rPr>
        <w:t>，占地类型属于</w:t>
      </w:r>
      <w:r>
        <w:rPr>
          <w:rFonts w:hint="eastAsia"/>
          <w:color w:val="auto"/>
          <w:sz w:val="24"/>
          <w:highlight w:val="none"/>
          <w:lang w:val="en-US" w:eastAsia="zh-CN"/>
        </w:rPr>
        <w:t>工业</w:t>
      </w:r>
      <w:r>
        <w:rPr>
          <w:color w:val="auto"/>
          <w:sz w:val="24"/>
          <w:highlight w:val="none"/>
        </w:rPr>
        <w:t>用地。</w:t>
      </w:r>
    </w:p>
    <w:p>
      <w:pPr>
        <w:tabs>
          <w:tab w:val="left" w:pos="1625"/>
        </w:tabs>
        <w:spacing w:line="360" w:lineRule="auto"/>
        <w:ind w:firstLine="480" w:firstLineChars="200"/>
        <w:rPr>
          <w:color w:val="auto"/>
          <w:sz w:val="24"/>
          <w:highlight w:val="none"/>
        </w:rPr>
      </w:pPr>
      <w:r>
        <w:rPr>
          <w:color w:val="auto"/>
          <w:sz w:val="24"/>
          <w:highlight w:val="none"/>
        </w:rPr>
        <w:t>根据场区污染物产生特征及污染物泄漏的途径，对</w:t>
      </w:r>
      <w:r>
        <w:rPr>
          <w:rFonts w:hint="eastAsia"/>
          <w:color w:val="auto"/>
          <w:sz w:val="24"/>
          <w:highlight w:val="none"/>
        </w:rPr>
        <w:t>危废暂存间</w:t>
      </w:r>
      <w:r>
        <w:rPr>
          <w:color w:val="auto"/>
          <w:sz w:val="24"/>
          <w:highlight w:val="none"/>
        </w:rPr>
        <w:t>、</w:t>
      </w:r>
      <w:r>
        <w:rPr>
          <w:rFonts w:hint="eastAsia"/>
          <w:color w:val="auto"/>
          <w:sz w:val="24"/>
          <w:highlight w:val="none"/>
          <w:lang w:val="en-US" w:eastAsia="zh-CN"/>
        </w:rPr>
        <w:t>冷却水池</w:t>
      </w:r>
      <w:r>
        <w:rPr>
          <w:color w:val="auto"/>
          <w:sz w:val="24"/>
          <w:highlight w:val="none"/>
        </w:rPr>
        <w:t>等可能发生</w:t>
      </w:r>
      <w:r>
        <w:rPr>
          <w:rFonts w:hint="eastAsia"/>
          <w:color w:val="auto"/>
          <w:sz w:val="24"/>
          <w:highlight w:val="none"/>
          <w:lang w:eastAsia="zh-CN"/>
        </w:rPr>
        <w:t>泄漏</w:t>
      </w:r>
      <w:r>
        <w:rPr>
          <w:color w:val="auto"/>
          <w:sz w:val="24"/>
          <w:highlight w:val="none"/>
        </w:rPr>
        <w:t>污染土壤的区域或部位采取严格的防渗措施。确保各项防渗措施得以落实，并加强维护和厂区环境管理，可有效控制项目产生的污染物下渗现象，避免污染土壤，在采取有效防护措施情况下，项目对区域土壤环境影响较小。</w:t>
      </w:r>
    </w:p>
    <w:p>
      <w:pPr>
        <w:keepNext/>
        <w:keepLines/>
        <w:spacing w:line="360" w:lineRule="auto"/>
        <w:outlineLvl w:val="1"/>
        <w:rPr>
          <w:b/>
          <w:color w:val="auto"/>
          <w:sz w:val="28"/>
          <w:szCs w:val="32"/>
          <w:highlight w:val="none"/>
        </w:rPr>
      </w:pPr>
      <w:bookmarkStart w:id="936" w:name="_Toc275002356"/>
      <w:bookmarkStart w:id="937" w:name="_Toc367282300"/>
      <w:bookmarkStart w:id="938" w:name="_Toc259104552"/>
      <w:bookmarkStart w:id="939" w:name="_Toc259129443"/>
      <w:bookmarkStart w:id="940" w:name="_Toc367281717"/>
      <w:bookmarkStart w:id="941" w:name="_Toc75908785"/>
      <w:bookmarkStart w:id="942" w:name="_Toc259130806"/>
      <w:bookmarkStart w:id="943" w:name="_Toc259105232"/>
      <w:bookmarkStart w:id="944" w:name="_Toc14904"/>
      <w:bookmarkStart w:id="945" w:name="_Toc275730717"/>
      <w:bookmarkStart w:id="946" w:name="_Toc341369735"/>
      <w:r>
        <w:rPr>
          <w:b/>
          <w:color w:val="auto"/>
          <w:sz w:val="28"/>
          <w:szCs w:val="32"/>
          <w:highlight w:val="none"/>
        </w:rPr>
        <w:t>11.4 环境风险</w:t>
      </w:r>
      <w:bookmarkEnd w:id="936"/>
      <w:bookmarkEnd w:id="937"/>
      <w:bookmarkEnd w:id="938"/>
      <w:bookmarkEnd w:id="939"/>
      <w:bookmarkEnd w:id="940"/>
      <w:bookmarkEnd w:id="941"/>
      <w:bookmarkEnd w:id="942"/>
      <w:bookmarkEnd w:id="943"/>
      <w:bookmarkEnd w:id="944"/>
      <w:bookmarkEnd w:id="945"/>
      <w:bookmarkEnd w:id="946"/>
    </w:p>
    <w:p>
      <w:pPr>
        <w:autoSpaceDE w:val="0"/>
        <w:autoSpaceDN w:val="0"/>
        <w:spacing w:line="360" w:lineRule="auto"/>
        <w:ind w:firstLine="480" w:firstLineChars="200"/>
        <w:jc w:val="left"/>
        <w:rPr>
          <w:color w:val="auto"/>
          <w:sz w:val="24"/>
          <w:highlight w:val="none"/>
        </w:rPr>
      </w:pPr>
      <w:r>
        <w:rPr>
          <w:color w:val="auto"/>
          <w:sz w:val="24"/>
          <w:highlight w:val="none"/>
        </w:rPr>
        <w:t>本项目涉及的环境风险物质为设备维护使用的废机油，若贮存和使用时管理不当、操作不当，发生</w:t>
      </w:r>
      <w:r>
        <w:rPr>
          <w:rFonts w:hint="eastAsia"/>
          <w:color w:val="auto"/>
          <w:sz w:val="24"/>
          <w:highlight w:val="none"/>
          <w:lang w:eastAsia="zh-CN"/>
        </w:rPr>
        <w:t>泄漏</w:t>
      </w:r>
      <w:r>
        <w:rPr>
          <w:color w:val="auto"/>
          <w:sz w:val="24"/>
          <w:highlight w:val="none"/>
        </w:rPr>
        <w:t>、火灾、爆炸等环境风险事故将造成厂区的直接经济损失，对在厂、邻近人员造成伤害。在严格落实本报告的提出各项事故防范和应急措施，加强管理，可最大限度地减少可能发生的环境风险。且一旦发生事故，也可将影响范围控制在较小程度之内，减小损失。</w:t>
      </w:r>
    </w:p>
    <w:p>
      <w:pPr>
        <w:autoSpaceDE w:val="0"/>
        <w:autoSpaceDN w:val="0"/>
        <w:spacing w:line="360" w:lineRule="auto"/>
        <w:ind w:firstLine="480" w:firstLineChars="200"/>
        <w:jc w:val="left"/>
        <w:rPr>
          <w:color w:val="auto"/>
          <w:sz w:val="24"/>
          <w:highlight w:val="none"/>
        </w:rPr>
      </w:pPr>
      <w:r>
        <w:rPr>
          <w:color w:val="auto"/>
          <w:sz w:val="24"/>
          <w:highlight w:val="none"/>
        </w:rPr>
        <w:t>企业在运营期间应不断完善企业事故防范和应急体系，实现企业联防联动，减少项目环境风险事故发生的概率，其影响危害可控制在厂区内。项目发生环境风险事故风险水平可接受。</w:t>
      </w:r>
    </w:p>
    <w:p>
      <w:pPr>
        <w:keepNext/>
        <w:keepLines/>
        <w:spacing w:line="360" w:lineRule="auto"/>
        <w:outlineLvl w:val="1"/>
        <w:rPr>
          <w:b/>
          <w:color w:val="auto"/>
          <w:sz w:val="28"/>
          <w:szCs w:val="32"/>
          <w:highlight w:val="none"/>
        </w:rPr>
      </w:pPr>
      <w:bookmarkStart w:id="947" w:name="_Toc315"/>
      <w:bookmarkStart w:id="948" w:name="_Toc75908786"/>
      <w:r>
        <w:rPr>
          <w:b/>
          <w:color w:val="auto"/>
          <w:sz w:val="28"/>
          <w:szCs w:val="32"/>
          <w:highlight w:val="none"/>
        </w:rPr>
        <w:t>11.5 环境影响损益分析</w:t>
      </w:r>
      <w:bookmarkEnd w:id="947"/>
      <w:bookmarkEnd w:id="948"/>
    </w:p>
    <w:p>
      <w:pPr>
        <w:autoSpaceDE w:val="0"/>
        <w:autoSpaceDN w:val="0"/>
        <w:spacing w:line="360" w:lineRule="auto"/>
        <w:ind w:firstLine="480" w:firstLineChars="200"/>
        <w:jc w:val="left"/>
        <w:rPr>
          <w:color w:val="auto"/>
          <w:sz w:val="24"/>
          <w:highlight w:val="none"/>
        </w:rPr>
      </w:pPr>
      <w:r>
        <w:rPr>
          <w:color w:val="auto"/>
          <w:kern w:val="0"/>
          <w:sz w:val="24"/>
          <w:szCs w:val="22"/>
          <w:highlight w:val="none"/>
        </w:rPr>
        <w:t>项目环保投资总额（建设费用）共计</w:t>
      </w:r>
      <w:r>
        <w:rPr>
          <w:rFonts w:hint="eastAsia"/>
          <w:color w:val="auto"/>
          <w:kern w:val="0"/>
          <w:sz w:val="24"/>
          <w:szCs w:val="22"/>
          <w:highlight w:val="none"/>
          <w:lang w:val="en-US" w:eastAsia="zh-CN"/>
        </w:rPr>
        <w:t>41.8</w:t>
      </w:r>
      <w:r>
        <w:rPr>
          <w:color w:val="auto"/>
          <w:kern w:val="0"/>
          <w:sz w:val="24"/>
          <w:szCs w:val="22"/>
          <w:highlight w:val="none"/>
        </w:rPr>
        <w:t>万元，约占总投资（</w:t>
      </w:r>
      <w:r>
        <w:rPr>
          <w:rFonts w:hint="eastAsia"/>
          <w:color w:val="auto"/>
          <w:sz w:val="24"/>
          <w:highlight w:val="none"/>
          <w:lang w:val="en-US" w:eastAsia="zh-CN"/>
        </w:rPr>
        <w:t>500</w:t>
      </w:r>
      <w:r>
        <w:rPr>
          <w:color w:val="auto"/>
          <w:sz w:val="24"/>
          <w:highlight w:val="none"/>
        </w:rPr>
        <w:t>万元</w:t>
      </w:r>
      <w:r>
        <w:rPr>
          <w:color w:val="auto"/>
          <w:kern w:val="0"/>
          <w:sz w:val="24"/>
          <w:szCs w:val="22"/>
          <w:highlight w:val="none"/>
        </w:rPr>
        <w:t>）的</w:t>
      </w:r>
      <w:r>
        <w:rPr>
          <w:rFonts w:hint="eastAsia"/>
          <w:color w:val="auto"/>
          <w:kern w:val="0"/>
          <w:sz w:val="24"/>
          <w:szCs w:val="22"/>
          <w:highlight w:val="none"/>
          <w:lang w:val="en-US" w:eastAsia="zh-CN"/>
        </w:rPr>
        <w:t>8.36</w:t>
      </w:r>
      <w:r>
        <w:rPr>
          <w:color w:val="auto"/>
          <w:kern w:val="0"/>
          <w:sz w:val="24"/>
          <w:szCs w:val="22"/>
          <w:highlight w:val="none"/>
        </w:rPr>
        <w:t>%，</w:t>
      </w:r>
      <w:r>
        <w:rPr>
          <w:color w:val="auto"/>
          <w:sz w:val="24"/>
          <w:highlight w:val="none"/>
        </w:rPr>
        <w:t>对污染物采取的治理措施可以保证各项污染物达标排放，具有良好的环境效益，此外还可以产生一定的经济效益和社会效益。</w:t>
      </w:r>
    </w:p>
    <w:p>
      <w:pPr>
        <w:keepNext/>
        <w:keepLines/>
        <w:spacing w:line="360" w:lineRule="auto"/>
        <w:outlineLvl w:val="1"/>
        <w:rPr>
          <w:b/>
          <w:color w:val="auto"/>
          <w:sz w:val="28"/>
          <w:szCs w:val="32"/>
          <w:highlight w:val="none"/>
        </w:rPr>
      </w:pPr>
      <w:bookmarkStart w:id="949" w:name="_Toc367281726"/>
      <w:bookmarkStart w:id="950" w:name="_Toc75908787"/>
      <w:bookmarkStart w:id="951" w:name="_Toc367282309"/>
      <w:bookmarkStart w:id="952" w:name="_Toc8287"/>
      <w:r>
        <w:rPr>
          <w:b/>
          <w:color w:val="auto"/>
          <w:sz w:val="28"/>
          <w:szCs w:val="32"/>
          <w:highlight w:val="none"/>
        </w:rPr>
        <w:t>11.6 公众参与</w:t>
      </w:r>
      <w:bookmarkEnd w:id="949"/>
      <w:bookmarkEnd w:id="950"/>
      <w:bookmarkEnd w:id="951"/>
      <w:bookmarkEnd w:id="952"/>
    </w:p>
    <w:p>
      <w:pPr>
        <w:adjustRightInd w:val="0"/>
        <w:snapToGrid w:val="0"/>
        <w:spacing w:line="360" w:lineRule="auto"/>
        <w:ind w:firstLine="480" w:firstLineChars="200"/>
        <w:rPr>
          <w:rFonts w:ascii="Times New Roman" w:hAnsi="Times New Roman" w:eastAsia="宋体" w:cs="Times New Roman"/>
          <w:color w:val="auto"/>
          <w:sz w:val="24"/>
          <w:highlight w:val="none"/>
        </w:rPr>
      </w:pPr>
      <w:r>
        <w:rPr>
          <w:color w:val="auto"/>
          <w:sz w:val="24"/>
          <w:highlight w:val="none"/>
        </w:rPr>
        <w:t>根据《环境影响评价公众参与办法》（生态环境部令第4号），</w:t>
      </w:r>
      <w:r>
        <w:rPr>
          <w:bCs/>
          <w:color w:val="auto"/>
          <w:spacing w:val="14"/>
          <w:sz w:val="24"/>
          <w:highlight w:val="none"/>
        </w:rPr>
        <w:t>建设单位</w:t>
      </w:r>
      <w:r>
        <w:rPr>
          <w:color w:val="auto"/>
          <w:spacing w:val="8"/>
          <w:sz w:val="24"/>
          <w:highlight w:val="none"/>
        </w:rPr>
        <w:t>于</w:t>
      </w:r>
      <w:r>
        <w:rPr>
          <w:rFonts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3</w:t>
      </w:r>
      <w:r>
        <w:rPr>
          <w:rFonts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11</w:t>
      </w:r>
      <w:r>
        <w:rPr>
          <w:rFonts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30</w:t>
      </w:r>
      <w:r>
        <w:rPr>
          <w:rFonts w:ascii="Times New Roman" w:hAnsi="Times New Roman" w:eastAsia="宋体" w:cs="Times New Roman"/>
          <w:color w:val="auto"/>
          <w:sz w:val="24"/>
          <w:highlight w:val="none"/>
        </w:rPr>
        <w:t>日在</w:t>
      </w:r>
      <w:r>
        <w:rPr>
          <w:rFonts w:hint="eastAsia"/>
          <w:color w:val="auto"/>
          <w:sz w:val="24"/>
          <w:highlight w:val="none"/>
          <w:lang w:val="en-US" w:eastAsia="zh-CN"/>
        </w:rPr>
        <w:t>寻甸在线融媒平台</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http://www.xundian.ccoo.cn/post/shenghuo/3408570x.html</w:t>
      </w:r>
      <w:r>
        <w:rPr>
          <w:rFonts w:ascii="Times New Roman" w:hAnsi="Times New Roman" w:eastAsia="宋体" w:cs="Times New Roman"/>
          <w:color w:val="auto"/>
          <w:sz w:val="24"/>
          <w:highlight w:val="none"/>
        </w:rPr>
        <w:t>）上进行了环境影响评价第一次公示</w:t>
      </w:r>
      <w:r>
        <w:rPr>
          <w:rFonts w:hint="eastAsia" w:cs="Times New Roman"/>
          <w:color w:val="auto"/>
          <w:sz w:val="24"/>
          <w:highlight w:val="none"/>
          <w:lang w:eastAsia="zh-CN"/>
        </w:rPr>
        <w:t>，</w:t>
      </w:r>
      <w:r>
        <w:rPr>
          <w:rFonts w:hint="eastAsia" w:cs="Times New Roman"/>
          <w:color w:val="auto"/>
          <w:sz w:val="24"/>
          <w:highlight w:val="none"/>
          <w:lang w:val="en-US" w:eastAsia="zh-CN"/>
        </w:rPr>
        <w:t>公示日期：2023年11月30日-12月13日</w:t>
      </w:r>
      <w:r>
        <w:rPr>
          <w:rFonts w:ascii="Times New Roman" w:hAnsi="Times New Roman" w:eastAsia="宋体" w:cs="Times New Roman"/>
          <w:color w:val="auto"/>
          <w:sz w:val="24"/>
          <w:highlight w:val="none"/>
        </w:rPr>
        <w:t>。</w:t>
      </w:r>
    </w:p>
    <w:p>
      <w:pPr>
        <w:adjustRightInd w:val="0"/>
        <w:snapToGrid w:val="0"/>
        <w:spacing w:line="360" w:lineRule="auto"/>
        <w:ind w:firstLine="480" w:firstLineChars="200"/>
        <w:rPr>
          <w:color w:val="auto"/>
          <w:sz w:val="24"/>
          <w:highlight w:val="none"/>
        </w:rPr>
      </w:pP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w:t>
      </w:r>
      <w:r>
        <w:rPr>
          <w:color w:val="auto"/>
          <w:sz w:val="24"/>
          <w:highlight w:val="none"/>
        </w:rPr>
        <w:t>月</w:t>
      </w:r>
      <w:r>
        <w:rPr>
          <w:rFonts w:hint="eastAsia"/>
          <w:color w:val="auto"/>
          <w:sz w:val="24"/>
          <w:highlight w:val="none"/>
          <w:lang w:val="en-US" w:eastAsia="zh-CN"/>
        </w:rPr>
        <w:t>25</w:t>
      </w:r>
      <w:r>
        <w:rPr>
          <w:color w:val="auto"/>
          <w:sz w:val="24"/>
          <w:highlight w:val="none"/>
        </w:rPr>
        <w:t>日~</w:t>
      </w:r>
      <w:r>
        <w:rPr>
          <w:rFonts w:hint="eastAsia"/>
          <w:color w:val="auto"/>
          <w:sz w:val="24"/>
          <w:highlight w:val="none"/>
          <w:lang w:val="en-US" w:eastAsia="zh-CN"/>
        </w:rPr>
        <w:t>2</w:t>
      </w:r>
      <w:r>
        <w:rPr>
          <w:color w:val="auto"/>
          <w:sz w:val="24"/>
          <w:highlight w:val="none"/>
        </w:rPr>
        <w:t>月</w:t>
      </w:r>
      <w:r>
        <w:rPr>
          <w:rFonts w:hint="eastAsia"/>
          <w:color w:val="auto"/>
          <w:sz w:val="24"/>
          <w:highlight w:val="none"/>
          <w:lang w:val="en-US" w:eastAsia="zh-CN"/>
        </w:rPr>
        <w:t>6</w:t>
      </w:r>
      <w:r>
        <w:rPr>
          <w:color w:val="auto"/>
          <w:sz w:val="24"/>
          <w:highlight w:val="none"/>
        </w:rPr>
        <w:t>日，建设单位根据《环境影响评价公众参与办法》中的要求，在</w:t>
      </w:r>
      <w:r>
        <w:rPr>
          <w:rFonts w:hint="eastAsia"/>
          <w:color w:val="auto"/>
          <w:sz w:val="24"/>
          <w:highlight w:val="none"/>
          <w:lang w:val="en-US" w:eastAsia="zh-CN"/>
        </w:rPr>
        <w:t>寻</w:t>
      </w:r>
      <w:r>
        <w:rPr>
          <w:rFonts w:hint="eastAsia" w:ascii="Times New Roman" w:hAnsi="Times New Roman" w:eastAsia="宋体" w:cs="Times New Roman"/>
          <w:color w:val="auto"/>
          <w:sz w:val="24"/>
          <w:highlight w:val="none"/>
          <w:lang w:val="en-US" w:eastAsia="zh-CN"/>
        </w:rPr>
        <w:t>甸在线融媒平台</w:t>
      </w:r>
      <w:r>
        <w:rPr>
          <w:rFonts w:hint="eastAsia" w:ascii="Times New Roman" w:hAnsi="Times New Roman" w:eastAsia="宋体" w:cs="Times New Roman"/>
          <w:color w:val="auto"/>
          <w:sz w:val="24"/>
          <w:highlight w:val="none"/>
        </w:rPr>
        <w:t>上</w:t>
      </w:r>
      <w:r>
        <w:rPr>
          <w:rFonts w:ascii="Times New Roman" w:hAnsi="Times New Roman" w:eastAsia="宋体" w:cs="Times New Roman"/>
          <w:color w:val="auto"/>
          <w:sz w:val="24"/>
          <w:highlight w:val="none"/>
        </w:rPr>
        <w:t>进行了《</w:t>
      </w:r>
      <w:r>
        <w:rPr>
          <w:rFonts w:hint="eastAsia" w:ascii="Times New Roman" w:hAnsi="Times New Roman" w:eastAsia="宋体" w:cs="Times New Roman"/>
          <w:color w:val="auto"/>
          <w:sz w:val="24"/>
          <w:highlight w:val="none"/>
          <w:lang w:val="en-US" w:eastAsia="zh-CN"/>
        </w:rPr>
        <w:t>寻甸县蜀滇塑料制品经营部蔬菜框生产项目</w:t>
      </w:r>
      <w:r>
        <w:rPr>
          <w:rFonts w:ascii="Times New Roman" w:hAnsi="Times New Roman" w:eastAsia="宋体" w:cs="Times New Roman"/>
          <w:color w:val="auto"/>
          <w:sz w:val="24"/>
          <w:highlight w:val="none"/>
        </w:rPr>
        <w:t>环境影响报</w:t>
      </w:r>
      <w:r>
        <w:rPr>
          <w:color w:val="auto"/>
          <w:sz w:val="24"/>
          <w:highlight w:val="none"/>
        </w:rPr>
        <w:t>告书》（征求意见稿）信息网络公示，公示链接</w:t>
      </w:r>
      <w:r>
        <w:rPr>
          <w:rFonts w:hint="eastAsia"/>
          <w:color w:val="auto"/>
          <w:sz w:val="24"/>
          <w:highlight w:val="none"/>
        </w:rPr>
        <w:t>http://www.xundian.ccoo.cn/post/shenghuo/3410391x.html</w:t>
      </w:r>
      <w:r>
        <w:rPr>
          <w:color w:val="auto"/>
          <w:sz w:val="24"/>
          <w:highlight w:val="none"/>
        </w:rPr>
        <w:t>。</w:t>
      </w:r>
    </w:p>
    <w:p>
      <w:pPr>
        <w:adjustRightInd w:val="0"/>
        <w:snapToGrid w:val="0"/>
        <w:spacing w:line="360" w:lineRule="auto"/>
        <w:ind w:firstLine="480" w:firstLineChars="200"/>
        <w:rPr>
          <w:color w:val="auto"/>
          <w:sz w:val="24"/>
          <w:highlight w:val="none"/>
        </w:rPr>
      </w:pP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w:t>
      </w:r>
      <w:r>
        <w:rPr>
          <w:color w:val="auto"/>
          <w:sz w:val="24"/>
          <w:highlight w:val="none"/>
        </w:rPr>
        <w:t>月</w:t>
      </w:r>
      <w:r>
        <w:rPr>
          <w:rFonts w:hint="eastAsia"/>
          <w:color w:val="auto"/>
          <w:sz w:val="24"/>
          <w:highlight w:val="none"/>
          <w:lang w:val="en-US" w:eastAsia="zh-CN"/>
        </w:rPr>
        <w:t>30</w:t>
      </w:r>
      <w:r>
        <w:rPr>
          <w:color w:val="auto"/>
          <w:sz w:val="24"/>
          <w:highlight w:val="none"/>
        </w:rPr>
        <w:t>日、</w:t>
      </w:r>
      <w:r>
        <w:rPr>
          <w:rFonts w:hint="eastAsia"/>
          <w:color w:val="auto"/>
          <w:sz w:val="24"/>
          <w:highlight w:val="none"/>
          <w:lang w:val="en-US" w:eastAsia="zh-CN"/>
        </w:rPr>
        <w:t>2</w:t>
      </w:r>
      <w:r>
        <w:rPr>
          <w:color w:val="auto"/>
          <w:sz w:val="24"/>
          <w:highlight w:val="none"/>
        </w:rPr>
        <w:t>月2日，建设单位在云南信息报进行了《</w:t>
      </w:r>
      <w:r>
        <w:rPr>
          <w:rFonts w:hint="eastAsia" w:ascii="Times New Roman" w:hAnsi="Times New Roman" w:eastAsia="宋体" w:cs="Times New Roman"/>
          <w:color w:val="auto"/>
          <w:sz w:val="24"/>
          <w:highlight w:val="none"/>
          <w:lang w:val="en-US" w:eastAsia="zh-CN"/>
        </w:rPr>
        <w:t>寻甸县蜀滇塑料制品经营部蔬菜框生产项目</w:t>
      </w:r>
      <w:r>
        <w:rPr>
          <w:color w:val="auto"/>
          <w:sz w:val="24"/>
          <w:highlight w:val="none"/>
        </w:rPr>
        <w:t>环境影响报告书》（征求意见稿）信息报纸公示（总第</w:t>
      </w:r>
      <w:r>
        <w:rPr>
          <w:rFonts w:hint="eastAsia"/>
          <w:color w:val="auto"/>
          <w:sz w:val="24"/>
          <w:highlight w:val="none"/>
          <w:lang w:val="en-US" w:eastAsia="zh-CN"/>
        </w:rPr>
        <w:t>9741</w:t>
      </w:r>
      <w:r>
        <w:rPr>
          <w:rFonts w:hint="eastAsia"/>
          <w:color w:val="auto"/>
          <w:sz w:val="24"/>
          <w:highlight w:val="none"/>
        </w:rPr>
        <w:t>期</w:t>
      </w:r>
      <w:r>
        <w:rPr>
          <w:color w:val="auto"/>
          <w:sz w:val="24"/>
          <w:highlight w:val="none"/>
        </w:rPr>
        <w:t>和总第</w:t>
      </w:r>
      <w:r>
        <w:rPr>
          <w:rFonts w:hint="eastAsia"/>
          <w:color w:val="auto"/>
          <w:sz w:val="24"/>
          <w:highlight w:val="none"/>
          <w:lang w:val="en-US" w:eastAsia="zh-CN"/>
        </w:rPr>
        <w:t>9742</w:t>
      </w:r>
      <w:r>
        <w:rPr>
          <w:color w:val="auto"/>
          <w:sz w:val="24"/>
          <w:highlight w:val="none"/>
        </w:rPr>
        <w:t>期），公示时间为</w:t>
      </w:r>
      <w:r>
        <w:rPr>
          <w:rFonts w:hint="eastAsia"/>
          <w:color w:val="auto"/>
          <w:sz w:val="24"/>
          <w:highlight w:val="none"/>
          <w:lang w:val="en-US" w:eastAsia="zh-CN"/>
        </w:rPr>
        <w:t>10个工作日</w:t>
      </w:r>
      <w:r>
        <w:rPr>
          <w:color w:val="auto"/>
          <w:sz w:val="24"/>
          <w:highlight w:val="none"/>
        </w:rPr>
        <w:t>。</w:t>
      </w:r>
    </w:p>
    <w:p>
      <w:pPr>
        <w:adjustRightInd w:val="0"/>
        <w:snapToGrid w:val="0"/>
        <w:spacing w:line="360" w:lineRule="auto"/>
        <w:ind w:firstLine="480" w:firstLineChars="200"/>
        <w:rPr>
          <w:color w:val="auto"/>
          <w:sz w:val="24"/>
          <w:highlight w:val="none"/>
        </w:rPr>
      </w:pP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w:t>
      </w:r>
      <w:r>
        <w:rPr>
          <w:color w:val="auto"/>
          <w:sz w:val="24"/>
          <w:highlight w:val="none"/>
        </w:rPr>
        <w:t>月</w:t>
      </w:r>
      <w:r>
        <w:rPr>
          <w:rFonts w:hint="eastAsia"/>
          <w:color w:val="auto"/>
          <w:sz w:val="24"/>
          <w:highlight w:val="none"/>
          <w:lang w:val="en-US" w:eastAsia="zh-CN"/>
        </w:rPr>
        <w:t>25</w:t>
      </w:r>
      <w:r>
        <w:rPr>
          <w:color w:val="auto"/>
          <w:sz w:val="24"/>
          <w:highlight w:val="none"/>
        </w:rPr>
        <w:t>日~202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2</w:t>
      </w:r>
      <w:r>
        <w:rPr>
          <w:color w:val="auto"/>
          <w:sz w:val="24"/>
          <w:highlight w:val="none"/>
        </w:rPr>
        <w:t>月</w:t>
      </w:r>
      <w:r>
        <w:rPr>
          <w:rFonts w:hint="eastAsia"/>
          <w:color w:val="auto"/>
          <w:sz w:val="24"/>
          <w:highlight w:val="none"/>
          <w:lang w:val="en-US" w:eastAsia="zh-CN"/>
        </w:rPr>
        <w:t>6</w:t>
      </w:r>
      <w:r>
        <w:rPr>
          <w:color w:val="auto"/>
          <w:sz w:val="24"/>
          <w:highlight w:val="none"/>
        </w:rPr>
        <w:t>日，建设单位在</w:t>
      </w:r>
      <w:r>
        <w:rPr>
          <w:rFonts w:hint="eastAsia" w:ascii="Times New Roman" w:hAnsi="Times New Roman" w:eastAsia="宋体" w:cs="Times New Roman"/>
          <w:color w:val="auto"/>
          <w:sz w:val="24"/>
          <w:highlight w:val="none"/>
          <w:lang w:val="en-US" w:eastAsia="zh-CN"/>
        </w:rPr>
        <w:t>寻甸县三月三村</w:t>
      </w:r>
      <w:r>
        <w:rPr>
          <w:rFonts w:ascii="Times New Roman" w:hAnsi="Times New Roman" w:eastAsia="宋体" w:cs="Times New Roman"/>
          <w:color w:val="auto"/>
          <w:sz w:val="24"/>
          <w:highlight w:val="none"/>
        </w:rPr>
        <w:t>公开</w:t>
      </w:r>
      <w:r>
        <w:rPr>
          <w:color w:val="auto"/>
          <w:sz w:val="24"/>
          <w:highlight w:val="none"/>
        </w:rPr>
        <w:t>栏进行了项目征求意见稿公示信息张贴。</w:t>
      </w:r>
    </w:p>
    <w:p>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2024年2月19日~3月1日，建设单位在寻甸融媒平台上进行了《</w:t>
      </w:r>
      <w:r>
        <w:rPr>
          <w:rFonts w:hint="eastAsia" w:ascii="Times New Roman" w:hAnsi="Times New Roman" w:eastAsia="宋体" w:cs="Times New Roman"/>
          <w:color w:val="auto"/>
          <w:sz w:val="24"/>
          <w:highlight w:val="none"/>
          <w:lang w:val="en-US" w:eastAsia="zh-CN"/>
        </w:rPr>
        <w:t>寻甸县蜀滇塑料制品经营部蔬菜框生产项目</w:t>
      </w:r>
      <w:r>
        <w:rPr>
          <w:rFonts w:ascii="Times New Roman" w:hAnsi="Times New Roman" w:eastAsia="宋体" w:cs="Times New Roman"/>
          <w:color w:val="auto"/>
          <w:sz w:val="24"/>
          <w:highlight w:val="none"/>
        </w:rPr>
        <w:t>环境影响报</w:t>
      </w:r>
      <w:r>
        <w:rPr>
          <w:color w:val="auto"/>
          <w:sz w:val="24"/>
          <w:highlight w:val="none"/>
        </w:rPr>
        <w:t>告书》（</w:t>
      </w:r>
      <w:r>
        <w:rPr>
          <w:rFonts w:hint="eastAsia"/>
          <w:color w:val="auto"/>
          <w:sz w:val="24"/>
          <w:highlight w:val="none"/>
          <w:lang w:val="en-US" w:eastAsia="zh-CN"/>
        </w:rPr>
        <w:t>送审</w:t>
      </w:r>
      <w:r>
        <w:rPr>
          <w:color w:val="auto"/>
          <w:sz w:val="24"/>
          <w:highlight w:val="none"/>
        </w:rPr>
        <w:t>稿）信息网络公示，公示链接</w:t>
      </w:r>
      <w:r>
        <w:rPr>
          <w:rFonts w:hint="eastAsia"/>
          <w:color w:val="auto"/>
          <w:sz w:val="24"/>
          <w:highlight w:val="none"/>
        </w:rPr>
        <w:t>http://www.xundian.ccoo.cn/post/shenghuo/3410809x.html</w:t>
      </w:r>
      <w:r>
        <w:rPr>
          <w:color w:val="auto"/>
          <w:sz w:val="24"/>
          <w:highlight w:val="none"/>
        </w:rPr>
        <w:t>。</w:t>
      </w:r>
    </w:p>
    <w:p>
      <w:pPr>
        <w:spacing w:line="360" w:lineRule="auto"/>
        <w:ind w:firstLine="480" w:firstLineChars="200"/>
        <w:rPr>
          <w:color w:val="auto"/>
          <w:sz w:val="24"/>
          <w:highlight w:val="none"/>
        </w:rPr>
      </w:pPr>
      <w:r>
        <w:rPr>
          <w:color w:val="auto"/>
          <w:sz w:val="24"/>
          <w:highlight w:val="none"/>
        </w:rPr>
        <w:t>公示期间均未收到公众关于本项目的反馈意见。</w:t>
      </w:r>
    </w:p>
    <w:p>
      <w:pPr>
        <w:keepNext/>
        <w:keepLines/>
        <w:spacing w:line="360" w:lineRule="auto"/>
        <w:outlineLvl w:val="1"/>
        <w:rPr>
          <w:b/>
          <w:color w:val="auto"/>
          <w:sz w:val="28"/>
          <w:szCs w:val="32"/>
          <w:highlight w:val="none"/>
        </w:rPr>
      </w:pPr>
      <w:bookmarkStart w:id="953" w:name="_Toc15830"/>
      <w:bookmarkStart w:id="954" w:name="_Toc75908788"/>
      <w:r>
        <w:rPr>
          <w:b/>
          <w:color w:val="auto"/>
          <w:sz w:val="28"/>
          <w:szCs w:val="32"/>
          <w:highlight w:val="none"/>
        </w:rPr>
        <w:t>11.7 与产业政策及相关规划的符合性分析</w:t>
      </w:r>
      <w:bookmarkEnd w:id="953"/>
      <w:bookmarkEnd w:id="954"/>
    </w:p>
    <w:p>
      <w:pPr>
        <w:spacing w:line="360" w:lineRule="auto"/>
        <w:ind w:firstLine="480" w:firstLineChars="200"/>
        <w:rPr>
          <w:color w:val="auto"/>
          <w:sz w:val="24"/>
          <w:highlight w:val="none"/>
        </w:rPr>
      </w:pPr>
      <w:r>
        <w:rPr>
          <w:color w:val="auto"/>
          <w:sz w:val="24"/>
          <w:highlight w:val="none"/>
        </w:rPr>
        <w:t>对照《产业结构调整指导目录（20</w:t>
      </w:r>
      <w:r>
        <w:rPr>
          <w:rFonts w:hint="eastAsia"/>
          <w:color w:val="auto"/>
          <w:sz w:val="24"/>
          <w:highlight w:val="none"/>
          <w:lang w:val="en-US" w:eastAsia="zh-CN"/>
        </w:rPr>
        <w:t>24年</w:t>
      </w:r>
      <w:r>
        <w:rPr>
          <w:color w:val="auto"/>
          <w:sz w:val="24"/>
          <w:highlight w:val="none"/>
        </w:rPr>
        <w:t>本）》，</w:t>
      </w:r>
      <w:r>
        <w:rPr>
          <w:rFonts w:hint="eastAsia"/>
          <w:color w:val="auto"/>
          <w:sz w:val="24"/>
          <w:highlight w:val="none"/>
          <w:lang w:val="en-US" w:eastAsia="zh-CN"/>
        </w:rPr>
        <w:t>本项目不属于鼓励类、限制类和淘汰类，为允许类项目。</w:t>
      </w:r>
      <w:r>
        <w:rPr>
          <w:color w:val="auto"/>
          <w:sz w:val="24"/>
          <w:highlight w:val="none"/>
        </w:rPr>
        <w:t>同时项目已取得寻甸回族彝族自治县发展和改革局的投资项目备案证（项目代码：</w:t>
      </w:r>
      <w:r>
        <w:rPr>
          <w:rFonts w:hint="eastAsia"/>
          <w:color w:val="auto"/>
          <w:sz w:val="24"/>
          <w:highlight w:val="none"/>
          <w:lang w:val="en-US" w:eastAsia="zh-CN"/>
        </w:rPr>
        <w:t>2311-530129-04-01-845291</w:t>
      </w:r>
      <w:r>
        <w:rPr>
          <w:color w:val="auto"/>
          <w:sz w:val="24"/>
          <w:highlight w:val="none"/>
        </w:rPr>
        <w:t>）。且项目拟使用的生产设备不属于《部分工业行业淘汰落后生产工艺装备和产品指导目录（2010年本）》规定的淘汰设备范畴；项目符合国家产业政策。</w:t>
      </w:r>
    </w:p>
    <w:p>
      <w:pPr>
        <w:spacing w:line="360" w:lineRule="auto"/>
        <w:ind w:firstLine="480" w:firstLineChars="200"/>
        <w:rPr>
          <w:rFonts w:ascii="Times New Roman" w:hAnsi="Times New Roman" w:eastAsia="宋体" w:cs="Times New Roman"/>
          <w:color w:val="auto"/>
          <w:sz w:val="24"/>
          <w:highlight w:val="none"/>
        </w:rPr>
      </w:pPr>
      <w:r>
        <w:rPr>
          <w:color w:val="auto"/>
          <w:sz w:val="24"/>
          <w:highlight w:val="none"/>
        </w:rPr>
        <w:t>项目建设符合</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云南省主体功能区规划</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云南省生态功能区划</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云南省工业固体废物和重金属污染“十四五”规划</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《云南省牛栏江保护条例》、《牛栏江流域（云南部分）水环境保护规划（2009~2030）》、《牛栏江流域（寻甸段）水环境保护规划》、</w:t>
      </w:r>
      <w:r>
        <w:rPr>
          <w:rFonts w:hint="default" w:ascii="Times New Roman" w:hAnsi="Times New Roman" w:eastAsia="宋体" w:cs="Times New Roman"/>
          <w:color w:val="auto"/>
          <w:sz w:val="24"/>
          <w:highlight w:val="none"/>
          <w:lang w:val="en-US" w:eastAsia="zh-CN"/>
        </w:rPr>
        <w:t>《重点行业挥发性有机物综合治理实施方案》（环大气〔2019〕53号）</w:t>
      </w:r>
      <w:r>
        <w:rPr>
          <w:rFonts w:hint="eastAsia" w:ascii="Times New Roman" w:hAnsi="Times New Roman" w:eastAsia="宋体" w:cs="Times New Roman"/>
          <w:color w:val="auto"/>
          <w:sz w:val="24"/>
          <w:highlight w:val="none"/>
          <w:lang w:val="en-US" w:eastAsia="zh-CN"/>
        </w:rPr>
        <w:t>、《云南省重点行业挥发性有机物综合治理实施方案》（云环通</w:t>
      </w:r>
      <w:r>
        <w:rPr>
          <w:rFonts w:hint="default" w:ascii="Times New Roman" w:hAnsi="Times New Roman" w:eastAsia="宋体" w:cs="Times New Roman"/>
          <w:color w:val="auto"/>
          <w:sz w:val="24"/>
          <w:highlight w:val="none"/>
          <w:lang w:val="en-US" w:eastAsia="zh-CN"/>
        </w:rPr>
        <w:t>〔2019〕</w:t>
      </w:r>
      <w:r>
        <w:rPr>
          <w:rFonts w:hint="eastAsia" w:ascii="Times New Roman" w:hAnsi="Times New Roman" w:eastAsia="宋体" w:cs="Times New Roman"/>
          <w:color w:val="auto"/>
          <w:sz w:val="24"/>
          <w:highlight w:val="none"/>
          <w:lang w:val="en-US" w:eastAsia="zh-CN"/>
        </w:rPr>
        <w:t>125</w:t>
      </w:r>
      <w:r>
        <w:rPr>
          <w:rFonts w:hint="default" w:ascii="Times New Roman" w:hAnsi="Times New Roman" w:eastAsia="宋体" w:cs="Times New Roman"/>
          <w:color w:val="auto"/>
          <w:sz w:val="24"/>
          <w:highlight w:val="none"/>
          <w:lang w:val="en-US" w:eastAsia="zh-CN"/>
        </w:rPr>
        <w:t>号</w:t>
      </w:r>
      <w:r>
        <w:rPr>
          <w:rFonts w:hint="eastAsia" w:ascii="Times New Roman" w:hAnsi="Times New Roman" w:eastAsia="宋体" w:cs="Times New Roman"/>
          <w:color w:val="auto"/>
          <w:sz w:val="24"/>
          <w:highlight w:val="none"/>
          <w:lang w:val="en-US" w:eastAsia="zh-CN"/>
        </w:rPr>
        <w:t>）、《2020年挥发性有机物治理攻坚方案》、</w:t>
      </w:r>
      <w:r>
        <w:rPr>
          <w:rFonts w:hint="eastAsia" w:cs="Times New Roman"/>
          <w:color w:val="auto"/>
          <w:sz w:val="24"/>
          <w:highlight w:val="none"/>
          <w:lang w:val="en-US" w:eastAsia="zh-CN"/>
        </w:rPr>
        <w:t>《云南省土壤污染防治条例》、《昆明市大气污染防治条例》、《云南省“十四五”生态环境保护规划》、《云南省长江</w:t>
      </w:r>
      <w:r>
        <w:rPr>
          <w:rFonts w:ascii="Times New Roman" w:hAnsi="Times New Roman" w:eastAsia="宋体" w:cs="Times New Roman"/>
          <w:color w:val="auto"/>
          <w:sz w:val="24"/>
          <w:highlight w:val="none"/>
        </w:rPr>
        <w:t>经济带发展负面清单指南实施细则（试行</w:t>
      </w:r>
      <w:r>
        <w:rPr>
          <w:rFonts w:hint="eastAsia" w:ascii="Times New Roman" w:hAnsi="Times New Roman" w:eastAsia="宋体" w:cs="Times New Roman"/>
          <w:color w:val="auto"/>
          <w:sz w:val="24"/>
          <w:highlight w:val="none"/>
        </w:rPr>
        <w:t>，2022年版</w:t>
      </w:r>
      <w:r>
        <w:rPr>
          <w:rFonts w:ascii="Times New Roman" w:hAnsi="Times New Roman" w:eastAsia="宋体" w:cs="Times New Roman"/>
          <w:color w:val="auto"/>
          <w:sz w:val="24"/>
          <w:highlight w:val="none"/>
        </w:rPr>
        <w:t>）》等的相关要求。</w:t>
      </w:r>
    </w:p>
    <w:p>
      <w:pPr>
        <w:spacing w:line="360" w:lineRule="auto"/>
        <w:ind w:firstLine="480" w:firstLineChars="200"/>
        <w:rPr>
          <w:rFonts w:hint="eastAsia" w:eastAsia="宋体"/>
          <w:color w:val="auto"/>
          <w:sz w:val="24"/>
          <w:highlight w:val="none"/>
          <w:lang w:eastAsia="zh-CN"/>
        </w:rPr>
      </w:pPr>
      <w:r>
        <w:rPr>
          <w:color w:val="auto"/>
          <w:sz w:val="24"/>
          <w:highlight w:val="none"/>
        </w:rPr>
        <w:t>综上所述，本项目建设不存在产业政策和相关规划方面的制约因素</w:t>
      </w:r>
      <w:r>
        <w:rPr>
          <w:rFonts w:hint="eastAsia"/>
          <w:color w:val="auto"/>
          <w:sz w:val="24"/>
          <w:highlight w:val="none"/>
          <w:lang w:eastAsia="zh-CN"/>
        </w:rPr>
        <w:t>。</w:t>
      </w:r>
    </w:p>
    <w:p>
      <w:pPr>
        <w:keepNext/>
        <w:keepLines/>
        <w:spacing w:line="360" w:lineRule="auto"/>
        <w:outlineLvl w:val="1"/>
        <w:rPr>
          <w:color w:val="auto"/>
          <w:highlight w:val="none"/>
        </w:rPr>
      </w:pPr>
      <w:bookmarkStart w:id="955" w:name="_Toc11899"/>
      <w:bookmarkStart w:id="956" w:name="_Toc75908789"/>
      <w:bookmarkStart w:id="957" w:name="_Toc5888545"/>
      <w:r>
        <w:rPr>
          <w:b/>
          <w:color w:val="auto"/>
          <w:sz w:val="28"/>
          <w:szCs w:val="32"/>
          <w:highlight w:val="none"/>
        </w:rPr>
        <w:t>11.8 环境管理与监测计划</w:t>
      </w:r>
      <w:bookmarkEnd w:id="955"/>
      <w:bookmarkEnd w:id="956"/>
      <w:bookmarkEnd w:id="957"/>
    </w:p>
    <w:p>
      <w:pPr>
        <w:autoSpaceDE w:val="0"/>
        <w:autoSpaceDN w:val="0"/>
        <w:spacing w:line="360" w:lineRule="auto"/>
        <w:ind w:firstLine="480" w:firstLineChars="200"/>
        <w:jc w:val="left"/>
        <w:rPr>
          <w:color w:val="auto"/>
          <w:sz w:val="24"/>
          <w:highlight w:val="none"/>
        </w:rPr>
      </w:pPr>
      <w:r>
        <w:rPr>
          <w:color w:val="auto"/>
          <w:sz w:val="24"/>
          <w:highlight w:val="none"/>
        </w:rPr>
        <w:t>项目建设单位应制定详细的环境管理制度与环境监测计划，企业委托有资质监测部门定期对项目生产过程中所产生污染物进行日常监测，对可能受影响居住区环境空气、声环境开展监测，建立健全监测档案，发现问题及时处理。</w:t>
      </w:r>
    </w:p>
    <w:p>
      <w:pPr>
        <w:keepNext/>
        <w:keepLines/>
        <w:spacing w:line="360" w:lineRule="auto"/>
        <w:outlineLvl w:val="1"/>
        <w:rPr>
          <w:b/>
          <w:color w:val="auto"/>
          <w:sz w:val="28"/>
          <w:szCs w:val="32"/>
          <w:highlight w:val="none"/>
        </w:rPr>
      </w:pPr>
      <w:bookmarkStart w:id="958" w:name="_Toc367282310"/>
      <w:bookmarkStart w:id="959" w:name="_Toc75908790"/>
      <w:bookmarkStart w:id="960" w:name="_Toc259129454"/>
      <w:bookmarkStart w:id="961" w:name="_Toc254770242"/>
      <w:bookmarkStart w:id="962" w:name="_Toc259130817"/>
      <w:bookmarkStart w:id="963" w:name="_Toc367281727"/>
      <w:bookmarkStart w:id="964" w:name="_Toc5219"/>
      <w:bookmarkStart w:id="965" w:name="_Toc341369744"/>
      <w:bookmarkStart w:id="966" w:name="_Toc275730728"/>
      <w:bookmarkStart w:id="967" w:name="_Toc275002367"/>
      <w:r>
        <w:rPr>
          <w:b/>
          <w:color w:val="auto"/>
          <w:sz w:val="28"/>
          <w:szCs w:val="32"/>
          <w:highlight w:val="none"/>
        </w:rPr>
        <w:t>11.9 项目环境影响可行性结论</w:t>
      </w:r>
      <w:bookmarkEnd w:id="958"/>
      <w:bookmarkEnd w:id="959"/>
      <w:bookmarkEnd w:id="960"/>
      <w:bookmarkEnd w:id="961"/>
      <w:bookmarkEnd w:id="962"/>
      <w:bookmarkEnd w:id="963"/>
      <w:bookmarkEnd w:id="964"/>
      <w:bookmarkEnd w:id="965"/>
      <w:bookmarkEnd w:id="966"/>
      <w:bookmarkEnd w:id="967"/>
    </w:p>
    <w:p>
      <w:pPr>
        <w:spacing w:line="360" w:lineRule="auto"/>
        <w:ind w:firstLine="540" w:firstLineChars="225"/>
        <w:rPr>
          <w:color w:val="auto"/>
          <w:sz w:val="24"/>
          <w:highlight w:val="none"/>
        </w:rPr>
      </w:pPr>
      <w:r>
        <w:rPr>
          <w:color w:val="auto"/>
          <w:kern w:val="0"/>
          <w:sz w:val="24"/>
          <w:highlight w:val="none"/>
        </w:rPr>
        <w:t>综上所述，</w:t>
      </w:r>
      <w:r>
        <w:rPr>
          <w:color w:val="auto"/>
          <w:sz w:val="24"/>
          <w:highlight w:val="none"/>
        </w:rPr>
        <w:t>项目建设符合国家产业政策、相关规划及环境管理政策要求；在落实工程设计和本评价提出的各项污染防治及风险防范措施后，能够实现各污染源的主要污染物稳定达标排放，生产、生活废水全部综合利用，固体废物得到合理处置或利用，对周围环境影响较小，可达到区域环境质量目标要求；环境风险可以控制在当地环境允许的程度；在各公示阶段均未收到公众意见；正常生产运营期间，严格执行环境管理与监测计划，可达到区域环境质量目标要求。因此，从满足环境功能区划的环境质量指标角度分析，该项目的建设是可行的。</w:t>
      </w:r>
    </w:p>
    <w:p>
      <w:pPr>
        <w:keepNext/>
        <w:keepLines/>
        <w:spacing w:line="360" w:lineRule="auto"/>
        <w:outlineLvl w:val="1"/>
        <w:rPr>
          <w:b/>
          <w:color w:val="auto"/>
          <w:sz w:val="28"/>
          <w:szCs w:val="32"/>
          <w:highlight w:val="none"/>
        </w:rPr>
      </w:pPr>
      <w:bookmarkStart w:id="968" w:name="_Toc254770243"/>
      <w:bookmarkStart w:id="969" w:name="_Toc114494736"/>
      <w:bookmarkStart w:id="970" w:name="_Toc175469234"/>
      <w:bookmarkStart w:id="971" w:name="_Toc275002368"/>
      <w:bookmarkStart w:id="972" w:name="_Toc217737507"/>
      <w:bookmarkStart w:id="973" w:name="_Toc226381980"/>
      <w:bookmarkStart w:id="974" w:name="_Toc123697102"/>
      <w:bookmarkStart w:id="975" w:name="_Toc259130818"/>
      <w:bookmarkStart w:id="976" w:name="_Toc259129455"/>
      <w:bookmarkStart w:id="977" w:name="_Toc209595667"/>
      <w:bookmarkStart w:id="978" w:name="_Toc215485149"/>
      <w:bookmarkStart w:id="979" w:name="_Toc163373245"/>
      <w:bookmarkStart w:id="980" w:name="_Toc275730729"/>
      <w:bookmarkStart w:id="981" w:name="_Toc367282311"/>
      <w:bookmarkStart w:id="982" w:name="_Toc16977"/>
      <w:bookmarkStart w:id="983" w:name="_Toc367281728"/>
      <w:bookmarkStart w:id="984" w:name="_Toc341369745"/>
      <w:bookmarkStart w:id="985" w:name="_Toc75908791"/>
      <w:r>
        <w:rPr>
          <w:b/>
          <w:color w:val="auto"/>
          <w:sz w:val="28"/>
          <w:szCs w:val="32"/>
          <w:highlight w:val="none"/>
        </w:rPr>
        <w:t>11.10 要求</w:t>
      </w:r>
      <w:bookmarkEnd w:id="968"/>
      <w:bookmarkEnd w:id="969"/>
      <w:bookmarkEnd w:id="970"/>
      <w:bookmarkEnd w:id="971"/>
      <w:bookmarkEnd w:id="972"/>
      <w:bookmarkEnd w:id="973"/>
      <w:bookmarkEnd w:id="974"/>
      <w:bookmarkEnd w:id="975"/>
      <w:bookmarkEnd w:id="976"/>
      <w:bookmarkEnd w:id="977"/>
      <w:bookmarkEnd w:id="978"/>
      <w:bookmarkEnd w:id="979"/>
      <w:r>
        <w:rPr>
          <w:b/>
          <w:color w:val="auto"/>
          <w:sz w:val="28"/>
          <w:szCs w:val="32"/>
          <w:highlight w:val="none"/>
        </w:rPr>
        <w:t>与建议</w:t>
      </w:r>
      <w:bookmarkEnd w:id="980"/>
      <w:bookmarkEnd w:id="981"/>
      <w:bookmarkEnd w:id="982"/>
      <w:bookmarkEnd w:id="983"/>
      <w:bookmarkEnd w:id="984"/>
      <w:bookmarkEnd w:id="985"/>
    </w:p>
    <w:p>
      <w:pPr>
        <w:keepNext/>
        <w:keepLines/>
        <w:spacing w:line="360" w:lineRule="auto"/>
        <w:outlineLvl w:val="2"/>
        <w:rPr>
          <w:b/>
          <w:bCs/>
          <w:color w:val="auto"/>
          <w:sz w:val="24"/>
          <w:highlight w:val="none"/>
        </w:rPr>
      </w:pPr>
      <w:bookmarkStart w:id="986" w:name="_Toc367282312"/>
      <w:bookmarkStart w:id="987" w:name="_Toc341369746"/>
      <w:bookmarkStart w:id="988" w:name="_Toc275730730"/>
      <w:bookmarkStart w:id="989" w:name="_Toc75908792"/>
      <w:bookmarkStart w:id="990" w:name="_Toc367281729"/>
      <w:bookmarkStart w:id="991" w:name="_Toc17408"/>
      <w:r>
        <w:rPr>
          <w:b/>
          <w:bCs/>
          <w:color w:val="auto"/>
          <w:sz w:val="24"/>
          <w:highlight w:val="none"/>
        </w:rPr>
        <w:t>11.10.1 主要要求</w:t>
      </w:r>
      <w:bookmarkEnd w:id="986"/>
      <w:bookmarkEnd w:id="987"/>
      <w:bookmarkEnd w:id="988"/>
      <w:bookmarkEnd w:id="989"/>
      <w:bookmarkEnd w:id="990"/>
      <w:bookmarkEnd w:id="991"/>
    </w:p>
    <w:p>
      <w:pPr>
        <w:pStyle w:val="33"/>
        <w:spacing w:after="0" w:line="360" w:lineRule="auto"/>
        <w:ind w:left="0" w:leftChars="0" w:firstLine="480" w:firstLineChars="200"/>
        <w:rPr>
          <w:bCs/>
          <w:color w:val="auto"/>
          <w:sz w:val="24"/>
          <w:highlight w:val="none"/>
        </w:rPr>
      </w:pPr>
      <w:r>
        <w:rPr>
          <w:bCs/>
          <w:color w:val="auto"/>
          <w:sz w:val="24"/>
          <w:highlight w:val="none"/>
        </w:rPr>
        <w:t>（1）优化项目厂房内部平面布局，细化噪声控制措施，减轻厂房内、外声环境影响，确保厂界噪声达标排放；</w:t>
      </w:r>
    </w:p>
    <w:p>
      <w:pPr>
        <w:pStyle w:val="33"/>
        <w:spacing w:after="0" w:line="360" w:lineRule="auto"/>
        <w:ind w:left="0" w:leftChars="0" w:firstLine="480" w:firstLineChars="200"/>
        <w:rPr>
          <w:bCs/>
          <w:color w:val="auto"/>
          <w:sz w:val="24"/>
          <w:highlight w:val="none"/>
        </w:rPr>
      </w:pPr>
      <w:r>
        <w:rPr>
          <w:bCs/>
          <w:color w:val="auto"/>
          <w:sz w:val="24"/>
          <w:highlight w:val="none"/>
        </w:rPr>
        <w:t>（2）严格执行对危险废物的全过程处理处置，确保其不对周边环境产生影响；</w:t>
      </w:r>
    </w:p>
    <w:p>
      <w:pPr>
        <w:pStyle w:val="33"/>
        <w:spacing w:after="0" w:line="360" w:lineRule="auto"/>
        <w:ind w:left="0" w:leftChars="0" w:firstLine="480" w:firstLineChars="200"/>
        <w:rPr>
          <w:bCs/>
          <w:color w:val="auto"/>
          <w:sz w:val="24"/>
          <w:highlight w:val="none"/>
        </w:rPr>
      </w:pPr>
      <w:r>
        <w:rPr>
          <w:bCs/>
          <w:color w:val="auto"/>
          <w:sz w:val="24"/>
          <w:highlight w:val="none"/>
        </w:rPr>
        <w:t>（3）确保项目生产车间废气处理设施的处理效率，保证废气的排放浓度和排放速率达到相关标准；</w:t>
      </w:r>
    </w:p>
    <w:p>
      <w:pPr>
        <w:pStyle w:val="33"/>
        <w:spacing w:after="0" w:line="360" w:lineRule="auto"/>
        <w:ind w:left="0" w:leftChars="0" w:firstLine="480" w:firstLineChars="200"/>
        <w:rPr>
          <w:bCs/>
          <w:color w:val="auto"/>
          <w:sz w:val="24"/>
          <w:highlight w:val="none"/>
        </w:rPr>
      </w:pPr>
      <w:r>
        <w:rPr>
          <w:bCs/>
          <w:color w:val="auto"/>
          <w:sz w:val="24"/>
          <w:highlight w:val="none"/>
        </w:rPr>
        <w:t>（4）确保环保资金与环保设施按时落实到位，严格执行“三同时”制度；</w:t>
      </w:r>
    </w:p>
    <w:p>
      <w:pPr>
        <w:pStyle w:val="33"/>
        <w:spacing w:after="0" w:line="360" w:lineRule="auto"/>
        <w:ind w:left="0" w:leftChars="0" w:firstLine="480" w:firstLineChars="200"/>
        <w:rPr>
          <w:bCs/>
          <w:color w:val="auto"/>
          <w:sz w:val="24"/>
          <w:highlight w:val="none"/>
        </w:rPr>
      </w:pPr>
      <w:r>
        <w:rPr>
          <w:bCs/>
          <w:color w:val="auto"/>
          <w:sz w:val="24"/>
          <w:highlight w:val="none"/>
        </w:rPr>
        <w:t>（5）生产废水必须全部回用，严禁外排；</w:t>
      </w:r>
    </w:p>
    <w:p>
      <w:pPr>
        <w:pStyle w:val="33"/>
        <w:spacing w:after="0" w:line="360" w:lineRule="auto"/>
        <w:ind w:left="0" w:leftChars="0" w:firstLine="480" w:firstLineChars="200"/>
        <w:rPr>
          <w:bCs/>
          <w:color w:val="auto"/>
          <w:sz w:val="24"/>
          <w:highlight w:val="none"/>
        </w:rPr>
      </w:pPr>
      <w:r>
        <w:rPr>
          <w:bCs/>
          <w:color w:val="auto"/>
          <w:sz w:val="24"/>
          <w:highlight w:val="none"/>
        </w:rPr>
        <w:t>（8）建设单位应按要求编制本项目环境风险应急预案，</w:t>
      </w:r>
      <w:r>
        <w:rPr>
          <w:color w:val="auto"/>
          <w:sz w:val="24"/>
          <w:highlight w:val="none"/>
        </w:rPr>
        <w:t>报当地环保部门备案，并定期演练。</w:t>
      </w:r>
    </w:p>
    <w:p>
      <w:pPr>
        <w:keepNext/>
        <w:keepLines/>
        <w:spacing w:line="360" w:lineRule="auto"/>
        <w:outlineLvl w:val="2"/>
        <w:rPr>
          <w:b/>
          <w:bCs/>
          <w:color w:val="auto"/>
          <w:sz w:val="24"/>
          <w:highlight w:val="none"/>
        </w:rPr>
      </w:pPr>
      <w:bookmarkStart w:id="992" w:name="_Toc341369747"/>
      <w:bookmarkStart w:id="993" w:name="_Toc23866"/>
      <w:bookmarkStart w:id="994" w:name="_Toc367281730"/>
      <w:bookmarkStart w:id="995" w:name="_Toc367282313"/>
      <w:bookmarkStart w:id="996" w:name="_Toc275730731"/>
      <w:bookmarkStart w:id="997" w:name="_Toc75908793"/>
      <w:r>
        <w:rPr>
          <w:b/>
          <w:bCs/>
          <w:color w:val="auto"/>
          <w:sz w:val="24"/>
          <w:highlight w:val="none"/>
        </w:rPr>
        <w:t>11.10.2 建议</w:t>
      </w:r>
      <w:bookmarkEnd w:id="992"/>
      <w:bookmarkEnd w:id="993"/>
      <w:bookmarkEnd w:id="994"/>
      <w:bookmarkEnd w:id="995"/>
      <w:bookmarkEnd w:id="996"/>
      <w:bookmarkEnd w:id="997"/>
    </w:p>
    <w:p>
      <w:pPr>
        <w:spacing w:line="360" w:lineRule="auto"/>
        <w:ind w:firstLine="480" w:firstLineChars="200"/>
        <w:rPr>
          <w:color w:val="auto"/>
          <w:sz w:val="24"/>
          <w:highlight w:val="none"/>
        </w:rPr>
      </w:pPr>
      <w:r>
        <w:rPr>
          <w:color w:val="auto"/>
          <w:sz w:val="24"/>
          <w:highlight w:val="none"/>
        </w:rPr>
        <w:t>（1）加强各项环保设施管理和日常维护，确保其正常运行；</w:t>
      </w:r>
    </w:p>
    <w:p>
      <w:pPr>
        <w:spacing w:line="360" w:lineRule="auto"/>
        <w:ind w:firstLine="480" w:firstLineChars="200"/>
        <w:rPr>
          <w:color w:val="auto"/>
          <w:sz w:val="24"/>
          <w:highlight w:val="none"/>
        </w:rPr>
      </w:pPr>
      <w:r>
        <w:rPr>
          <w:color w:val="auto"/>
          <w:sz w:val="24"/>
          <w:highlight w:val="none"/>
        </w:rPr>
        <w:t>（2）生产过程中加强管理，规范操作，避免跑、冒、滴、漏现象的发生；</w:t>
      </w:r>
    </w:p>
    <w:p>
      <w:pPr>
        <w:spacing w:line="360" w:lineRule="auto"/>
        <w:ind w:firstLine="480" w:firstLineChars="200"/>
        <w:rPr>
          <w:color w:val="auto"/>
          <w:sz w:val="24"/>
          <w:highlight w:val="none"/>
        </w:rPr>
      </w:pPr>
      <w:r>
        <w:rPr>
          <w:color w:val="auto"/>
          <w:sz w:val="24"/>
          <w:highlight w:val="none"/>
        </w:rPr>
        <w:t>（3）建议实施清洁生产审核，进一步提高企业清洁生产水平；</w:t>
      </w:r>
    </w:p>
    <w:p>
      <w:pPr>
        <w:spacing w:line="360" w:lineRule="auto"/>
        <w:ind w:firstLine="480" w:firstLineChars="200"/>
        <w:rPr>
          <w:color w:val="auto"/>
          <w:sz w:val="24"/>
          <w:highlight w:val="none"/>
        </w:rPr>
      </w:pPr>
      <w:r>
        <w:rPr>
          <w:color w:val="auto"/>
          <w:sz w:val="24"/>
          <w:highlight w:val="none"/>
        </w:rPr>
        <w:t>（4）强化企业节能减排技术推广和工厂环境管理，对生产过程中的清净排水进行合理回用，实施水资源节约利用，减少废水污染负荷；</w:t>
      </w:r>
    </w:p>
    <w:p>
      <w:pPr>
        <w:spacing w:line="360" w:lineRule="auto"/>
        <w:ind w:firstLine="480" w:firstLineChars="200"/>
        <w:rPr>
          <w:color w:val="auto"/>
          <w:sz w:val="24"/>
          <w:highlight w:val="none"/>
        </w:rPr>
      </w:pPr>
      <w:r>
        <w:rPr>
          <w:color w:val="auto"/>
          <w:sz w:val="24"/>
          <w:highlight w:val="none"/>
        </w:rPr>
        <w:t>（5）进一步完善、提高本项目资源化利用水平，重点是加强对项目污染源控制、污染治理</w:t>
      </w:r>
      <w:r>
        <w:rPr>
          <w:rFonts w:hint="eastAsia"/>
          <w:color w:val="auto"/>
          <w:sz w:val="24"/>
          <w:highlight w:val="none"/>
          <w:lang w:eastAsia="zh-CN"/>
        </w:rPr>
        <w:t>等各</w:t>
      </w:r>
      <w:r>
        <w:rPr>
          <w:color w:val="auto"/>
          <w:sz w:val="24"/>
          <w:highlight w:val="none"/>
        </w:rPr>
        <w:t>项工作。</w:t>
      </w:r>
    </w:p>
    <w:sectPr>
      <w:headerReference r:id="rId10" w:type="default"/>
      <w:footerReference r:id="rId11" w:type="default"/>
      <w:pgSz w:w="11906" w:h="16838"/>
      <w:pgMar w:top="1418" w:right="1418" w:bottom="1418" w:left="2155" w:header="992"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仿宋">
    <w:altName w:val="仿宋"/>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华文中宋">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Batang">
    <w:altName w:val="Malgun Gothic"/>
    <w:panose1 w:val="02030600000101010101"/>
    <w:charset w:val="81"/>
    <w:family w:val="roman"/>
    <w:pitch w:val="default"/>
    <w:sig w:usb0="00000000" w:usb1="00000000" w:usb2="00000030" w:usb3="00000000" w:csb0="4008009F" w:csb1="DFD70000"/>
  </w:font>
  <w:font w:name="MS Mincho">
    <w:altName w:val="Yu Gothic UI"/>
    <w:panose1 w:val="02020609040205080304"/>
    <w:charset w:val="80"/>
    <w:family w:val="modern"/>
    <w:pitch w:val="default"/>
    <w:sig w:usb0="00000000" w:usb1="00000000" w:usb2="00000012" w:usb3="00000000" w:csb0="4002009F" w:csb1="DFD7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5472031"/>
    </w:sdtPr>
    <w:sdtEndPr>
      <w:rPr>
        <w:sz w:val="21"/>
        <w:szCs w:val="21"/>
      </w:rPr>
    </w:sdtEndPr>
    <w:sdtContent>
      <w:p>
        <w:pPr>
          <w:pStyle w:val="3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V</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960417"/>
                          </w:sdtPr>
                          <w:sdtEndPr>
                            <w:rPr>
                              <w:sz w:val="21"/>
                              <w:szCs w:val="21"/>
                            </w:rPr>
                          </w:sdtEndPr>
                          <w:sdtContent>
                            <w:p>
                              <w:pPr>
                                <w:pStyle w:val="3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188</w:t>
                              </w:r>
                              <w:r>
                                <w:rPr>
                                  <w:sz w:val="21"/>
                                  <w:szCs w:val="21"/>
                                </w:rPr>
                                <w:fldChar w:fldCharType="end"/>
                              </w:r>
                            </w:p>
                          </w:sdtContent>
                        </w:sdt>
                        <w:p>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9960417"/>
                    </w:sdtPr>
                    <w:sdtEndPr>
                      <w:rPr>
                        <w:sz w:val="21"/>
                        <w:szCs w:val="21"/>
                      </w:rPr>
                    </w:sdtEndPr>
                    <w:sdtContent>
                      <w:p>
                        <w:pPr>
                          <w:pStyle w:val="3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188</w:t>
                        </w:r>
                        <w:r>
                          <w:rPr>
                            <w:sz w:val="21"/>
                            <w:szCs w:val="21"/>
                          </w:rPr>
                          <w:fldChar w:fldCharType="end"/>
                        </w:r>
                      </w:p>
                    </w:sdtContent>
                  </w:sdt>
                  <w:p>
                    <w:pPr>
                      <w:pStyle w:val="21"/>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97292587"/>
                          </w:sdtPr>
                          <w:sdtEndPr>
                            <w:rPr>
                              <w:sz w:val="21"/>
                              <w:szCs w:val="21"/>
                            </w:rPr>
                          </w:sdtEndPr>
                          <w:sdtContent>
                            <w:p>
                              <w:pPr>
                                <w:pStyle w:val="3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240</w:t>
                              </w:r>
                              <w:r>
                                <w:rPr>
                                  <w:sz w:val="21"/>
                                  <w:szCs w:val="21"/>
                                </w:rPr>
                                <w:fldChar w:fldCharType="end"/>
                              </w:r>
                            </w:p>
                          </w:sdtContent>
                        </w:sdt>
                        <w:p>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097292587"/>
                    </w:sdtPr>
                    <w:sdtEndPr>
                      <w:rPr>
                        <w:sz w:val="21"/>
                        <w:szCs w:val="21"/>
                      </w:rPr>
                    </w:sdtEndPr>
                    <w:sdtContent>
                      <w:p>
                        <w:pPr>
                          <w:pStyle w:val="3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240</w:t>
                        </w:r>
                        <w:r>
                          <w:rPr>
                            <w:sz w:val="21"/>
                            <w:szCs w:val="21"/>
                          </w:rPr>
                          <w:fldChar w:fldCharType="end"/>
                        </w:r>
                      </w:p>
                    </w:sdtContent>
                  </w:sdt>
                  <w:p>
                    <w:pPr>
                      <w:pStyle w:val="21"/>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05388612"/>
                          </w:sdtPr>
                          <w:sdtEndPr>
                            <w:rPr>
                              <w:sz w:val="21"/>
                              <w:szCs w:val="21"/>
                            </w:rPr>
                          </w:sdtEndPr>
                          <w:sdtContent>
                            <w:p>
                              <w:pPr>
                                <w:pStyle w:val="3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246</w:t>
                              </w:r>
                              <w:r>
                                <w:rPr>
                                  <w:sz w:val="21"/>
                                  <w:szCs w:val="21"/>
                                </w:rPr>
                                <w:fldChar w:fldCharType="end"/>
                              </w:r>
                            </w:p>
                          </w:sdtContent>
                        </w:sdt>
                        <w:p>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805388612"/>
                    </w:sdtPr>
                    <w:sdtEndPr>
                      <w:rPr>
                        <w:sz w:val="21"/>
                        <w:szCs w:val="21"/>
                      </w:rPr>
                    </w:sdtEndPr>
                    <w:sdtContent>
                      <w:p>
                        <w:pPr>
                          <w:pStyle w:val="3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246</w:t>
                        </w:r>
                        <w:r>
                          <w:rPr>
                            <w:sz w:val="21"/>
                            <w:szCs w:val="21"/>
                          </w:rPr>
                          <w:fldChar w:fldCharType="end"/>
                        </w:r>
                      </w:p>
                    </w:sdtContent>
                  </w:sdt>
                  <w:p>
                    <w:pPr>
                      <w:pStyle w:val="21"/>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b/>
        <w:bCs/>
        <w:sz w:val="21"/>
        <w:szCs w:val="21"/>
        <w:lang w:val="en-US" w:eastAsia="zh-CN"/>
      </w:rPr>
      <w:t>寻甸县蜀滇塑料制品经营部蔬菜框生产</w:t>
    </w:r>
    <w:r>
      <w:rPr>
        <w:rFonts w:hint="eastAsia"/>
        <w:b/>
        <w:bCs/>
        <w:sz w:val="21"/>
        <w:szCs w:val="21"/>
      </w:rPr>
      <w:t>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b/>
        <w:bCs/>
        <w:sz w:val="21"/>
        <w:szCs w:val="21"/>
      </w:rPr>
    </w:pPr>
    <w:r>
      <w:rPr>
        <w:rFonts w:hint="eastAsia"/>
        <w:b/>
        <w:bCs/>
        <w:sz w:val="21"/>
        <w:szCs w:val="21"/>
        <w:lang w:val="en-US" w:eastAsia="zh-CN"/>
      </w:rPr>
      <w:t>寻甸县蜀滇塑料制品经营部蔬菜框生产</w:t>
    </w:r>
    <w:r>
      <w:rPr>
        <w:rFonts w:hint="eastAsia"/>
        <w:b/>
        <w:bCs/>
        <w:sz w:val="21"/>
        <w:szCs w:val="21"/>
      </w:rPr>
      <w:t>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b/>
        <w:bCs/>
        <w:sz w:val="21"/>
        <w:szCs w:val="21"/>
        <w:lang w:val="en-US" w:eastAsia="zh-CN"/>
      </w:rPr>
      <w:t>寻甸县蜀滇塑料制品经营部蔬菜框生产</w:t>
    </w:r>
    <w:r>
      <w:rPr>
        <w:rFonts w:hint="eastAsia"/>
        <w:b/>
        <w:bCs/>
        <w:sz w:val="21"/>
        <w:szCs w:val="21"/>
      </w:rPr>
      <w:t>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b/>
        <w:bCs/>
        <w:sz w:val="21"/>
        <w:szCs w:val="21"/>
        <w:lang w:val="en-US" w:eastAsia="zh-CN"/>
      </w:rPr>
      <w:t>寻甸县蜀滇塑料制品经营部蔬菜框生产</w:t>
    </w:r>
    <w:r>
      <w:rPr>
        <w:rFonts w:hint="eastAsia"/>
        <w:b/>
        <w:bCs/>
        <w:sz w:val="21"/>
        <w:szCs w:val="21"/>
      </w:rPr>
      <w:t>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b/>
        <w:bCs/>
        <w:sz w:val="21"/>
        <w:szCs w:val="21"/>
        <w:lang w:val="en-US" w:eastAsia="zh-CN"/>
      </w:rPr>
      <w:t>寻甸县蜀滇塑料制品经营部蔬菜框生产</w:t>
    </w:r>
    <w:r>
      <w:rPr>
        <w:rFonts w:hint="eastAsia"/>
        <w:b/>
        <w:bCs/>
        <w:sz w:val="21"/>
        <w:szCs w:val="21"/>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D5B1C8"/>
    <w:multiLevelType w:val="singleLevel"/>
    <w:tmpl w:val="D0D5B1C8"/>
    <w:lvl w:ilvl="0" w:tentative="0">
      <w:start w:val="1"/>
      <w:numFmt w:val="decimal"/>
      <w:lvlText w:val="%1."/>
      <w:lvlJc w:val="left"/>
      <w:pPr>
        <w:ind w:left="425" w:hanging="425"/>
      </w:pPr>
      <w:rPr>
        <w:rFonts w:hint="default"/>
      </w:rPr>
    </w:lvl>
  </w:abstractNum>
  <w:abstractNum w:abstractNumId="1">
    <w:nsid w:val="EF01D03F"/>
    <w:multiLevelType w:val="singleLevel"/>
    <w:tmpl w:val="EF01D03F"/>
    <w:lvl w:ilvl="0" w:tentative="0">
      <w:start w:val="2"/>
      <w:numFmt w:val="decimal"/>
      <w:suff w:val="nothing"/>
      <w:lvlText w:val="（%1）"/>
      <w:lvlJc w:val="left"/>
    </w:lvl>
  </w:abstractNum>
  <w:abstractNum w:abstractNumId="2">
    <w:nsid w:val="013A33D0"/>
    <w:multiLevelType w:val="singleLevel"/>
    <w:tmpl w:val="013A33D0"/>
    <w:lvl w:ilvl="0" w:tentative="0">
      <w:start w:val="2"/>
      <w:numFmt w:val="decimal"/>
      <w:suff w:val="nothing"/>
      <w:lvlText w:val="%1、"/>
      <w:lvlJc w:val="left"/>
    </w:lvl>
  </w:abstractNum>
  <w:abstractNum w:abstractNumId="3">
    <w:nsid w:val="16253587"/>
    <w:multiLevelType w:val="multilevel"/>
    <w:tmpl w:val="1625358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6"/>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1A54B64D"/>
    <w:multiLevelType w:val="singleLevel"/>
    <w:tmpl w:val="1A54B64D"/>
    <w:lvl w:ilvl="0" w:tentative="0">
      <w:start w:val="2"/>
      <w:numFmt w:val="decimal"/>
      <w:suff w:val="nothing"/>
      <w:lvlText w:val="（%1）"/>
      <w:lvlJc w:val="left"/>
    </w:lvl>
  </w:abstractNum>
  <w:abstractNum w:abstractNumId="5">
    <w:nsid w:val="4F302902"/>
    <w:multiLevelType w:val="multilevel"/>
    <w:tmpl w:val="4F302902"/>
    <w:lvl w:ilvl="0" w:tentative="0">
      <w:start w:val="1"/>
      <w:numFmt w:val="none"/>
      <w:pStyle w:val="460"/>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DB254D"/>
    <w:rsid w:val="00000400"/>
    <w:rsid w:val="00000A56"/>
    <w:rsid w:val="00000F5E"/>
    <w:rsid w:val="00000FC3"/>
    <w:rsid w:val="000010FE"/>
    <w:rsid w:val="0000119C"/>
    <w:rsid w:val="000018EC"/>
    <w:rsid w:val="00001C47"/>
    <w:rsid w:val="00001D41"/>
    <w:rsid w:val="00001E0C"/>
    <w:rsid w:val="000021FA"/>
    <w:rsid w:val="0000264C"/>
    <w:rsid w:val="000030D8"/>
    <w:rsid w:val="00003D87"/>
    <w:rsid w:val="000041F1"/>
    <w:rsid w:val="00004381"/>
    <w:rsid w:val="00004BBB"/>
    <w:rsid w:val="00005933"/>
    <w:rsid w:val="0000597E"/>
    <w:rsid w:val="00005A44"/>
    <w:rsid w:val="00005B28"/>
    <w:rsid w:val="00005E2E"/>
    <w:rsid w:val="00006005"/>
    <w:rsid w:val="000065CF"/>
    <w:rsid w:val="00006B15"/>
    <w:rsid w:val="00007E8B"/>
    <w:rsid w:val="0001052B"/>
    <w:rsid w:val="00010E2D"/>
    <w:rsid w:val="00011343"/>
    <w:rsid w:val="00011995"/>
    <w:rsid w:val="000119E8"/>
    <w:rsid w:val="00011ED0"/>
    <w:rsid w:val="0001222E"/>
    <w:rsid w:val="0001235E"/>
    <w:rsid w:val="00012569"/>
    <w:rsid w:val="00012617"/>
    <w:rsid w:val="0001277E"/>
    <w:rsid w:val="00012C0F"/>
    <w:rsid w:val="00012CBF"/>
    <w:rsid w:val="00012F2C"/>
    <w:rsid w:val="0001311C"/>
    <w:rsid w:val="000132B0"/>
    <w:rsid w:val="0001356E"/>
    <w:rsid w:val="000135C9"/>
    <w:rsid w:val="00013654"/>
    <w:rsid w:val="00013795"/>
    <w:rsid w:val="00013CFE"/>
    <w:rsid w:val="00013E7D"/>
    <w:rsid w:val="00013FBD"/>
    <w:rsid w:val="00014BE1"/>
    <w:rsid w:val="00015091"/>
    <w:rsid w:val="000151EF"/>
    <w:rsid w:val="0001540C"/>
    <w:rsid w:val="0001571C"/>
    <w:rsid w:val="00015D5B"/>
    <w:rsid w:val="0001671D"/>
    <w:rsid w:val="000169E1"/>
    <w:rsid w:val="00016C62"/>
    <w:rsid w:val="00016DCB"/>
    <w:rsid w:val="00016F53"/>
    <w:rsid w:val="000170CF"/>
    <w:rsid w:val="00017582"/>
    <w:rsid w:val="000200BF"/>
    <w:rsid w:val="000203BB"/>
    <w:rsid w:val="00020644"/>
    <w:rsid w:val="00020C90"/>
    <w:rsid w:val="000210B1"/>
    <w:rsid w:val="000224AA"/>
    <w:rsid w:val="00023283"/>
    <w:rsid w:val="0002336D"/>
    <w:rsid w:val="00023476"/>
    <w:rsid w:val="00023643"/>
    <w:rsid w:val="00023ECC"/>
    <w:rsid w:val="0002446E"/>
    <w:rsid w:val="000244C1"/>
    <w:rsid w:val="0002504A"/>
    <w:rsid w:val="00025269"/>
    <w:rsid w:val="00025293"/>
    <w:rsid w:val="000253A6"/>
    <w:rsid w:val="00025615"/>
    <w:rsid w:val="00026B70"/>
    <w:rsid w:val="00026FAF"/>
    <w:rsid w:val="000270AA"/>
    <w:rsid w:val="00027439"/>
    <w:rsid w:val="00027B0E"/>
    <w:rsid w:val="00027DAF"/>
    <w:rsid w:val="0003012C"/>
    <w:rsid w:val="0003013F"/>
    <w:rsid w:val="0003041A"/>
    <w:rsid w:val="00030459"/>
    <w:rsid w:val="000305F0"/>
    <w:rsid w:val="00030667"/>
    <w:rsid w:val="00030C2E"/>
    <w:rsid w:val="00030E76"/>
    <w:rsid w:val="00031F88"/>
    <w:rsid w:val="00032B6E"/>
    <w:rsid w:val="00032DAA"/>
    <w:rsid w:val="00033280"/>
    <w:rsid w:val="0003368C"/>
    <w:rsid w:val="0003377B"/>
    <w:rsid w:val="000339A5"/>
    <w:rsid w:val="000339E2"/>
    <w:rsid w:val="00034278"/>
    <w:rsid w:val="00034292"/>
    <w:rsid w:val="0003439E"/>
    <w:rsid w:val="00034633"/>
    <w:rsid w:val="00034A6C"/>
    <w:rsid w:val="00034DB7"/>
    <w:rsid w:val="00035BA4"/>
    <w:rsid w:val="00035D73"/>
    <w:rsid w:val="00035EE5"/>
    <w:rsid w:val="0003618E"/>
    <w:rsid w:val="0003632C"/>
    <w:rsid w:val="0003670A"/>
    <w:rsid w:val="00036D80"/>
    <w:rsid w:val="00036F43"/>
    <w:rsid w:val="00036F95"/>
    <w:rsid w:val="00037566"/>
    <w:rsid w:val="00037721"/>
    <w:rsid w:val="00037BDB"/>
    <w:rsid w:val="00037DB5"/>
    <w:rsid w:val="00040085"/>
    <w:rsid w:val="0004045B"/>
    <w:rsid w:val="0004078E"/>
    <w:rsid w:val="000412D9"/>
    <w:rsid w:val="000417D2"/>
    <w:rsid w:val="0004185A"/>
    <w:rsid w:val="00041B70"/>
    <w:rsid w:val="00042480"/>
    <w:rsid w:val="000428CC"/>
    <w:rsid w:val="000429FA"/>
    <w:rsid w:val="00042CF3"/>
    <w:rsid w:val="00042F06"/>
    <w:rsid w:val="00043562"/>
    <w:rsid w:val="00043BD4"/>
    <w:rsid w:val="00043CB0"/>
    <w:rsid w:val="000441E5"/>
    <w:rsid w:val="0004444D"/>
    <w:rsid w:val="0004469C"/>
    <w:rsid w:val="000448AA"/>
    <w:rsid w:val="00044FAA"/>
    <w:rsid w:val="00045522"/>
    <w:rsid w:val="000456C4"/>
    <w:rsid w:val="000458E0"/>
    <w:rsid w:val="00045E8D"/>
    <w:rsid w:val="00046028"/>
    <w:rsid w:val="00046328"/>
    <w:rsid w:val="00046479"/>
    <w:rsid w:val="000465E3"/>
    <w:rsid w:val="00046721"/>
    <w:rsid w:val="00046FD8"/>
    <w:rsid w:val="000473CF"/>
    <w:rsid w:val="00047987"/>
    <w:rsid w:val="00047D48"/>
    <w:rsid w:val="000502ED"/>
    <w:rsid w:val="00050897"/>
    <w:rsid w:val="00050937"/>
    <w:rsid w:val="00050E9D"/>
    <w:rsid w:val="000510CD"/>
    <w:rsid w:val="0005111B"/>
    <w:rsid w:val="0005113B"/>
    <w:rsid w:val="000512E1"/>
    <w:rsid w:val="00051424"/>
    <w:rsid w:val="00052502"/>
    <w:rsid w:val="000527F2"/>
    <w:rsid w:val="00052C29"/>
    <w:rsid w:val="000533E1"/>
    <w:rsid w:val="000534C5"/>
    <w:rsid w:val="000537AF"/>
    <w:rsid w:val="00053B16"/>
    <w:rsid w:val="00053C8C"/>
    <w:rsid w:val="00055122"/>
    <w:rsid w:val="00055CE0"/>
    <w:rsid w:val="00055EFB"/>
    <w:rsid w:val="0005621B"/>
    <w:rsid w:val="000564BD"/>
    <w:rsid w:val="0005676E"/>
    <w:rsid w:val="00056AC1"/>
    <w:rsid w:val="00056C9B"/>
    <w:rsid w:val="00056DDF"/>
    <w:rsid w:val="00057587"/>
    <w:rsid w:val="000575D8"/>
    <w:rsid w:val="00057A97"/>
    <w:rsid w:val="00057D68"/>
    <w:rsid w:val="00057DA9"/>
    <w:rsid w:val="00060170"/>
    <w:rsid w:val="00060EEC"/>
    <w:rsid w:val="000611F4"/>
    <w:rsid w:val="0006158D"/>
    <w:rsid w:val="00061674"/>
    <w:rsid w:val="00061AA3"/>
    <w:rsid w:val="00061DEE"/>
    <w:rsid w:val="00061F9C"/>
    <w:rsid w:val="00063104"/>
    <w:rsid w:val="0006334A"/>
    <w:rsid w:val="00063552"/>
    <w:rsid w:val="00063AFB"/>
    <w:rsid w:val="00063C88"/>
    <w:rsid w:val="00063DD4"/>
    <w:rsid w:val="00063FD7"/>
    <w:rsid w:val="00063FEA"/>
    <w:rsid w:val="000642B4"/>
    <w:rsid w:val="00064398"/>
    <w:rsid w:val="000644D6"/>
    <w:rsid w:val="00064B19"/>
    <w:rsid w:val="00064E69"/>
    <w:rsid w:val="000650A2"/>
    <w:rsid w:val="000659F2"/>
    <w:rsid w:val="0006607F"/>
    <w:rsid w:val="000662A1"/>
    <w:rsid w:val="000666DC"/>
    <w:rsid w:val="00066B4F"/>
    <w:rsid w:val="00066DFA"/>
    <w:rsid w:val="000674AD"/>
    <w:rsid w:val="0006785B"/>
    <w:rsid w:val="00067DEF"/>
    <w:rsid w:val="00067F7E"/>
    <w:rsid w:val="00070185"/>
    <w:rsid w:val="0007066F"/>
    <w:rsid w:val="00070B66"/>
    <w:rsid w:val="00070CF4"/>
    <w:rsid w:val="000711DA"/>
    <w:rsid w:val="000713A8"/>
    <w:rsid w:val="0007154F"/>
    <w:rsid w:val="000717E6"/>
    <w:rsid w:val="00071CC4"/>
    <w:rsid w:val="00071D58"/>
    <w:rsid w:val="00071F10"/>
    <w:rsid w:val="0007240A"/>
    <w:rsid w:val="0007323E"/>
    <w:rsid w:val="00073289"/>
    <w:rsid w:val="0007371B"/>
    <w:rsid w:val="000739EF"/>
    <w:rsid w:val="0007425C"/>
    <w:rsid w:val="00074962"/>
    <w:rsid w:val="00074B08"/>
    <w:rsid w:val="000750FE"/>
    <w:rsid w:val="0007516A"/>
    <w:rsid w:val="000753AF"/>
    <w:rsid w:val="0007566F"/>
    <w:rsid w:val="000757A0"/>
    <w:rsid w:val="0007610C"/>
    <w:rsid w:val="00076409"/>
    <w:rsid w:val="00076C95"/>
    <w:rsid w:val="000770DB"/>
    <w:rsid w:val="00077434"/>
    <w:rsid w:val="00077649"/>
    <w:rsid w:val="00080139"/>
    <w:rsid w:val="0008026C"/>
    <w:rsid w:val="00080423"/>
    <w:rsid w:val="0008067E"/>
    <w:rsid w:val="0008074B"/>
    <w:rsid w:val="00080C8A"/>
    <w:rsid w:val="00080D44"/>
    <w:rsid w:val="00080E00"/>
    <w:rsid w:val="00081041"/>
    <w:rsid w:val="0008128C"/>
    <w:rsid w:val="0008129B"/>
    <w:rsid w:val="00081679"/>
    <w:rsid w:val="00081A47"/>
    <w:rsid w:val="00081DE4"/>
    <w:rsid w:val="000822C1"/>
    <w:rsid w:val="00082D4F"/>
    <w:rsid w:val="00082FC4"/>
    <w:rsid w:val="00083152"/>
    <w:rsid w:val="00083301"/>
    <w:rsid w:val="0008334E"/>
    <w:rsid w:val="000833D7"/>
    <w:rsid w:val="00083AA4"/>
    <w:rsid w:val="00083C18"/>
    <w:rsid w:val="00083DEF"/>
    <w:rsid w:val="00083F6D"/>
    <w:rsid w:val="00084117"/>
    <w:rsid w:val="000845F1"/>
    <w:rsid w:val="000849CC"/>
    <w:rsid w:val="00084F12"/>
    <w:rsid w:val="00085179"/>
    <w:rsid w:val="000858E1"/>
    <w:rsid w:val="00085A68"/>
    <w:rsid w:val="0008600F"/>
    <w:rsid w:val="0008620D"/>
    <w:rsid w:val="000863A4"/>
    <w:rsid w:val="000869D3"/>
    <w:rsid w:val="00086BFE"/>
    <w:rsid w:val="00086C21"/>
    <w:rsid w:val="00087224"/>
    <w:rsid w:val="000872A2"/>
    <w:rsid w:val="000874AD"/>
    <w:rsid w:val="000878FF"/>
    <w:rsid w:val="00087983"/>
    <w:rsid w:val="00087B58"/>
    <w:rsid w:val="0009040A"/>
    <w:rsid w:val="000908EC"/>
    <w:rsid w:val="00090ED3"/>
    <w:rsid w:val="00091BF7"/>
    <w:rsid w:val="00091C56"/>
    <w:rsid w:val="00091FF6"/>
    <w:rsid w:val="00092257"/>
    <w:rsid w:val="00092263"/>
    <w:rsid w:val="00092338"/>
    <w:rsid w:val="0009254C"/>
    <w:rsid w:val="000929E6"/>
    <w:rsid w:val="00092B79"/>
    <w:rsid w:val="00092FE5"/>
    <w:rsid w:val="0009375E"/>
    <w:rsid w:val="00094741"/>
    <w:rsid w:val="000947DC"/>
    <w:rsid w:val="00094925"/>
    <w:rsid w:val="00094EDB"/>
    <w:rsid w:val="000951B1"/>
    <w:rsid w:val="00095907"/>
    <w:rsid w:val="00095F29"/>
    <w:rsid w:val="0009647A"/>
    <w:rsid w:val="00097534"/>
    <w:rsid w:val="00097907"/>
    <w:rsid w:val="00097DAC"/>
    <w:rsid w:val="000A08C1"/>
    <w:rsid w:val="000A0931"/>
    <w:rsid w:val="000A0B23"/>
    <w:rsid w:val="000A0FEB"/>
    <w:rsid w:val="000A165E"/>
    <w:rsid w:val="000A1DB8"/>
    <w:rsid w:val="000A23DF"/>
    <w:rsid w:val="000A244F"/>
    <w:rsid w:val="000A2928"/>
    <w:rsid w:val="000A2C61"/>
    <w:rsid w:val="000A31E3"/>
    <w:rsid w:val="000A340C"/>
    <w:rsid w:val="000A3417"/>
    <w:rsid w:val="000A353F"/>
    <w:rsid w:val="000A3F62"/>
    <w:rsid w:val="000A45E8"/>
    <w:rsid w:val="000A4673"/>
    <w:rsid w:val="000A4EDA"/>
    <w:rsid w:val="000A5047"/>
    <w:rsid w:val="000A50C2"/>
    <w:rsid w:val="000A56A1"/>
    <w:rsid w:val="000A655A"/>
    <w:rsid w:val="000A6945"/>
    <w:rsid w:val="000A6CBB"/>
    <w:rsid w:val="000A71E6"/>
    <w:rsid w:val="000A73CF"/>
    <w:rsid w:val="000A75DB"/>
    <w:rsid w:val="000A7974"/>
    <w:rsid w:val="000B074F"/>
    <w:rsid w:val="000B08EF"/>
    <w:rsid w:val="000B0A7A"/>
    <w:rsid w:val="000B0A84"/>
    <w:rsid w:val="000B0B41"/>
    <w:rsid w:val="000B0F6A"/>
    <w:rsid w:val="000B1338"/>
    <w:rsid w:val="000B1625"/>
    <w:rsid w:val="000B1655"/>
    <w:rsid w:val="000B1F32"/>
    <w:rsid w:val="000B2671"/>
    <w:rsid w:val="000B26D1"/>
    <w:rsid w:val="000B296E"/>
    <w:rsid w:val="000B2B1B"/>
    <w:rsid w:val="000B2B5A"/>
    <w:rsid w:val="000B2D29"/>
    <w:rsid w:val="000B2F97"/>
    <w:rsid w:val="000B323A"/>
    <w:rsid w:val="000B364D"/>
    <w:rsid w:val="000B3786"/>
    <w:rsid w:val="000B4700"/>
    <w:rsid w:val="000B4A5C"/>
    <w:rsid w:val="000B5222"/>
    <w:rsid w:val="000B5321"/>
    <w:rsid w:val="000B55F4"/>
    <w:rsid w:val="000B583C"/>
    <w:rsid w:val="000B5944"/>
    <w:rsid w:val="000B5E7A"/>
    <w:rsid w:val="000B66B7"/>
    <w:rsid w:val="000B6886"/>
    <w:rsid w:val="000B688F"/>
    <w:rsid w:val="000B6A01"/>
    <w:rsid w:val="000B6A12"/>
    <w:rsid w:val="000B7305"/>
    <w:rsid w:val="000B7533"/>
    <w:rsid w:val="000B7FE1"/>
    <w:rsid w:val="000C0498"/>
    <w:rsid w:val="000C069A"/>
    <w:rsid w:val="000C11DD"/>
    <w:rsid w:val="000C1662"/>
    <w:rsid w:val="000C1E28"/>
    <w:rsid w:val="000C2351"/>
    <w:rsid w:val="000C2723"/>
    <w:rsid w:val="000C2726"/>
    <w:rsid w:val="000C27F0"/>
    <w:rsid w:val="000C3B16"/>
    <w:rsid w:val="000C3DA7"/>
    <w:rsid w:val="000C4828"/>
    <w:rsid w:val="000C4980"/>
    <w:rsid w:val="000C49AB"/>
    <w:rsid w:val="000C4A7C"/>
    <w:rsid w:val="000C4F16"/>
    <w:rsid w:val="000C571D"/>
    <w:rsid w:val="000C5816"/>
    <w:rsid w:val="000C5EFC"/>
    <w:rsid w:val="000C6353"/>
    <w:rsid w:val="000C65CB"/>
    <w:rsid w:val="000C6882"/>
    <w:rsid w:val="000C6B01"/>
    <w:rsid w:val="000C6D45"/>
    <w:rsid w:val="000C72B7"/>
    <w:rsid w:val="000C76C3"/>
    <w:rsid w:val="000C76E7"/>
    <w:rsid w:val="000C79B9"/>
    <w:rsid w:val="000D0464"/>
    <w:rsid w:val="000D05A1"/>
    <w:rsid w:val="000D068A"/>
    <w:rsid w:val="000D0812"/>
    <w:rsid w:val="000D0AE1"/>
    <w:rsid w:val="000D1164"/>
    <w:rsid w:val="000D11DE"/>
    <w:rsid w:val="000D1461"/>
    <w:rsid w:val="000D1806"/>
    <w:rsid w:val="000D1877"/>
    <w:rsid w:val="000D197B"/>
    <w:rsid w:val="000D1A45"/>
    <w:rsid w:val="000D1A66"/>
    <w:rsid w:val="000D1DA8"/>
    <w:rsid w:val="000D1E4F"/>
    <w:rsid w:val="000D1F07"/>
    <w:rsid w:val="000D25D8"/>
    <w:rsid w:val="000D2956"/>
    <w:rsid w:val="000D34B5"/>
    <w:rsid w:val="000D36CF"/>
    <w:rsid w:val="000D3A08"/>
    <w:rsid w:val="000D4B82"/>
    <w:rsid w:val="000D4D59"/>
    <w:rsid w:val="000D4DDE"/>
    <w:rsid w:val="000D4EBB"/>
    <w:rsid w:val="000D4FF5"/>
    <w:rsid w:val="000D5678"/>
    <w:rsid w:val="000D5726"/>
    <w:rsid w:val="000D57EF"/>
    <w:rsid w:val="000D5936"/>
    <w:rsid w:val="000D5B63"/>
    <w:rsid w:val="000D5C80"/>
    <w:rsid w:val="000D5E95"/>
    <w:rsid w:val="000D621E"/>
    <w:rsid w:val="000D626B"/>
    <w:rsid w:val="000D6A63"/>
    <w:rsid w:val="000D75F6"/>
    <w:rsid w:val="000D7ABA"/>
    <w:rsid w:val="000D7F72"/>
    <w:rsid w:val="000E0559"/>
    <w:rsid w:val="000E1340"/>
    <w:rsid w:val="000E149A"/>
    <w:rsid w:val="000E20A1"/>
    <w:rsid w:val="000E25DF"/>
    <w:rsid w:val="000E2704"/>
    <w:rsid w:val="000E3B1D"/>
    <w:rsid w:val="000E3E17"/>
    <w:rsid w:val="000E3FB0"/>
    <w:rsid w:val="000E48D2"/>
    <w:rsid w:val="000E4911"/>
    <w:rsid w:val="000E4F86"/>
    <w:rsid w:val="000E4FB4"/>
    <w:rsid w:val="000E4FFB"/>
    <w:rsid w:val="000E5478"/>
    <w:rsid w:val="000E55D4"/>
    <w:rsid w:val="000E5A1B"/>
    <w:rsid w:val="000E5BEE"/>
    <w:rsid w:val="000E5CC4"/>
    <w:rsid w:val="000E5F29"/>
    <w:rsid w:val="000E6508"/>
    <w:rsid w:val="000E67D1"/>
    <w:rsid w:val="000E69A4"/>
    <w:rsid w:val="000E7EB3"/>
    <w:rsid w:val="000F03A1"/>
    <w:rsid w:val="000F05CB"/>
    <w:rsid w:val="000F0686"/>
    <w:rsid w:val="000F0953"/>
    <w:rsid w:val="000F0A82"/>
    <w:rsid w:val="000F0DE8"/>
    <w:rsid w:val="000F10EE"/>
    <w:rsid w:val="000F1928"/>
    <w:rsid w:val="000F1D08"/>
    <w:rsid w:val="000F21B9"/>
    <w:rsid w:val="000F29FC"/>
    <w:rsid w:val="000F2E9F"/>
    <w:rsid w:val="000F302F"/>
    <w:rsid w:val="000F31DB"/>
    <w:rsid w:val="000F3F1C"/>
    <w:rsid w:val="000F41A3"/>
    <w:rsid w:val="000F41CD"/>
    <w:rsid w:val="000F4714"/>
    <w:rsid w:val="000F501D"/>
    <w:rsid w:val="000F51D1"/>
    <w:rsid w:val="000F5534"/>
    <w:rsid w:val="000F57F7"/>
    <w:rsid w:val="000F5D9F"/>
    <w:rsid w:val="000F5E40"/>
    <w:rsid w:val="000F6103"/>
    <w:rsid w:val="000F623A"/>
    <w:rsid w:val="000F68DA"/>
    <w:rsid w:val="000F69B4"/>
    <w:rsid w:val="000F7153"/>
    <w:rsid w:val="000F765A"/>
    <w:rsid w:val="000F7A0E"/>
    <w:rsid w:val="000F7E26"/>
    <w:rsid w:val="001000D6"/>
    <w:rsid w:val="001004E5"/>
    <w:rsid w:val="0010075E"/>
    <w:rsid w:val="00100792"/>
    <w:rsid w:val="00100CD0"/>
    <w:rsid w:val="00100D42"/>
    <w:rsid w:val="00100D66"/>
    <w:rsid w:val="00100D7B"/>
    <w:rsid w:val="00100F95"/>
    <w:rsid w:val="001010F8"/>
    <w:rsid w:val="00101275"/>
    <w:rsid w:val="0010147C"/>
    <w:rsid w:val="00102127"/>
    <w:rsid w:val="001021AC"/>
    <w:rsid w:val="001022B2"/>
    <w:rsid w:val="0010234C"/>
    <w:rsid w:val="001024DB"/>
    <w:rsid w:val="00102957"/>
    <w:rsid w:val="00102BDC"/>
    <w:rsid w:val="00102C16"/>
    <w:rsid w:val="001032AA"/>
    <w:rsid w:val="0010336F"/>
    <w:rsid w:val="001035DF"/>
    <w:rsid w:val="00103897"/>
    <w:rsid w:val="00103C8D"/>
    <w:rsid w:val="00103CCB"/>
    <w:rsid w:val="00104147"/>
    <w:rsid w:val="0010415D"/>
    <w:rsid w:val="00104278"/>
    <w:rsid w:val="0010446B"/>
    <w:rsid w:val="0010447A"/>
    <w:rsid w:val="00104669"/>
    <w:rsid w:val="00104777"/>
    <w:rsid w:val="001049E6"/>
    <w:rsid w:val="00104B6C"/>
    <w:rsid w:val="00105BEB"/>
    <w:rsid w:val="00105D21"/>
    <w:rsid w:val="001064E0"/>
    <w:rsid w:val="001067EC"/>
    <w:rsid w:val="00106AE9"/>
    <w:rsid w:val="00107120"/>
    <w:rsid w:val="001079FD"/>
    <w:rsid w:val="00107D58"/>
    <w:rsid w:val="00107DE6"/>
    <w:rsid w:val="00107ECD"/>
    <w:rsid w:val="00107EDB"/>
    <w:rsid w:val="001100C5"/>
    <w:rsid w:val="001101E7"/>
    <w:rsid w:val="0011029A"/>
    <w:rsid w:val="00110333"/>
    <w:rsid w:val="00110701"/>
    <w:rsid w:val="001108EE"/>
    <w:rsid w:val="00110A5C"/>
    <w:rsid w:val="00110BDA"/>
    <w:rsid w:val="00111205"/>
    <w:rsid w:val="0011146F"/>
    <w:rsid w:val="00111769"/>
    <w:rsid w:val="00111EA5"/>
    <w:rsid w:val="00112084"/>
    <w:rsid w:val="001121AB"/>
    <w:rsid w:val="0011235F"/>
    <w:rsid w:val="00112A18"/>
    <w:rsid w:val="00112BE0"/>
    <w:rsid w:val="00112C16"/>
    <w:rsid w:val="00112FDD"/>
    <w:rsid w:val="001142DC"/>
    <w:rsid w:val="0011432C"/>
    <w:rsid w:val="001146BF"/>
    <w:rsid w:val="001148FC"/>
    <w:rsid w:val="00114AF7"/>
    <w:rsid w:val="00114EDB"/>
    <w:rsid w:val="001153B7"/>
    <w:rsid w:val="00115684"/>
    <w:rsid w:val="00115A3B"/>
    <w:rsid w:val="001161E7"/>
    <w:rsid w:val="00116254"/>
    <w:rsid w:val="0011627D"/>
    <w:rsid w:val="00116DD3"/>
    <w:rsid w:val="0011790A"/>
    <w:rsid w:val="00117D12"/>
    <w:rsid w:val="00120276"/>
    <w:rsid w:val="001206BD"/>
    <w:rsid w:val="0012071C"/>
    <w:rsid w:val="00120D2C"/>
    <w:rsid w:val="00121BEE"/>
    <w:rsid w:val="00122A85"/>
    <w:rsid w:val="00122D51"/>
    <w:rsid w:val="00122F58"/>
    <w:rsid w:val="00123051"/>
    <w:rsid w:val="00123462"/>
    <w:rsid w:val="001235EC"/>
    <w:rsid w:val="00123964"/>
    <w:rsid w:val="00123A20"/>
    <w:rsid w:val="00123EDD"/>
    <w:rsid w:val="00124156"/>
    <w:rsid w:val="0012442E"/>
    <w:rsid w:val="00124BF4"/>
    <w:rsid w:val="00124C1B"/>
    <w:rsid w:val="00124EF2"/>
    <w:rsid w:val="0012540C"/>
    <w:rsid w:val="00125491"/>
    <w:rsid w:val="001256E9"/>
    <w:rsid w:val="00125A76"/>
    <w:rsid w:val="00125C2B"/>
    <w:rsid w:val="0012640F"/>
    <w:rsid w:val="00126738"/>
    <w:rsid w:val="00126E78"/>
    <w:rsid w:val="00126F97"/>
    <w:rsid w:val="00127602"/>
    <w:rsid w:val="00127902"/>
    <w:rsid w:val="00127A19"/>
    <w:rsid w:val="0013007B"/>
    <w:rsid w:val="001302A6"/>
    <w:rsid w:val="001303BA"/>
    <w:rsid w:val="001308BC"/>
    <w:rsid w:val="001308CC"/>
    <w:rsid w:val="00130974"/>
    <w:rsid w:val="001309E6"/>
    <w:rsid w:val="001309F7"/>
    <w:rsid w:val="00131616"/>
    <w:rsid w:val="00132330"/>
    <w:rsid w:val="001325F2"/>
    <w:rsid w:val="001326DF"/>
    <w:rsid w:val="0013271F"/>
    <w:rsid w:val="001330E0"/>
    <w:rsid w:val="0013343D"/>
    <w:rsid w:val="0013344B"/>
    <w:rsid w:val="001336DD"/>
    <w:rsid w:val="00133EDD"/>
    <w:rsid w:val="00134A39"/>
    <w:rsid w:val="00135107"/>
    <w:rsid w:val="001352AB"/>
    <w:rsid w:val="0013564B"/>
    <w:rsid w:val="001359BF"/>
    <w:rsid w:val="00135A87"/>
    <w:rsid w:val="00135BD8"/>
    <w:rsid w:val="00135DC5"/>
    <w:rsid w:val="001364F1"/>
    <w:rsid w:val="00136694"/>
    <w:rsid w:val="00136988"/>
    <w:rsid w:val="001370EA"/>
    <w:rsid w:val="0013711E"/>
    <w:rsid w:val="00137808"/>
    <w:rsid w:val="00137A6C"/>
    <w:rsid w:val="00137EF1"/>
    <w:rsid w:val="00140651"/>
    <w:rsid w:val="00140869"/>
    <w:rsid w:val="00140D5A"/>
    <w:rsid w:val="001410F9"/>
    <w:rsid w:val="00141188"/>
    <w:rsid w:val="001413DB"/>
    <w:rsid w:val="001413FD"/>
    <w:rsid w:val="00141609"/>
    <w:rsid w:val="00141B66"/>
    <w:rsid w:val="00141B70"/>
    <w:rsid w:val="00142B27"/>
    <w:rsid w:val="00143571"/>
    <w:rsid w:val="00143AFC"/>
    <w:rsid w:val="00143E7B"/>
    <w:rsid w:val="001444A4"/>
    <w:rsid w:val="001446E4"/>
    <w:rsid w:val="001446EA"/>
    <w:rsid w:val="0014477E"/>
    <w:rsid w:val="00144BF9"/>
    <w:rsid w:val="00144C64"/>
    <w:rsid w:val="00144E13"/>
    <w:rsid w:val="0014522C"/>
    <w:rsid w:val="0014547A"/>
    <w:rsid w:val="00145645"/>
    <w:rsid w:val="001457BF"/>
    <w:rsid w:val="00146272"/>
    <w:rsid w:val="0014668A"/>
    <w:rsid w:val="00146746"/>
    <w:rsid w:val="00146935"/>
    <w:rsid w:val="00146A39"/>
    <w:rsid w:val="00146AD1"/>
    <w:rsid w:val="00146BB9"/>
    <w:rsid w:val="00146DD5"/>
    <w:rsid w:val="00146FFC"/>
    <w:rsid w:val="00147025"/>
    <w:rsid w:val="00147CFD"/>
    <w:rsid w:val="00150B54"/>
    <w:rsid w:val="001515A2"/>
    <w:rsid w:val="001517CF"/>
    <w:rsid w:val="001519DD"/>
    <w:rsid w:val="00151FBA"/>
    <w:rsid w:val="0015200A"/>
    <w:rsid w:val="0015206A"/>
    <w:rsid w:val="0015208B"/>
    <w:rsid w:val="0015298C"/>
    <w:rsid w:val="00152A4A"/>
    <w:rsid w:val="001532AC"/>
    <w:rsid w:val="00153310"/>
    <w:rsid w:val="001534B1"/>
    <w:rsid w:val="001537E1"/>
    <w:rsid w:val="001537F7"/>
    <w:rsid w:val="00153D5B"/>
    <w:rsid w:val="001542C7"/>
    <w:rsid w:val="001542FF"/>
    <w:rsid w:val="0015448E"/>
    <w:rsid w:val="00154540"/>
    <w:rsid w:val="00154788"/>
    <w:rsid w:val="00154AC8"/>
    <w:rsid w:val="00154B76"/>
    <w:rsid w:val="00154F26"/>
    <w:rsid w:val="0015501E"/>
    <w:rsid w:val="00155183"/>
    <w:rsid w:val="001556BD"/>
    <w:rsid w:val="00155837"/>
    <w:rsid w:val="00155936"/>
    <w:rsid w:val="00155C03"/>
    <w:rsid w:val="001567DD"/>
    <w:rsid w:val="00156977"/>
    <w:rsid w:val="00157947"/>
    <w:rsid w:val="00157B41"/>
    <w:rsid w:val="00157D1C"/>
    <w:rsid w:val="0016042A"/>
    <w:rsid w:val="00160866"/>
    <w:rsid w:val="00160DA4"/>
    <w:rsid w:val="001610A0"/>
    <w:rsid w:val="001612F3"/>
    <w:rsid w:val="0016187F"/>
    <w:rsid w:val="0016310E"/>
    <w:rsid w:val="0016327A"/>
    <w:rsid w:val="00163792"/>
    <w:rsid w:val="001639D3"/>
    <w:rsid w:val="00163A60"/>
    <w:rsid w:val="0016491C"/>
    <w:rsid w:val="00164C0D"/>
    <w:rsid w:val="00164C14"/>
    <w:rsid w:val="00164FD4"/>
    <w:rsid w:val="00165559"/>
    <w:rsid w:val="0016636F"/>
    <w:rsid w:val="001663CA"/>
    <w:rsid w:val="00166813"/>
    <w:rsid w:val="001672FF"/>
    <w:rsid w:val="00167559"/>
    <w:rsid w:val="0016782F"/>
    <w:rsid w:val="00167D7B"/>
    <w:rsid w:val="00167F4A"/>
    <w:rsid w:val="00170409"/>
    <w:rsid w:val="00170550"/>
    <w:rsid w:val="001706AB"/>
    <w:rsid w:val="00170706"/>
    <w:rsid w:val="00170761"/>
    <w:rsid w:val="00170776"/>
    <w:rsid w:val="001709B3"/>
    <w:rsid w:val="00170DCB"/>
    <w:rsid w:val="00170EF3"/>
    <w:rsid w:val="00170FD2"/>
    <w:rsid w:val="001718BB"/>
    <w:rsid w:val="0017199D"/>
    <w:rsid w:val="00171E32"/>
    <w:rsid w:val="001722DB"/>
    <w:rsid w:val="001726CF"/>
    <w:rsid w:val="00172967"/>
    <w:rsid w:val="001730AB"/>
    <w:rsid w:val="0017377F"/>
    <w:rsid w:val="00173CD7"/>
    <w:rsid w:val="00173D1B"/>
    <w:rsid w:val="00173FAF"/>
    <w:rsid w:val="0017416A"/>
    <w:rsid w:val="001745C5"/>
    <w:rsid w:val="00174819"/>
    <w:rsid w:val="00174828"/>
    <w:rsid w:val="00174E43"/>
    <w:rsid w:val="001753E4"/>
    <w:rsid w:val="001755DC"/>
    <w:rsid w:val="00175807"/>
    <w:rsid w:val="00175B83"/>
    <w:rsid w:val="001765E2"/>
    <w:rsid w:val="00176733"/>
    <w:rsid w:val="00176A0D"/>
    <w:rsid w:val="00177268"/>
    <w:rsid w:val="00177F1A"/>
    <w:rsid w:val="001800BF"/>
    <w:rsid w:val="001801A0"/>
    <w:rsid w:val="001813D7"/>
    <w:rsid w:val="0018148F"/>
    <w:rsid w:val="00181CBD"/>
    <w:rsid w:val="00182001"/>
    <w:rsid w:val="001820EB"/>
    <w:rsid w:val="0018227F"/>
    <w:rsid w:val="0018232E"/>
    <w:rsid w:val="0018242F"/>
    <w:rsid w:val="001825FB"/>
    <w:rsid w:val="0018261C"/>
    <w:rsid w:val="001831F4"/>
    <w:rsid w:val="001833B5"/>
    <w:rsid w:val="00183484"/>
    <w:rsid w:val="00183CD6"/>
    <w:rsid w:val="00184296"/>
    <w:rsid w:val="001845A8"/>
    <w:rsid w:val="00184B43"/>
    <w:rsid w:val="001854B7"/>
    <w:rsid w:val="001860C1"/>
    <w:rsid w:val="00186939"/>
    <w:rsid w:val="00186C66"/>
    <w:rsid w:val="00186C97"/>
    <w:rsid w:val="00186D10"/>
    <w:rsid w:val="00186DE8"/>
    <w:rsid w:val="001870BA"/>
    <w:rsid w:val="001873AA"/>
    <w:rsid w:val="00187527"/>
    <w:rsid w:val="00187570"/>
    <w:rsid w:val="0018779B"/>
    <w:rsid w:val="00187D11"/>
    <w:rsid w:val="0019007D"/>
    <w:rsid w:val="00190EAA"/>
    <w:rsid w:val="00191A53"/>
    <w:rsid w:val="001929A8"/>
    <w:rsid w:val="001933C4"/>
    <w:rsid w:val="001938F0"/>
    <w:rsid w:val="0019400A"/>
    <w:rsid w:val="00194546"/>
    <w:rsid w:val="00194931"/>
    <w:rsid w:val="00194BE8"/>
    <w:rsid w:val="00194CDA"/>
    <w:rsid w:val="00194D1D"/>
    <w:rsid w:val="0019533A"/>
    <w:rsid w:val="00195709"/>
    <w:rsid w:val="00195B60"/>
    <w:rsid w:val="001960CB"/>
    <w:rsid w:val="00196193"/>
    <w:rsid w:val="00196204"/>
    <w:rsid w:val="00196249"/>
    <w:rsid w:val="00196DB8"/>
    <w:rsid w:val="0019739E"/>
    <w:rsid w:val="001A02A2"/>
    <w:rsid w:val="001A063D"/>
    <w:rsid w:val="001A13D1"/>
    <w:rsid w:val="001A16B0"/>
    <w:rsid w:val="001A17AB"/>
    <w:rsid w:val="001A1E49"/>
    <w:rsid w:val="001A2629"/>
    <w:rsid w:val="001A2DFC"/>
    <w:rsid w:val="001A2F8F"/>
    <w:rsid w:val="001A33B8"/>
    <w:rsid w:val="001A3A94"/>
    <w:rsid w:val="001A3B29"/>
    <w:rsid w:val="001A3B72"/>
    <w:rsid w:val="001A3B97"/>
    <w:rsid w:val="001A45BC"/>
    <w:rsid w:val="001A4CD5"/>
    <w:rsid w:val="001A4D1C"/>
    <w:rsid w:val="001A5319"/>
    <w:rsid w:val="001A5348"/>
    <w:rsid w:val="001A5402"/>
    <w:rsid w:val="001A584B"/>
    <w:rsid w:val="001A5954"/>
    <w:rsid w:val="001A6336"/>
    <w:rsid w:val="001A660F"/>
    <w:rsid w:val="001A663E"/>
    <w:rsid w:val="001A675E"/>
    <w:rsid w:val="001A67A9"/>
    <w:rsid w:val="001A6DD9"/>
    <w:rsid w:val="001A70BD"/>
    <w:rsid w:val="001A772B"/>
    <w:rsid w:val="001A77AD"/>
    <w:rsid w:val="001A794F"/>
    <w:rsid w:val="001A7C59"/>
    <w:rsid w:val="001B00A1"/>
    <w:rsid w:val="001B00DD"/>
    <w:rsid w:val="001B0278"/>
    <w:rsid w:val="001B097F"/>
    <w:rsid w:val="001B0D08"/>
    <w:rsid w:val="001B107E"/>
    <w:rsid w:val="001B1764"/>
    <w:rsid w:val="001B1980"/>
    <w:rsid w:val="001B19F3"/>
    <w:rsid w:val="001B222E"/>
    <w:rsid w:val="001B2920"/>
    <w:rsid w:val="001B2B96"/>
    <w:rsid w:val="001B2C1E"/>
    <w:rsid w:val="001B2FB9"/>
    <w:rsid w:val="001B369B"/>
    <w:rsid w:val="001B36BB"/>
    <w:rsid w:val="001B3DB6"/>
    <w:rsid w:val="001B54B7"/>
    <w:rsid w:val="001B59E1"/>
    <w:rsid w:val="001B5EAF"/>
    <w:rsid w:val="001B5F59"/>
    <w:rsid w:val="001B68F7"/>
    <w:rsid w:val="001B6B0B"/>
    <w:rsid w:val="001B6BAD"/>
    <w:rsid w:val="001B6E7B"/>
    <w:rsid w:val="001B7516"/>
    <w:rsid w:val="001B76FF"/>
    <w:rsid w:val="001B7DAC"/>
    <w:rsid w:val="001B7DF8"/>
    <w:rsid w:val="001B7FDD"/>
    <w:rsid w:val="001C0144"/>
    <w:rsid w:val="001C0C78"/>
    <w:rsid w:val="001C102A"/>
    <w:rsid w:val="001C12E5"/>
    <w:rsid w:val="001C1429"/>
    <w:rsid w:val="001C14A2"/>
    <w:rsid w:val="001C15B7"/>
    <w:rsid w:val="001C1AD9"/>
    <w:rsid w:val="001C1D88"/>
    <w:rsid w:val="001C1E9E"/>
    <w:rsid w:val="001C2325"/>
    <w:rsid w:val="001C24F6"/>
    <w:rsid w:val="001C30B7"/>
    <w:rsid w:val="001C3259"/>
    <w:rsid w:val="001C3276"/>
    <w:rsid w:val="001C39C4"/>
    <w:rsid w:val="001C4032"/>
    <w:rsid w:val="001C4876"/>
    <w:rsid w:val="001C4E1F"/>
    <w:rsid w:val="001C5B48"/>
    <w:rsid w:val="001C639D"/>
    <w:rsid w:val="001C66E0"/>
    <w:rsid w:val="001C6A4D"/>
    <w:rsid w:val="001C6BE0"/>
    <w:rsid w:val="001C6D51"/>
    <w:rsid w:val="001C7871"/>
    <w:rsid w:val="001C7E56"/>
    <w:rsid w:val="001D0985"/>
    <w:rsid w:val="001D0E68"/>
    <w:rsid w:val="001D143F"/>
    <w:rsid w:val="001D1482"/>
    <w:rsid w:val="001D1675"/>
    <w:rsid w:val="001D181F"/>
    <w:rsid w:val="001D24E9"/>
    <w:rsid w:val="001D273A"/>
    <w:rsid w:val="001D292D"/>
    <w:rsid w:val="001D2C83"/>
    <w:rsid w:val="001D2DC3"/>
    <w:rsid w:val="001D2F0B"/>
    <w:rsid w:val="001D2F56"/>
    <w:rsid w:val="001D300F"/>
    <w:rsid w:val="001D3210"/>
    <w:rsid w:val="001D32C6"/>
    <w:rsid w:val="001D375E"/>
    <w:rsid w:val="001D4426"/>
    <w:rsid w:val="001D476E"/>
    <w:rsid w:val="001D4FE4"/>
    <w:rsid w:val="001D5547"/>
    <w:rsid w:val="001D5678"/>
    <w:rsid w:val="001D5B4B"/>
    <w:rsid w:val="001D5C39"/>
    <w:rsid w:val="001D5D2A"/>
    <w:rsid w:val="001D619C"/>
    <w:rsid w:val="001D7130"/>
    <w:rsid w:val="001D74D2"/>
    <w:rsid w:val="001D75ED"/>
    <w:rsid w:val="001D7C3E"/>
    <w:rsid w:val="001D7F98"/>
    <w:rsid w:val="001E00C7"/>
    <w:rsid w:val="001E02B2"/>
    <w:rsid w:val="001E031F"/>
    <w:rsid w:val="001E04BC"/>
    <w:rsid w:val="001E0CDB"/>
    <w:rsid w:val="001E1799"/>
    <w:rsid w:val="001E183D"/>
    <w:rsid w:val="001E1BA2"/>
    <w:rsid w:val="001E1E83"/>
    <w:rsid w:val="001E21AA"/>
    <w:rsid w:val="001E22D7"/>
    <w:rsid w:val="001E23D3"/>
    <w:rsid w:val="001E28AC"/>
    <w:rsid w:val="001E2DD4"/>
    <w:rsid w:val="001E34F0"/>
    <w:rsid w:val="001E3987"/>
    <w:rsid w:val="001E46FA"/>
    <w:rsid w:val="001E4905"/>
    <w:rsid w:val="001E4A80"/>
    <w:rsid w:val="001E4F31"/>
    <w:rsid w:val="001E5033"/>
    <w:rsid w:val="001E5A56"/>
    <w:rsid w:val="001E5DB7"/>
    <w:rsid w:val="001E6552"/>
    <w:rsid w:val="001E68E6"/>
    <w:rsid w:val="001E7283"/>
    <w:rsid w:val="001E745F"/>
    <w:rsid w:val="001E7E28"/>
    <w:rsid w:val="001F027D"/>
    <w:rsid w:val="001F02A0"/>
    <w:rsid w:val="001F0581"/>
    <w:rsid w:val="001F07B1"/>
    <w:rsid w:val="001F089E"/>
    <w:rsid w:val="001F0AA5"/>
    <w:rsid w:val="001F0C3A"/>
    <w:rsid w:val="001F0EAA"/>
    <w:rsid w:val="001F10D8"/>
    <w:rsid w:val="001F190E"/>
    <w:rsid w:val="001F19AD"/>
    <w:rsid w:val="001F2568"/>
    <w:rsid w:val="001F2859"/>
    <w:rsid w:val="001F28A4"/>
    <w:rsid w:val="001F2979"/>
    <w:rsid w:val="001F3052"/>
    <w:rsid w:val="001F31CD"/>
    <w:rsid w:val="001F35A9"/>
    <w:rsid w:val="001F387E"/>
    <w:rsid w:val="001F3889"/>
    <w:rsid w:val="001F3B4C"/>
    <w:rsid w:val="001F493F"/>
    <w:rsid w:val="001F4B0E"/>
    <w:rsid w:val="001F5001"/>
    <w:rsid w:val="001F5A71"/>
    <w:rsid w:val="001F6516"/>
    <w:rsid w:val="001F6644"/>
    <w:rsid w:val="001F6D20"/>
    <w:rsid w:val="001F74DB"/>
    <w:rsid w:val="001F751B"/>
    <w:rsid w:val="001F7904"/>
    <w:rsid w:val="001F7936"/>
    <w:rsid w:val="001F7F8C"/>
    <w:rsid w:val="002001A5"/>
    <w:rsid w:val="00200787"/>
    <w:rsid w:val="00200B68"/>
    <w:rsid w:val="00200F67"/>
    <w:rsid w:val="0020108A"/>
    <w:rsid w:val="00201642"/>
    <w:rsid w:val="002016DF"/>
    <w:rsid w:val="00201859"/>
    <w:rsid w:val="00201ACD"/>
    <w:rsid w:val="00201B19"/>
    <w:rsid w:val="00201B8F"/>
    <w:rsid w:val="00201FF3"/>
    <w:rsid w:val="0020202E"/>
    <w:rsid w:val="002023B7"/>
    <w:rsid w:val="00202559"/>
    <w:rsid w:val="00202716"/>
    <w:rsid w:val="00202950"/>
    <w:rsid w:val="00202A9E"/>
    <w:rsid w:val="002032AA"/>
    <w:rsid w:val="00203361"/>
    <w:rsid w:val="00203566"/>
    <w:rsid w:val="002040AB"/>
    <w:rsid w:val="0020426F"/>
    <w:rsid w:val="0020441B"/>
    <w:rsid w:val="00204F3E"/>
    <w:rsid w:val="002053D0"/>
    <w:rsid w:val="00205617"/>
    <w:rsid w:val="00205E42"/>
    <w:rsid w:val="002069EB"/>
    <w:rsid w:val="00206C17"/>
    <w:rsid w:val="00206EEA"/>
    <w:rsid w:val="0020719F"/>
    <w:rsid w:val="002072FD"/>
    <w:rsid w:val="00207962"/>
    <w:rsid w:val="00210023"/>
    <w:rsid w:val="00210F63"/>
    <w:rsid w:val="002117DF"/>
    <w:rsid w:val="002119DF"/>
    <w:rsid w:val="00211CCE"/>
    <w:rsid w:val="00212021"/>
    <w:rsid w:val="0021286C"/>
    <w:rsid w:val="00212C73"/>
    <w:rsid w:val="0021352D"/>
    <w:rsid w:val="002139A9"/>
    <w:rsid w:val="00213DD9"/>
    <w:rsid w:val="0021661A"/>
    <w:rsid w:val="00216E98"/>
    <w:rsid w:val="00216EFD"/>
    <w:rsid w:val="00217371"/>
    <w:rsid w:val="002174AF"/>
    <w:rsid w:val="00220256"/>
    <w:rsid w:val="00220D18"/>
    <w:rsid w:val="0022141C"/>
    <w:rsid w:val="0022183F"/>
    <w:rsid w:val="0022185D"/>
    <w:rsid w:val="002221BC"/>
    <w:rsid w:val="002227A1"/>
    <w:rsid w:val="002228EF"/>
    <w:rsid w:val="0022332C"/>
    <w:rsid w:val="002233A1"/>
    <w:rsid w:val="002238CE"/>
    <w:rsid w:val="0022396C"/>
    <w:rsid w:val="00223B3C"/>
    <w:rsid w:val="00223EA7"/>
    <w:rsid w:val="002243EA"/>
    <w:rsid w:val="00224D7E"/>
    <w:rsid w:val="00224E6B"/>
    <w:rsid w:val="00225307"/>
    <w:rsid w:val="00225804"/>
    <w:rsid w:val="00225849"/>
    <w:rsid w:val="00225A57"/>
    <w:rsid w:val="00225C54"/>
    <w:rsid w:val="0022634C"/>
    <w:rsid w:val="002267C1"/>
    <w:rsid w:val="0022692E"/>
    <w:rsid w:val="00226995"/>
    <w:rsid w:val="002269E2"/>
    <w:rsid w:val="0022710B"/>
    <w:rsid w:val="00227498"/>
    <w:rsid w:val="0022783A"/>
    <w:rsid w:val="00227907"/>
    <w:rsid w:val="00227930"/>
    <w:rsid w:val="00227A54"/>
    <w:rsid w:val="00230274"/>
    <w:rsid w:val="00230C0B"/>
    <w:rsid w:val="002317E0"/>
    <w:rsid w:val="00231B13"/>
    <w:rsid w:val="0023218B"/>
    <w:rsid w:val="002325C1"/>
    <w:rsid w:val="00232B69"/>
    <w:rsid w:val="0023315B"/>
    <w:rsid w:val="0023376D"/>
    <w:rsid w:val="002339CD"/>
    <w:rsid w:val="002345D3"/>
    <w:rsid w:val="00234843"/>
    <w:rsid w:val="00234F21"/>
    <w:rsid w:val="002352E6"/>
    <w:rsid w:val="0023540B"/>
    <w:rsid w:val="0023550A"/>
    <w:rsid w:val="0023552B"/>
    <w:rsid w:val="0023553D"/>
    <w:rsid w:val="00235818"/>
    <w:rsid w:val="00235A2F"/>
    <w:rsid w:val="00235BAC"/>
    <w:rsid w:val="0023602C"/>
    <w:rsid w:val="00236393"/>
    <w:rsid w:val="002365D7"/>
    <w:rsid w:val="002365F9"/>
    <w:rsid w:val="0023731D"/>
    <w:rsid w:val="00237A6E"/>
    <w:rsid w:val="002407DA"/>
    <w:rsid w:val="00240A3F"/>
    <w:rsid w:val="00240DE4"/>
    <w:rsid w:val="0024153E"/>
    <w:rsid w:val="002417DE"/>
    <w:rsid w:val="0024198D"/>
    <w:rsid w:val="00241A06"/>
    <w:rsid w:val="00242461"/>
    <w:rsid w:val="0024263D"/>
    <w:rsid w:val="00242A50"/>
    <w:rsid w:val="00242C33"/>
    <w:rsid w:val="00243C2C"/>
    <w:rsid w:val="00243C75"/>
    <w:rsid w:val="0024477C"/>
    <w:rsid w:val="00244986"/>
    <w:rsid w:val="00244B45"/>
    <w:rsid w:val="00245253"/>
    <w:rsid w:val="00245A38"/>
    <w:rsid w:val="00245D67"/>
    <w:rsid w:val="00245E61"/>
    <w:rsid w:val="00246EAF"/>
    <w:rsid w:val="00246FE9"/>
    <w:rsid w:val="00247136"/>
    <w:rsid w:val="002471A8"/>
    <w:rsid w:val="002475F7"/>
    <w:rsid w:val="002476E6"/>
    <w:rsid w:val="0024774F"/>
    <w:rsid w:val="002477C3"/>
    <w:rsid w:val="00247A7E"/>
    <w:rsid w:val="00247D3E"/>
    <w:rsid w:val="00247DD7"/>
    <w:rsid w:val="002507BE"/>
    <w:rsid w:val="00250C5A"/>
    <w:rsid w:val="00250D53"/>
    <w:rsid w:val="00251627"/>
    <w:rsid w:val="00251FF5"/>
    <w:rsid w:val="002521B0"/>
    <w:rsid w:val="00252A45"/>
    <w:rsid w:val="00252B9C"/>
    <w:rsid w:val="00253632"/>
    <w:rsid w:val="00253968"/>
    <w:rsid w:val="00253976"/>
    <w:rsid w:val="00253B3E"/>
    <w:rsid w:val="00254047"/>
    <w:rsid w:val="00254089"/>
    <w:rsid w:val="00254204"/>
    <w:rsid w:val="00254351"/>
    <w:rsid w:val="00255185"/>
    <w:rsid w:val="00255469"/>
    <w:rsid w:val="00255B80"/>
    <w:rsid w:val="00255CD5"/>
    <w:rsid w:val="00255F09"/>
    <w:rsid w:val="002560E8"/>
    <w:rsid w:val="002566FD"/>
    <w:rsid w:val="00256B52"/>
    <w:rsid w:val="00257CB4"/>
    <w:rsid w:val="002600F9"/>
    <w:rsid w:val="002608CE"/>
    <w:rsid w:val="00260A14"/>
    <w:rsid w:val="00260C1B"/>
    <w:rsid w:val="00260D48"/>
    <w:rsid w:val="00261425"/>
    <w:rsid w:val="00261A6C"/>
    <w:rsid w:val="00261A9F"/>
    <w:rsid w:val="00261DCD"/>
    <w:rsid w:val="00262354"/>
    <w:rsid w:val="00262456"/>
    <w:rsid w:val="0026275F"/>
    <w:rsid w:val="00262B1A"/>
    <w:rsid w:val="00263233"/>
    <w:rsid w:val="002632C2"/>
    <w:rsid w:val="002636D7"/>
    <w:rsid w:val="00263FDA"/>
    <w:rsid w:val="00264917"/>
    <w:rsid w:val="00264EA8"/>
    <w:rsid w:val="002653E8"/>
    <w:rsid w:val="0026569D"/>
    <w:rsid w:val="00265C65"/>
    <w:rsid w:val="00266C68"/>
    <w:rsid w:val="00267841"/>
    <w:rsid w:val="00267E5C"/>
    <w:rsid w:val="00267E8C"/>
    <w:rsid w:val="00267EA7"/>
    <w:rsid w:val="00270667"/>
    <w:rsid w:val="00270D2D"/>
    <w:rsid w:val="0027175A"/>
    <w:rsid w:val="002718C7"/>
    <w:rsid w:val="00271A0C"/>
    <w:rsid w:val="00271EAC"/>
    <w:rsid w:val="00272891"/>
    <w:rsid w:val="00272A31"/>
    <w:rsid w:val="00272BED"/>
    <w:rsid w:val="0027330E"/>
    <w:rsid w:val="00273337"/>
    <w:rsid w:val="00273410"/>
    <w:rsid w:val="00273586"/>
    <w:rsid w:val="0027462B"/>
    <w:rsid w:val="00274C4B"/>
    <w:rsid w:val="00274C5F"/>
    <w:rsid w:val="00274EEB"/>
    <w:rsid w:val="00275434"/>
    <w:rsid w:val="0027558C"/>
    <w:rsid w:val="0027579A"/>
    <w:rsid w:val="00275C4A"/>
    <w:rsid w:val="002762F1"/>
    <w:rsid w:val="0027636B"/>
    <w:rsid w:val="00276BC8"/>
    <w:rsid w:val="00276CD6"/>
    <w:rsid w:val="00276ED4"/>
    <w:rsid w:val="0027700A"/>
    <w:rsid w:val="00277495"/>
    <w:rsid w:val="002775FC"/>
    <w:rsid w:val="00277A83"/>
    <w:rsid w:val="00277E4F"/>
    <w:rsid w:val="00277E91"/>
    <w:rsid w:val="0028014C"/>
    <w:rsid w:val="002801BA"/>
    <w:rsid w:val="00280E41"/>
    <w:rsid w:val="00280E93"/>
    <w:rsid w:val="00281770"/>
    <w:rsid w:val="00281921"/>
    <w:rsid w:val="002826A8"/>
    <w:rsid w:val="00282B93"/>
    <w:rsid w:val="00282FF8"/>
    <w:rsid w:val="002832F2"/>
    <w:rsid w:val="00283515"/>
    <w:rsid w:val="00283891"/>
    <w:rsid w:val="00283BB4"/>
    <w:rsid w:val="00283C77"/>
    <w:rsid w:val="00283D46"/>
    <w:rsid w:val="00284089"/>
    <w:rsid w:val="0028411C"/>
    <w:rsid w:val="002843FD"/>
    <w:rsid w:val="00284C14"/>
    <w:rsid w:val="002854BD"/>
    <w:rsid w:val="002864B3"/>
    <w:rsid w:val="002866AC"/>
    <w:rsid w:val="00286FF6"/>
    <w:rsid w:val="002872F8"/>
    <w:rsid w:val="002875CE"/>
    <w:rsid w:val="00287692"/>
    <w:rsid w:val="0028798B"/>
    <w:rsid w:val="00287A6F"/>
    <w:rsid w:val="00287C7A"/>
    <w:rsid w:val="00287E79"/>
    <w:rsid w:val="002902F1"/>
    <w:rsid w:val="0029051F"/>
    <w:rsid w:val="00290934"/>
    <w:rsid w:val="00291042"/>
    <w:rsid w:val="002912DA"/>
    <w:rsid w:val="00291416"/>
    <w:rsid w:val="00291635"/>
    <w:rsid w:val="002924C3"/>
    <w:rsid w:val="00292758"/>
    <w:rsid w:val="002929F9"/>
    <w:rsid w:val="00293096"/>
    <w:rsid w:val="00293CA7"/>
    <w:rsid w:val="002944A1"/>
    <w:rsid w:val="002944D9"/>
    <w:rsid w:val="002947EE"/>
    <w:rsid w:val="00294E9B"/>
    <w:rsid w:val="00294EC6"/>
    <w:rsid w:val="00294F11"/>
    <w:rsid w:val="00294F4F"/>
    <w:rsid w:val="00294F5E"/>
    <w:rsid w:val="00295039"/>
    <w:rsid w:val="0029585C"/>
    <w:rsid w:val="002959BE"/>
    <w:rsid w:val="00296BC5"/>
    <w:rsid w:val="0029718D"/>
    <w:rsid w:val="00297CE2"/>
    <w:rsid w:val="00297D55"/>
    <w:rsid w:val="002A00AB"/>
    <w:rsid w:val="002A00B8"/>
    <w:rsid w:val="002A0655"/>
    <w:rsid w:val="002A0785"/>
    <w:rsid w:val="002A0C35"/>
    <w:rsid w:val="002A0C68"/>
    <w:rsid w:val="002A10AB"/>
    <w:rsid w:val="002A1235"/>
    <w:rsid w:val="002A1716"/>
    <w:rsid w:val="002A19DB"/>
    <w:rsid w:val="002A1A0F"/>
    <w:rsid w:val="002A1D1E"/>
    <w:rsid w:val="002A2338"/>
    <w:rsid w:val="002A2899"/>
    <w:rsid w:val="002A2C0C"/>
    <w:rsid w:val="002A31D0"/>
    <w:rsid w:val="002A3850"/>
    <w:rsid w:val="002A3CAE"/>
    <w:rsid w:val="002A3CEE"/>
    <w:rsid w:val="002A462F"/>
    <w:rsid w:val="002A4C44"/>
    <w:rsid w:val="002A4EF6"/>
    <w:rsid w:val="002A5881"/>
    <w:rsid w:val="002A5AAB"/>
    <w:rsid w:val="002A5ACD"/>
    <w:rsid w:val="002A5C69"/>
    <w:rsid w:val="002A5E9E"/>
    <w:rsid w:val="002A5FEB"/>
    <w:rsid w:val="002A6287"/>
    <w:rsid w:val="002A63B7"/>
    <w:rsid w:val="002A6489"/>
    <w:rsid w:val="002A6921"/>
    <w:rsid w:val="002A694F"/>
    <w:rsid w:val="002A7320"/>
    <w:rsid w:val="002A7AC3"/>
    <w:rsid w:val="002A7BB0"/>
    <w:rsid w:val="002A7FB2"/>
    <w:rsid w:val="002B01DA"/>
    <w:rsid w:val="002B055A"/>
    <w:rsid w:val="002B05A4"/>
    <w:rsid w:val="002B0625"/>
    <w:rsid w:val="002B06CD"/>
    <w:rsid w:val="002B0872"/>
    <w:rsid w:val="002B0DF6"/>
    <w:rsid w:val="002B134A"/>
    <w:rsid w:val="002B1942"/>
    <w:rsid w:val="002B258F"/>
    <w:rsid w:val="002B347F"/>
    <w:rsid w:val="002B358E"/>
    <w:rsid w:val="002B3959"/>
    <w:rsid w:val="002B40A0"/>
    <w:rsid w:val="002B4181"/>
    <w:rsid w:val="002B450A"/>
    <w:rsid w:val="002B45BC"/>
    <w:rsid w:val="002B4C26"/>
    <w:rsid w:val="002B4D7E"/>
    <w:rsid w:val="002B4F91"/>
    <w:rsid w:val="002B685B"/>
    <w:rsid w:val="002B748A"/>
    <w:rsid w:val="002B7FBD"/>
    <w:rsid w:val="002C000C"/>
    <w:rsid w:val="002C00C9"/>
    <w:rsid w:val="002C0180"/>
    <w:rsid w:val="002C0CEE"/>
    <w:rsid w:val="002C1332"/>
    <w:rsid w:val="002C13A2"/>
    <w:rsid w:val="002C1597"/>
    <w:rsid w:val="002C1617"/>
    <w:rsid w:val="002C1A37"/>
    <w:rsid w:val="002C1A70"/>
    <w:rsid w:val="002C1CF4"/>
    <w:rsid w:val="002C1F46"/>
    <w:rsid w:val="002C2393"/>
    <w:rsid w:val="002C2EE4"/>
    <w:rsid w:val="002C37DE"/>
    <w:rsid w:val="002C3A9F"/>
    <w:rsid w:val="002C3C2B"/>
    <w:rsid w:val="002C3E26"/>
    <w:rsid w:val="002C4093"/>
    <w:rsid w:val="002C4449"/>
    <w:rsid w:val="002C44F4"/>
    <w:rsid w:val="002C4A02"/>
    <w:rsid w:val="002C4D94"/>
    <w:rsid w:val="002C595E"/>
    <w:rsid w:val="002C5DD2"/>
    <w:rsid w:val="002C7265"/>
    <w:rsid w:val="002C7989"/>
    <w:rsid w:val="002C7B29"/>
    <w:rsid w:val="002D03BA"/>
    <w:rsid w:val="002D04D6"/>
    <w:rsid w:val="002D0AAD"/>
    <w:rsid w:val="002D0AE6"/>
    <w:rsid w:val="002D0B5C"/>
    <w:rsid w:val="002D0CDF"/>
    <w:rsid w:val="002D0DBA"/>
    <w:rsid w:val="002D11A5"/>
    <w:rsid w:val="002D147A"/>
    <w:rsid w:val="002D1917"/>
    <w:rsid w:val="002D192C"/>
    <w:rsid w:val="002D2182"/>
    <w:rsid w:val="002D230B"/>
    <w:rsid w:val="002D2D30"/>
    <w:rsid w:val="002D2FC9"/>
    <w:rsid w:val="002D3938"/>
    <w:rsid w:val="002D437E"/>
    <w:rsid w:val="002D4510"/>
    <w:rsid w:val="002D4647"/>
    <w:rsid w:val="002D51CE"/>
    <w:rsid w:val="002D56CF"/>
    <w:rsid w:val="002D5FB2"/>
    <w:rsid w:val="002D62D8"/>
    <w:rsid w:val="002D65C7"/>
    <w:rsid w:val="002D6914"/>
    <w:rsid w:val="002D697A"/>
    <w:rsid w:val="002D730E"/>
    <w:rsid w:val="002D734D"/>
    <w:rsid w:val="002D7C39"/>
    <w:rsid w:val="002E1BE4"/>
    <w:rsid w:val="002E1E6F"/>
    <w:rsid w:val="002E1F9E"/>
    <w:rsid w:val="002E1FBC"/>
    <w:rsid w:val="002E30BF"/>
    <w:rsid w:val="002E3335"/>
    <w:rsid w:val="002E3575"/>
    <w:rsid w:val="002E3D84"/>
    <w:rsid w:val="002E417A"/>
    <w:rsid w:val="002E461E"/>
    <w:rsid w:val="002E47F7"/>
    <w:rsid w:val="002E506E"/>
    <w:rsid w:val="002E55FE"/>
    <w:rsid w:val="002E5762"/>
    <w:rsid w:val="002E590B"/>
    <w:rsid w:val="002E5AFB"/>
    <w:rsid w:val="002E6413"/>
    <w:rsid w:val="002E6930"/>
    <w:rsid w:val="002E694C"/>
    <w:rsid w:val="002E6EBC"/>
    <w:rsid w:val="002E741B"/>
    <w:rsid w:val="002E7CAC"/>
    <w:rsid w:val="002E7D3F"/>
    <w:rsid w:val="002E7E16"/>
    <w:rsid w:val="002F0179"/>
    <w:rsid w:val="002F0241"/>
    <w:rsid w:val="002F036B"/>
    <w:rsid w:val="002F03B8"/>
    <w:rsid w:val="002F0EAF"/>
    <w:rsid w:val="002F1BC6"/>
    <w:rsid w:val="002F21A6"/>
    <w:rsid w:val="002F2575"/>
    <w:rsid w:val="002F264F"/>
    <w:rsid w:val="002F4C16"/>
    <w:rsid w:val="002F4D55"/>
    <w:rsid w:val="002F543B"/>
    <w:rsid w:val="002F55E2"/>
    <w:rsid w:val="002F5668"/>
    <w:rsid w:val="002F5A88"/>
    <w:rsid w:val="002F5F8A"/>
    <w:rsid w:val="002F6090"/>
    <w:rsid w:val="002F62A2"/>
    <w:rsid w:val="002F6E9A"/>
    <w:rsid w:val="002F6ED8"/>
    <w:rsid w:val="002F7A5B"/>
    <w:rsid w:val="0030091E"/>
    <w:rsid w:val="003012E0"/>
    <w:rsid w:val="003015DA"/>
    <w:rsid w:val="0030197D"/>
    <w:rsid w:val="00302350"/>
    <w:rsid w:val="00302567"/>
    <w:rsid w:val="003028E3"/>
    <w:rsid w:val="00302BC3"/>
    <w:rsid w:val="00303567"/>
    <w:rsid w:val="00303B2B"/>
    <w:rsid w:val="00304107"/>
    <w:rsid w:val="00304387"/>
    <w:rsid w:val="003043E6"/>
    <w:rsid w:val="0030444D"/>
    <w:rsid w:val="003045C5"/>
    <w:rsid w:val="0030495B"/>
    <w:rsid w:val="00304F72"/>
    <w:rsid w:val="00305445"/>
    <w:rsid w:val="00305BC8"/>
    <w:rsid w:val="003065E8"/>
    <w:rsid w:val="00306999"/>
    <w:rsid w:val="00306AD2"/>
    <w:rsid w:val="00306C32"/>
    <w:rsid w:val="00306E9D"/>
    <w:rsid w:val="003070D9"/>
    <w:rsid w:val="003072BD"/>
    <w:rsid w:val="003072FA"/>
    <w:rsid w:val="00307E43"/>
    <w:rsid w:val="00307ECD"/>
    <w:rsid w:val="00310079"/>
    <w:rsid w:val="00310777"/>
    <w:rsid w:val="00310D3C"/>
    <w:rsid w:val="003110C2"/>
    <w:rsid w:val="00311132"/>
    <w:rsid w:val="00311664"/>
    <w:rsid w:val="0031181C"/>
    <w:rsid w:val="00311FB1"/>
    <w:rsid w:val="00312711"/>
    <w:rsid w:val="00312A5E"/>
    <w:rsid w:val="0031350C"/>
    <w:rsid w:val="0031362E"/>
    <w:rsid w:val="0031364A"/>
    <w:rsid w:val="00313878"/>
    <w:rsid w:val="00313996"/>
    <w:rsid w:val="0031399C"/>
    <w:rsid w:val="00313BBC"/>
    <w:rsid w:val="00313E6B"/>
    <w:rsid w:val="00313EE3"/>
    <w:rsid w:val="00314F63"/>
    <w:rsid w:val="003150E7"/>
    <w:rsid w:val="00315FD8"/>
    <w:rsid w:val="00315FDC"/>
    <w:rsid w:val="0031602F"/>
    <w:rsid w:val="003163ED"/>
    <w:rsid w:val="003168BB"/>
    <w:rsid w:val="003168CE"/>
    <w:rsid w:val="00316D78"/>
    <w:rsid w:val="003172EA"/>
    <w:rsid w:val="0031736E"/>
    <w:rsid w:val="0031771B"/>
    <w:rsid w:val="0031783F"/>
    <w:rsid w:val="00317863"/>
    <w:rsid w:val="0032043E"/>
    <w:rsid w:val="00320503"/>
    <w:rsid w:val="0032058A"/>
    <w:rsid w:val="00320625"/>
    <w:rsid w:val="003207AD"/>
    <w:rsid w:val="003209E5"/>
    <w:rsid w:val="00320DB1"/>
    <w:rsid w:val="003213D9"/>
    <w:rsid w:val="003213DB"/>
    <w:rsid w:val="00321480"/>
    <w:rsid w:val="00321AE8"/>
    <w:rsid w:val="00321B45"/>
    <w:rsid w:val="00321C1C"/>
    <w:rsid w:val="00322373"/>
    <w:rsid w:val="0032266F"/>
    <w:rsid w:val="00322910"/>
    <w:rsid w:val="00322A07"/>
    <w:rsid w:val="00322F9D"/>
    <w:rsid w:val="0032303D"/>
    <w:rsid w:val="003237A1"/>
    <w:rsid w:val="00323D57"/>
    <w:rsid w:val="00324466"/>
    <w:rsid w:val="00324615"/>
    <w:rsid w:val="00324CEB"/>
    <w:rsid w:val="00325541"/>
    <w:rsid w:val="0032585B"/>
    <w:rsid w:val="00325D9C"/>
    <w:rsid w:val="0032693E"/>
    <w:rsid w:val="00326EAA"/>
    <w:rsid w:val="00326F37"/>
    <w:rsid w:val="0032770C"/>
    <w:rsid w:val="00327A86"/>
    <w:rsid w:val="00327C1A"/>
    <w:rsid w:val="00327CE4"/>
    <w:rsid w:val="0033003D"/>
    <w:rsid w:val="003304F7"/>
    <w:rsid w:val="003305D1"/>
    <w:rsid w:val="00330841"/>
    <w:rsid w:val="003309C5"/>
    <w:rsid w:val="00331005"/>
    <w:rsid w:val="003312ED"/>
    <w:rsid w:val="003314E9"/>
    <w:rsid w:val="00331904"/>
    <w:rsid w:val="00331FA1"/>
    <w:rsid w:val="00333BDE"/>
    <w:rsid w:val="00333C6D"/>
    <w:rsid w:val="00333DD5"/>
    <w:rsid w:val="0033430F"/>
    <w:rsid w:val="00334808"/>
    <w:rsid w:val="00334E9C"/>
    <w:rsid w:val="003355D7"/>
    <w:rsid w:val="00335C00"/>
    <w:rsid w:val="003363ED"/>
    <w:rsid w:val="00336AB8"/>
    <w:rsid w:val="003375D9"/>
    <w:rsid w:val="00337F91"/>
    <w:rsid w:val="00337F9D"/>
    <w:rsid w:val="003402B6"/>
    <w:rsid w:val="00340324"/>
    <w:rsid w:val="0034033D"/>
    <w:rsid w:val="003404D4"/>
    <w:rsid w:val="00340B74"/>
    <w:rsid w:val="00340CC9"/>
    <w:rsid w:val="00340E19"/>
    <w:rsid w:val="00342BC6"/>
    <w:rsid w:val="00342FF8"/>
    <w:rsid w:val="0034306E"/>
    <w:rsid w:val="00343450"/>
    <w:rsid w:val="00343682"/>
    <w:rsid w:val="003439D7"/>
    <w:rsid w:val="00343A81"/>
    <w:rsid w:val="00343BAD"/>
    <w:rsid w:val="00343F0F"/>
    <w:rsid w:val="00344553"/>
    <w:rsid w:val="003447C8"/>
    <w:rsid w:val="00344825"/>
    <w:rsid w:val="00344B67"/>
    <w:rsid w:val="00345199"/>
    <w:rsid w:val="003459C7"/>
    <w:rsid w:val="00345A03"/>
    <w:rsid w:val="003467EC"/>
    <w:rsid w:val="00346D2A"/>
    <w:rsid w:val="00347324"/>
    <w:rsid w:val="0034747A"/>
    <w:rsid w:val="00347BA2"/>
    <w:rsid w:val="003503ED"/>
    <w:rsid w:val="00350669"/>
    <w:rsid w:val="003513AB"/>
    <w:rsid w:val="0035145F"/>
    <w:rsid w:val="0035181A"/>
    <w:rsid w:val="003519D4"/>
    <w:rsid w:val="00351A98"/>
    <w:rsid w:val="00351C18"/>
    <w:rsid w:val="00351D2C"/>
    <w:rsid w:val="00351D94"/>
    <w:rsid w:val="0035205E"/>
    <w:rsid w:val="0035207E"/>
    <w:rsid w:val="00352962"/>
    <w:rsid w:val="00352B92"/>
    <w:rsid w:val="00352C68"/>
    <w:rsid w:val="00352DB7"/>
    <w:rsid w:val="00353451"/>
    <w:rsid w:val="003535F4"/>
    <w:rsid w:val="00353859"/>
    <w:rsid w:val="00353B67"/>
    <w:rsid w:val="00353D03"/>
    <w:rsid w:val="00354291"/>
    <w:rsid w:val="00354321"/>
    <w:rsid w:val="00354383"/>
    <w:rsid w:val="003545AA"/>
    <w:rsid w:val="00354667"/>
    <w:rsid w:val="00354E7F"/>
    <w:rsid w:val="003551D0"/>
    <w:rsid w:val="00355671"/>
    <w:rsid w:val="00355D49"/>
    <w:rsid w:val="003564CF"/>
    <w:rsid w:val="003566C5"/>
    <w:rsid w:val="0035676F"/>
    <w:rsid w:val="00356B65"/>
    <w:rsid w:val="003575EF"/>
    <w:rsid w:val="00357760"/>
    <w:rsid w:val="00357A43"/>
    <w:rsid w:val="00357CCD"/>
    <w:rsid w:val="00357E2F"/>
    <w:rsid w:val="00360465"/>
    <w:rsid w:val="0036055F"/>
    <w:rsid w:val="00360689"/>
    <w:rsid w:val="0036082E"/>
    <w:rsid w:val="00360943"/>
    <w:rsid w:val="00360FA3"/>
    <w:rsid w:val="00361170"/>
    <w:rsid w:val="00361354"/>
    <w:rsid w:val="003613C7"/>
    <w:rsid w:val="00361D79"/>
    <w:rsid w:val="00361DDE"/>
    <w:rsid w:val="00362067"/>
    <w:rsid w:val="00362163"/>
    <w:rsid w:val="0036347E"/>
    <w:rsid w:val="00363557"/>
    <w:rsid w:val="003635A9"/>
    <w:rsid w:val="003639BD"/>
    <w:rsid w:val="00363B1B"/>
    <w:rsid w:val="00363C91"/>
    <w:rsid w:val="00364192"/>
    <w:rsid w:val="00364226"/>
    <w:rsid w:val="00364792"/>
    <w:rsid w:val="00364E04"/>
    <w:rsid w:val="00364E73"/>
    <w:rsid w:val="00366042"/>
    <w:rsid w:val="00366048"/>
    <w:rsid w:val="00366469"/>
    <w:rsid w:val="003667BE"/>
    <w:rsid w:val="00366A2A"/>
    <w:rsid w:val="00366BA5"/>
    <w:rsid w:val="003671AC"/>
    <w:rsid w:val="00367497"/>
    <w:rsid w:val="0036798E"/>
    <w:rsid w:val="00367E46"/>
    <w:rsid w:val="00367F87"/>
    <w:rsid w:val="0037028E"/>
    <w:rsid w:val="0037035E"/>
    <w:rsid w:val="003710AC"/>
    <w:rsid w:val="0037118D"/>
    <w:rsid w:val="003711CC"/>
    <w:rsid w:val="003713A3"/>
    <w:rsid w:val="00371519"/>
    <w:rsid w:val="003715B5"/>
    <w:rsid w:val="0037174D"/>
    <w:rsid w:val="00372966"/>
    <w:rsid w:val="00373251"/>
    <w:rsid w:val="003739E4"/>
    <w:rsid w:val="00373A7C"/>
    <w:rsid w:val="00373B7A"/>
    <w:rsid w:val="00373F81"/>
    <w:rsid w:val="00374420"/>
    <w:rsid w:val="00374E87"/>
    <w:rsid w:val="00375136"/>
    <w:rsid w:val="00375AB2"/>
    <w:rsid w:val="00375B95"/>
    <w:rsid w:val="00376992"/>
    <w:rsid w:val="0037752C"/>
    <w:rsid w:val="00380EB3"/>
    <w:rsid w:val="00380F15"/>
    <w:rsid w:val="00380F18"/>
    <w:rsid w:val="0038131A"/>
    <w:rsid w:val="003816FF"/>
    <w:rsid w:val="00381921"/>
    <w:rsid w:val="00381A0B"/>
    <w:rsid w:val="00381BC3"/>
    <w:rsid w:val="00382007"/>
    <w:rsid w:val="00382095"/>
    <w:rsid w:val="00382233"/>
    <w:rsid w:val="00382351"/>
    <w:rsid w:val="00382464"/>
    <w:rsid w:val="00382564"/>
    <w:rsid w:val="00382D73"/>
    <w:rsid w:val="003837CD"/>
    <w:rsid w:val="00383B10"/>
    <w:rsid w:val="00383CC7"/>
    <w:rsid w:val="00383CCC"/>
    <w:rsid w:val="00383DA4"/>
    <w:rsid w:val="0038416E"/>
    <w:rsid w:val="00384311"/>
    <w:rsid w:val="003845BC"/>
    <w:rsid w:val="00384F21"/>
    <w:rsid w:val="0038522E"/>
    <w:rsid w:val="0038561E"/>
    <w:rsid w:val="00385816"/>
    <w:rsid w:val="00385BF1"/>
    <w:rsid w:val="003861CC"/>
    <w:rsid w:val="00386242"/>
    <w:rsid w:val="00386523"/>
    <w:rsid w:val="00386BBF"/>
    <w:rsid w:val="0038702A"/>
    <w:rsid w:val="00387397"/>
    <w:rsid w:val="00387679"/>
    <w:rsid w:val="00387754"/>
    <w:rsid w:val="00387D84"/>
    <w:rsid w:val="00387DC6"/>
    <w:rsid w:val="00387E0E"/>
    <w:rsid w:val="00387E59"/>
    <w:rsid w:val="00387FCD"/>
    <w:rsid w:val="00390125"/>
    <w:rsid w:val="00390B27"/>
    <w:rsid w:val="00390BD4"/>
    <w:rsid w:val="00390BE4"/>
    <w:rsid w:val="00391C81"/>
    <w:rsid w:val="00392482"/>
    <w:rsid w:val="003928D7"/>
    <w:rsid w:val="00392A01"/>
    <w:rsid w:val="00393679"/>
    <w:rsid w:val="00393A73"/>
    <w:rsid w:val="00393F82"/>
    <w:rsid w:val="003942A6"/>
    <w:rsid w:val="00394757"/>
    <w:rsid w:val="00394836"/>
    <w:rsid w:val="00394F2D"/>
    <w:rsid w:val="0039584D"/>
    <w:rsid w:val="0039598C"/>
    <w:rsid w:val="00395D99"/>
    <w:rsid w:val="0039623E"/>
    <w:rsid w:val="0039655E"/>
    <w:rsid w:val="0039671E"/>
    <w:rsid w:val="00397591"/>
    <w:rsid w:val="003A06FD"/>
    <w:rsid w:val="003A09CA"/>
    <w:rsid w:val="003A1287"/>
    <w:rsid w:val="003A14E1"/>
    <w:rsid w:val="003A158D"/>
    <w:rsid w:val="003A1F35"/>
    <w:rsid w:val="003A2170"/>
    <w:rsid w:val="003A2330"/>
    <w:rsid w:val="003A23DE"/>
    <w:rsid w:val="003A27C2"/>
    <w:rsid w:val="003A2BC9"/>
    <w:rsid w:val="003A3579"/>
    <w:rsid w:val="003A3C3E"/>
    <w:rsid w:val="003A3E4F"/>
    <w:rsid w:val="003A3FC0"/>
    <w:rsid w:val="003A454E"/>
    <w:rsid w:val="003A4A5A"/>
    <w:rsid w:val="003A4A60"/>
    <w:rsid w:val="003A4B1F"/>
    <w:rsid w:val="003A576F"/>
    <w:rsid w:val="003A5AB5"/>
    <w:rsid w:val="003A60CB"/>
    <w:rsid w:val="003A616A"/>
    <w:rsid w:val="003A661B"/>
    <w:rsid w:val="003A6B66"/>
    <w:rsid w:val="003A6C79"/>
    <w:rsid w:val="003A6F58"/>
    <w:rsid w:val="003A7380"/>
    <w:rsid w:val="003A7549"/>
    <w:rsid w:val="003A7B99"/>
    <w:rsid w:val="003B014B"/>
    <w:rsid w:val="003B0640"/>
    <w:rsid w:val="003B085B"/>
    <w:rsid w:val="003B0B0A"/>
    <w:rsid w:val="003B1060"/>
    <w:rsid w:val="003B10B9"/>
    <w:rsid w:val="003B118A"/>
    <w:rsid w:val="003B1192"/>
    <w:rsid w:val="003B1691"/>
    <w:rsid w:val="003B1856"/>
    <w:rsid w:val="003B1922"/>
    <w:rsid w:val="003B1A97"/>
    <w:rsid w:val="003B1B3C"/>
    <w:rsid w:val="003B1E19"/>
    <w:rsid w:val="003B1FD9"/>
    <w:rsid w:val="003B2037"/>
    <w:rsid w:val="003B2155"/>
    <w:rsid w:val="003B267B"/>
    <w:rsid w:val="003B27BF"/>
    <w:rsid w:val="003B29C4"/>
    <w:rsid w:val="003B2CD6"/>
    <w:rsid w:val="003B2DBB"/>
    <w:rsid w:val="003B3378"/>
    <w:rsid w:val="003B37CC"/>
    <w:rsid w:val="003B43ED"/>
    <w:rsid w:val="003B4592"/>
    <w:rsid w:val="003B4635"/>
    <w:rsid w:val="003B4CE3"/>
    <w:rsid w:val="003B4EFD"/>
    <w:rsid w:val="003B5009"/>
    <w:rsid w:val="003B61D0"/>
    <w:rsid w:val="003B648A"/>
    <w:rsid w:val="003B65AB"/>
    <w:rsid w:val="003B669F"/>
    <w:rsid w:val="003B66B7"/>
    <w:rsid w:val="003B728A"/>
    <w:rsid w:val="003B7307"/>
    <w:rsid w:val="003B7372"/>
    <w:rsid w:val="003B75B1"/>
    <w:rsid w:val="003B76B1"/>
    <w:rsid w:val="003B7A18"/>
    <w:rsid w:val="003B7E07"/>
    <w:rsid w:val="003B7E34"/>
    <w:rsid w:val="003B7F93"/>
    <w:rsid w:val="003B7FA9"/>
    <w:rsid w:val="003C0EBA"/>
    <w:rsid w:val="003C1F76"/>
    <w:rsid w:val="003C295D"/>
    <w:rsid w:val="003C2A2C"/>
    <w:rsid w:val="003C2C09"/>
    <w:rsid w:val="003C2CAE"/>
    <w:rsid w:val="003C2FC4"/>
    <w:rsid w:val="003C3480"/>
    <w:rsid w:val="003C3ABB"/>
    <w:rsid w:val="003C411F"/>
    <w:rsid w:val="003C41AB"/>
    <w:rsid w:val="003C44B3"/>
    <w:rsid w:val="003C4FFF"/>
    <w:rsid w:val="003C51C1"/>
    <w:rsid w:val="003C5618"/>
    <w:rsid w:val="003C5A04"/>
    <w:rsid w:val="003C5A9C"/>
    <w:rsid w:val="003C5B28"/>
    <w:rsid w:val="003C5CA7"/>
    <w:rsid w:val="003C5CB9"/>
    <w:rsid w:val="003C6A93"/>
    <w:rsid w:val="003C700E"/>
    <w:rsid w:val="003C754A"/>
    <w:rsid w:val="003C77F2"/>
    <w:rsid w:val="003C7A51"/>
    <w:rsid w:val="003D031C"/>
    <w:rsid w:val="003D043C"/>
    <w:rsid w:val="003D087B"/>
    <w:rsid w:val="003D0D64"/>
    <w:rsid w:val="003D152B"/>
    <w:rsid w:val="003D168D"/>
    <w:rsid w:val="003D1A40"/>
    <w:rsid w:val="003D1BC8"/>
    <w:rsid w:val="003D1D37"/>
    <w:rsid w:val="003D1F15"/>
    <w:rsid w:val="003D2279"/>
    <w:rsid w:val="003D2686"/>
    <w:rsid w:val="003D2BC8"/>
    <w:rsid w:val="003D2C01"/>
    <w:rsid w:val="003D2C83"/>
    <w:rsid w:val="003D2CC4"/>
    <w:rsid w:val="003D30F7"/>
    <w:rsid w:val="003D31E0"/>
    <w:rsid w:val="003D36ED"/>
    <w:rsid w:val="003D37AB"/>
    <w:rsid w:val="003D3DD7"/>
    <w:rsid w:val="003D47E4"/>
    <w:rsid w:val="003D4D03"/>
    <w:rsid w:val="003D5233"/>
    <w:rsid w:val="003D5393"/>
    <w:rsid w:val="003D539F"/>
    <w:rsid w:val="003D54FE"/>
    <w:rsid w:val="003D58AA"/>
    <w:rsid w:val="003D6000"/>
    <w:rsid w:val="003D6184"/>
    <w:rsid w:val="003D67A8"/>
    <w:rsid w:val="003D6A52"/>
    <w:rsid w:val="003D6F37"/>
    <w:rsid w:val="003D7104"/>
    <w:rsid w:val="003D72B7"/>
    <w:rsid w:val="003D7308"/>
    <w:rsid w:val="003D7378"/>
    <w:rsid w:val="003D75C3"/>
    <w:rsid w:val="003D7A93"/>
    <w:rsid w:val="003D7E47"/>
    <w:rsid w:val="003E01B6"/>
    <w:rsid w:val="003E0205"/>
    <w:rsid w:val="003E03EC"/>
    <w:rsid w:val="003E0433"/>
    <w:rsid w:val="003E07CA"/>
    <w:rsid w:val="003E1855"/>
    <w:rsid w:val="003E19D4"/>
    <w:rsid w:val="003E1C1A"/>
    <w:rsid w:val="003E1C8E"/>
    <w:rsid w:val="003E1E35"/>
    <w:rsid w:val="003E1E45"/>
    <w:rsid w:val="003E212E"/>
    <w:rsid w:val="003E2221"/>
    <w:rsid w:val="003E2244"/>
    <w:rsid w:val="003E249F"/>
    <w:rsid w:val="003E27D7"/>
    <w:rsid w:val="003E2F3F"/>
    <w:rsid w:val="003E2FE6"/>
    <w:rsid w:val="003E31ED"/>
    <w:rsid w:val="003E321F"/>
    <w:rsid w:val="003E358D"/>
    <w:rsid w:val="003E36AF"/>
    <w:rsid w:val="003E3700"/>
    <w:rsid w:val="003E4EB4"/>
    <w:rsid w:val="003E5419"/>
    <w:rsid w:val="003E6461"/>
    <w:rsid w:val="003E64C4"/>
    <w:rsid w:val="003E6B38"/>
    <w:rsid w:val="003E6DBD"/>
    <w:rsid w:val="003E6E9E"/>
    <w:rsid w:val="003E6F34"/>
    <w:rsid w:val="003E7863"/>
    <w:rsid w:val="003E7AB6"/>
    <w:rsid w:val="003E7F12"/>
    <w:rsid w:val="003F0121"/>
    <w:rsid w:val="003F04DB"/>
    <w:rsid w:val="003F055B"/>
    <w:rsid w:val="003F058F"/>
    <w:rsid w:val="003F066E"/>
    <w:rsid w:val="003F0864"/>
    <w:rsid w:val="003F10CB"/>
    <w:rsid w:val="003F168D"/>
    <w:rsid w:val="003F18DB"/>
    <w:rsid w:val="003F1CC1"/>
    <w:rsid w:val="003F2162"/>
    <w:rsid w:val="003F23CE"/>
    <w:rsid w:val="003F279E"/>
    <w:rsid w:val="003F27FB"/>
    <w:rsid w:val="003F33E2"/>
    <w:rsid w:val="003F354F"/>
    <w:rsid w:val="003F3B9B"/>
    <w:rsid w:val="003F3E62"/>
    <w:rsid w:val="003F3EC4"/>
    <w:rsid w:val="003F453A"/>
    <w:rsid w:val="003F45CC"/>
    <w:rsid w:val="003F487D"/>
    <w:rsid w:val="003F49BD"/>
    <w:rsid w:val="003F4B60"/>
    <w:rsid w:val="003F4C9A"/>
    <w:rsid w:val="003F4F9F"/>
    <w:rsid w:val="003F5122"/>
    <w:rsid w:val="003F52BB"/>
    <w:rsid w:val="003F52F5"/>
    <w:rsid w:val="003F56BF"/>
    <w:rsid w:val="003F573B"/>
    <w:rsid w:val="003F5D02"/>
    <w:rsid w:val="003F5F80"/>
    <w:rsid w:val="003F61B1"/>
    <w:rsid w:val="003F6802"/>
    <w:rsid w:val="003F6F01"/>
    <w:rsid w:val="003F7892"/>
    <w:rsid w:val="003F7A88"/>
    <w:rsid w:val="003F7B00"/>
    <w:rsid w:val="00400679"/>
    <w:rsid w:val="00401041"/>
    <w:rsid w:val="00401582"/>
    <w:rsid w:val="004015AA"/>
    <w:rsid w:val="0040180E"/>
    <w:rsid w:val="00401854"/>
    <w:rsid w:val="00401880"/>
    <w:rsid w:val="00401B3E"/>
    <w:rsid w:val="00401F80"/>
    <w:rsid w:val="004020C7"/>
    <w:rsid w:val="00402469"/>
    <w:rsid w:val="00402775"/>
    <w:rsid w:val="00402BED"/>
    <w:rsid w:val="00403230"/>
    <w:rsid w:val="004034E6"/>
    <w:rsid w:val="0040386F"/>
    <w:rsid w:val="00403970"/>
    <w:rsid w:val="004040F1"/>
    <w:rsid w:val="00404651"/>
    <w:rsid w:val="00404BD1"/>
    <w:rsid w:val="00404C18"/>
    <w:rsid w:val="00405549"/>
    <w:rsid w:val="00405805"/>
    <w:rsid w:val="004059D2"/>
    <w:rsid w:val="00405A09"/>
    <w:rsid w:val="004065BE"/>
    <w:rsid w:val="00406B45"/>
    <w:rsid w:val="00407194"/>
    <w:rsid w:val="004074EF"/>
    <w:rsid w:val="00407628"/>
    <w:rsid w:val="0040776D"/>
    <w:rsid w:val="00407D27"/>
    <w:rsid w:val="00410182"/>
    <w:rsid w:val="004101E4"/>
    <w:rsid w:val="00410AD7"/>
    <w:rsid w:val="0041178A"/>
    <w:rsid w:val="0041213B"/>
    <w:rsid w:val="0041261B"/>
    <w:rsid w:val="004132AD"/>
    <w:rsid w:val="004139C1"/>
    <w:rsid w:val="00413EF5"/>
    <w:rsid w:val="00413F0C"/>
    <w:rsid w:val="00413F7D"/>
    <w:rsid w:val="004140B1"/>
    <w:rsid w:val="0041473B"/>
    <w:rsid w:val="004147AF"/>
    <w:rsid w:val="004147D1"/>
    <w:rsid w:val="00414888"/>
    <w:rsid w:val="00414D98"/>
    <w:rsid w:val="004155AC"/>
    <w:rsid w:val="004160E6"/>
    <w:rsid w:val="004160EC"/>
    <w:rsid w:val="00416565"/>
    <w:rsid w:val="00416912"/>
    <w:rsid w:val="00417B3B"/>
    <w:rsid w:val="00417DA0"/>
    <w:rsid w:val="00420951"/>
    <w:rsid w:val="00420998"/>
    <w:rsid w:val="00420D09"/>
    <w:rsid w:val="0042127C"/>
    <w:rsid w:val="00422414"/>
    <w:rsid w:val="00422458"/>
    <w:rsid w:val="0042261E"/>
    <w:rsid w:val="004229BD"/>
    <w:rsid w:val="00422B36"/>
    <w:rsid w:val="00422F02"/>
    <w:rsid w:val="004231B2"/>
    <w:rsid w:val="004236A9"/>
    <w:rsid w:val="004236B9"/>
    <w:rsid w:val="00423C6D"/>
    <w:rsid w:val="00423D05"/>
    <w:rsid w:val="004245FB"/>
    <w:rsid w:val="004246EF"/>
    <w:rsid w:val="004247B9"/>
    <w:rsid w:val="00424966"/>
    <w:rsid w:val="00424D5D"/>
    <w:rsid w:val="00424E7F"/>
    <w:rsid w:val="004250B8"/>
    <w:rsid w:val="0042520B"/>
    <w:rsid w:val="0042574B"/>
    <w:rsid w:val="004258CF"/>
    <w:rsid w:val="00425AA8"/>
    <w:rsid w:val="00425D3D"/>
    <w:rsid w:val="00426036"/>
    <w:rsid w:val="00426400"/>
    <w:rsid w:val="00426405"/>
    <w:rsid w:val="0042649A"/>
    <w:rsid w:val="004268D6"/>
    <w:rsid w:val="00426A32"/>
    <w:rsid w:val="00426B8B"/>
    <w:rsid w:val="00426FF6"/>
    <w:rsid w:val="004272E6"/>
    <w:rsid w:val="00427553"/>
    <w:rsid w:val="00427B32"/>
    <w:rsid w:val="00427C06"/>
    <w:rsid w:val="00427C98"/>
    <w:rsid w:val="00427FD8"/>
    <w:rsid w:val="00430DD7"/>
    <w:rsid w:val="00430F01"/>
    <w:rsid w:val="004311A7"/>
    <w:rsid w:val="0043139A"/>
    <w:rsid w:val="00431474"/>
    <w:rsid w:val="00431639"/>
    <w:rsid w:val="00431C32"/>
    <w:rsid w:val="00431F96"/>
    <w:rsid w:val="004325EF"/>
    <w:rsid w:val="004329C8"/>
    <w:rsid w:val="00432A8D"/>
    <w:rsid w:val="00432B2C"/>
    <w:rsid w:val="00433073"/>
    <w:rsid w:val="00433745"/>
    <w:rsid w:val="004339F2"/>
    <w:rsid w:val="00433F95"/>
    <w:rsid w:val="0043408C"/>
    <w:rsid w:val="004340AA"/>
    <w:rsid w:val="00434370"/>
    <w:rsid w:val="004347E5"/>
    <w:rsid w:val="00434D19"/>
    <w:rsid w:val="00434ED3"/>
    <w:rsid w:val="0043506B"/>
    <w:rsid w:val="00435093"/>
    <w:rsid w:val="00435179"/>
    <w:rsid w:val="004355B1"/>
    <w:rsid w:val="00435B73"/>
    <w:rsid w:val="0043621E"/>
    <w:rsid w:val="004364BE"/>
    <w:rsid w:val="00436605"/>
    <w:rsid w:val="004369CF"/>
    <w:rsid w:val="00436B58"/>
    <w:rsid w:val="00436D27"/>
    <w:rsid w:val="00437080"/>
    <w:rsid w:val="0043735C"/>
    <w:rsid w:val="004374D9"/>
    <w:rsid w:val="004378AF"/>
    <w:rsid w:val="00437A46"/>
    <w:rsid w:val="00437ADF"/>
    <w:rsid w:val="00437B3A"/>
    <w:rsid w:val="00437DB6"/>
    <w:rsid w:val="00440821"/>
    <w:rsid w:val="00440AD6"/>
    <w:rsid w:val="00440E9A"/>
    <w:rsid w:val="00441309"/>
    <w:rsid w:val="004413FD"/>
    <w:rsid w:val="004417C5"/>
    <w:rsid w:val="00441894"/>
    <w:rsid w:val="004418CE"/>
    <w:rsid w:val="00441CD3"/>
    <w:rsid w:val="00441FC1"/>
    <w:rsid w:val="004420C5"/>
    <w:rsid w:val="004422CD"/>
    <w:rsid w:val="004422D6"/>
    <w:rsid w:val="00442436"/>
    <w:rsid w:val="004424D8"/>
    <w:rsid w:val="00442644"/>
    <w:rsid w:val="004427AA"/>
    <w:rsid w:val="00442911"/>
    <w:rsid w:val="00443006"/>
    <w:rsid w:val="00443993"/>
    <w:rsid w:val="0044423F"/>
    <w:rsid w:val="0044428F"/>
    <w:rsid w:val="00444936"/>
    <w:rsid w:val="004449B5"/>
    <w:rsid w:val="00444D09"/>
    <w:rsid w:val="00444F82"/>
    <w:rsid w:val="00445292"/>
    <w:rsid w:val="00445645"/>
    <w:rsid w:val="004457AC"/>
    <w:rsid w:val="004461A7"/>
    <w:rsid w:val="0044636A"/>
    <w:rsid w:val="00446528"/>
    <w:rsid w:val="00446663"/>
    <w:rsid w:val="00446718"/>
    <w:rsid w:val="00446A30"/>
    <w:rsid w:val="00446C23"/>
    <w:rsid w:val="00446C7D"/>
    <w:rsid w:val="00447022"/>
    <w:rsid w:val="00447171"/>
    <w:rsid w:val="00447464"/>
    <w:rsid w:val="0045054B"/>
    <w:rsid w:val="004506F3"/>
    <w:rsid w:val="0045097F"/>
    <w:rsid w:val="00451316"/>
    <w:rsid w:val="00451C46"/>
    <w:rsid w:val="00451DA6"/>
    <w:rsid w:val="00451F51"/>
    <w:rsid w:val="0045219C"/>
    <w:rsid w:val="004521E4"/>
    <w:rsid w:val="004529BF"/>
    <w:rsid w:val="00452A1F"/>
    <w:rsid w:val="00452A3F"/>
    <w:rsid w:val="004530D8"/>
    <w:rsid w:val="00453259"/>
    <w:rsid w:val="0045341E"/>
    <w:rsid w:val="00453432"/>
    <w:rsid w:val="004535E8"/>
    <w:rsid w:val="004536E4"/>
    <w:rsid w:val="00454325"/>
    <w:rsid w:val="00454E8D"/>
    <w:rsid w:val="0045507B"/>
    <w:rsid w:val="00455119"/>
    <w:rsid w:val="004551A1"/>
    <w:rsid w:val="004553C9"/>
    <w:rsid w:val="00455B75"/>
    <w:rsid w:val="00456292"/>
    <w:rsid w:val="00456418"/>
    <w:rsid w:val="00456C9A"/>
    <w:rsid w:val="00456D91"/>
    <w:rsid w:val="00456F21"/>
    <w:rsid w:val="00457923"/>
    <w:rsid w:val="00457A06"/>
    <w:rsid w:val="00457AAF"/>
    <w:rsid w:val="00460273"/>
    <w:rsid w:val="0046096C"/>
    <w:rsid w:val="00460CF0"/>
    <w:rsid w:val="00460E70"/>
    <w:rsid w:val="004610C2"/>
    <w:rsid w:val="004614BE"/>
    <w:rsid w:val="00461861"/>
    <w:rsid w:val="004618A8"/>
    <w:rsid w:val="00461BE1"/>
    <w:rsid w:val="00462AAE"/>
    <w:rsid w:val="00462D0D"/>
    <w:rsid w:val="00462D22"/>
    <w:rsid w:val="00462E2D"/>
    <w:rsid w:val="00462F76"/>
    <w:rsid w:val="004639AC"/>
    <w:rsid w:val="00463BEC"/>
    <w:rsid w:val="00463D84"/>
    <w:rsid w:val="00463DFA"/>
    <w:rsid w:val="0046444D"/>
    <w:rsid w:val="00464646"/>
    <w:rsid w:val="00464746"/>
    <w:rsid w:val="0046491A"/>
    <w:rsid w:val="00464AE6"/>
    <w:rsid w:val="004651F0"/>
    <w:rsid w:val="004654E5"/>
    <w:rsid w:val="00465CF8"/>
    <w:rsid w:val="00466CF1"/>
    <w:rsid w:val="00467161"/>
    <w:rsid w:val="0046739C"/>
    <w:rsid w:val="00467671"/>
    <w:rsid w:val="004677DC"/>
    <w:rsid w:val="0046780F"/>
    <w:rsid w:val="004679CE"/>
    <w:rsid w:val="00467B29"/>
    <w:rsid w:val="00467DD8"/>
    <w:rsid w:val="00467E44"/>
    <w:rsid w:val="00470283"/>
    <w:rsid w:val="0047055D"/>
    <w:rsid w:val="00470946"/>
    <w:rsid w:val="0047153F"/>
    <w:rsid w:val="00471677"/>
    <w:rsid w:val="004719F5"/>
    <w:rsid w:val="00472081"/>
    <w:rsid w:val="0047224B"/>
    <w:rsid w:val="0047260E"/>
    <w:rsid w:val="00472970"/>
    <w:rsid w:val="00472971"/>
    <w:rsid w:val="00472B96"/>
    <w:rsid w:val="00472F7C"/>
    <w:rsid w:val="00472FE6"/>
    <w:rsid w:val="004732D0"/>
    <w:rsid w:val="0047336B"/>
    <w:rsid w:val="00473408"/>
    <w:rsid w:val="00474A60"/>
    <w:rsid w:val="0047545B"/>
    <w:rsid w:val="004757E5"/>
    <w:rsid w:val="00475F35"/>
    <w:rsid w:val="004762BD"/>
    <w:rsid w:val="00476355"/>
    <w:rsid w:val="004763D5"/>
    <w:rsid w:val="004765B9"/>
    <w:rsid w:val="004767C1"/>
    <w:rsid w:val="004775DF"/>
    <w:rsid w:val="00477824"/>
    <w:rsid w:val="004778BF"/>
    <w:rsid w:val="00477D35"/>
    <w:rsid w:val="00477E31"/>
    <w:rsid w:val="00477F40"/>
    <w:rsid w:val="00477F4B"/>
    <w:rsid w:val="00480685"/>
    <w:rsid w:val="00480827"/>
    <w:rsid w:val="00480986"/>
    <w:rsid w:val="00481036"/>
    <w:rsid w:val="00481099"/>
    <w:rsid w:val="004810D8"/>
    <w:rsid w:val="00481113"/>
    <w:rsid w:val="004811CD"/>
    <w:rsid w:val="00481347"/>
    <w:rsid w:val="004814B2"/>
    <w:rsid w:val="00481ACB"/>
    <w:rsid w:val="00482323"/>
    <w:rsid w:val="004824A0"/>
    <w:rsid w:val="0048281D"/>
    <w:rsid w:val="0048295B"/>
    <w:rsid w:val="00482F9F"/>
    <w:rsid w:val="00483097"/>
    <w:rsid w:val="00483345"/>
    <w:rsid w:val="004835E1"/>
    <w:rsid w:val="004841FB"/>
    <w:rsid w:val="00484B2E"/>
    <w:rsid w:val="00484CC2"/>
    <w:rsid w:val="00484E65"/>
    <w:rsid w:val="0048509D"/>
    <w:rsid w:val="004851C0"/>
    <w:rsid w:val="004851DD"/>
    <w:rsid w:val="00485527"/>
    <w:rsid w:val="00485640"/>
    <w:rsid w:val="00485FAD"/>
    <w:rsid w:val="00486236"/>
    <w:rsid w:val="00486965"/>
    <w:rsid w:val="00486A44"/>
    <w:rsid w:val="004873DA"/>
    <w:rsid w:val="00487519"/>
    <w:rsid w:val="0048788B"/>
    <w:rsid w:val="00487E97"/>
    <w:rsid w:val="00490802"/>
    <w:rsid w:val="00490EED"/>
    <w:rsid w:val="00491306"/>
    <w:rsid w:val="00491784"/>
    <w:rsid w:val="00491C31"/>
    <w:rsid w:val="00491D7F"/>
    <w:rsid w:val="00491F35"/>
    <w:rsid w:val="0049208C"/>
    <w:rsid w:val="00493400"/>
    <w:rsid w:val="00493653"/>
    <w:rsid w:val="00493689"/>
    <w:rsid w:val="00493791"/>
    <w:rsid w:val="00493DA2"/>
    <w:rsid w:val="004943F5"/>
    <w:rsid w:val="004953A0"/>
    <w:rsid w:val="0049567B"/>
    <w:rsid w:val="0049570D"/>
    <w:rsid w:val="00495C3C"/>
    <w:rsid w:val="00496229"/>
    <w:rsid w:val="00496DCB"/>
    <w:rsid w:val="004972CA"/>
    <w:rsid w:val="00497E91"/>
    <w:rsid w:val="004A05E7"/>
    <w:rsid w:val="004A0B22"/>
    <w:rsid w:val="004A12EE"/>
    <w:rsid w:val="004A1FF8"/>
    <w:rsid w:val="004A2267"/>
    <w:rsid w:val="004A23DE"/>
    <w:rsid w:val="004A26CE"/>
    <w:rsid w:val="004A28A2"/>
    <w:rsid w:val="004A30F0"/>
    <w:rsid w:val="004A346B"/>
    <w:rsid w:val="004A4777"/>
    <w:rsid w:val="004A4A42"/>
    <w:rsid w:val="004A4EB0"/>
    <w:rsid w:val="004A500B"/>
    <w:rsid w:val="004A52C2"/>
    <w:rsid w:val="004A55F2"/>
    <w:rsid w:val="004A595C"/>
    <w:rsid w:val="004A5FE7"/>
    <w:rsid w:val="004A614C"/>
    <w:rsid w:val="004A6591"/>
    <w:rsid w:val="004A6A4A"/>
    <w:rsid w:val="004A6AAD"/>
    <w:rsid w:val="004A75EB"/>
    <w:rsid w:val="004A7727"/>
    <w:rsid w:val="004B0025"/>
    <w:rsid w:val="004B060A"/>
    <w:rsid w:val="004B08F5"/>
    <w:rsid w:val="004B09C4"/>
    <w:rsid w:val="004B139F"/>
    <w:rsid w:val="004B1678"/>
    <w:rsid w:val="004B199C"/>
    <w:rsid w:val="004B19E8"/>
    <w:rsid w:val="004B25B6"/>
    <w:rsid w:val="004B2892"/>
    <w:rsid w:val="004B2B81"/>
    <w:rsid w:val="004B31B7"/>
    <w:rsid w:val="004B3420"/>
    <w:rsid w:val="004B37E4"/>
    <w:rsid w:val="004B394C"/>
    <w:rsid w:val="004B3AC8"/>
    <w:rsid w:val="004B3EC1"/>
    <w:rsid w:val="004B46CE"/>
    <w:rsid w:val="004B4F4F"/>
    <w:rsid w:val="004B54E9"/>
    <w:rsid w:val="004B5881"/>
    <w:rsid w:val="004B5A48"/>
    <w:rsid w:val="004B5AB8"/>
    <w:rsid w:val="004B5AB9"/>
    <w:rsid w:val="004B5BDF"/>
    <w:rsid w:val="004B60B9"/>
    <w:rsid w:val="004B6554"/>
    <w:rsid w:val="004B6AA7"/>
    <w:rsid w:val="004B6FF5"/>
    <w:rsid w:val="004B72B4"/>
    <w:rsid w:val="004C004E"/>
    <w:rsid w:val="004C1173"/>
    <w:rsid w:val="004C1445"/>
    <w:rsid w:val="004C14B4"/>
    <w:rsid w:val="004C1553"/>
    <w:rsid w:val="004C16CA"/>
    <w:rsid w:val="004C19CD"/>
    <w:rsid w:val="004C1BEF"/>
    <w:rsid w:val="004C20FF"/>
    <w:rsid w:val="004C2162"/>
    <w:rsid w:val="004C279B"/>
    <w:rsid w:val="004C2968"/>
    <w:rsid w:val="004C3579"/>
    <w:rsid w:val="004C446D"/>
    <w:rsid w:val="004C4557"/>
    <w:rsid w:val="004C4832"/>
    <w:rsid w:val="004C4914"/>
    <w:rsid w:val="004C4BBA"/>
    <w:rsid w:val="004C4CA7"/>
    <w:rsid w:val="004C508A"/>
    <w:rsid w:val="004C5A03"/>
    <w:rsid w:val="004C5D2C"/>
    <w:rsid w:val="004C62B8"/>
    <w:rsid w:val="004C6759"/>
    <w:rsid w:val="004C6E83"/>
    <w:rsid w:val="004C6F57"/>
    <w:rsid w:val="004C7404"/>
    <w:rsid w:val="004C76A3"/>
    <w:rsid w:val="004C7841"/>
    <w:rsid w:val="004C79C4"/>
    <w:rsid w:val="004C7E9E"/>
    <w:rsid w:val="004D009D"/>
    <w:rsid w:val="004D08A3"/>
    <w:rsid w:val="004D0A0D"/>
    <w:rsid w:val="004D0C6D"/>
    <w:rsid w:val="004D0E07"/>
    <w:rsid w:val="004D171C"/>
    <w:rsid w:val="004D2505"/>
    <w:rsid w:val="004D366C"/>
    <w:rsid w:val="004D36EA"/>
    <w:rsid w:val="004D3E46"/>
    <w:rsid w:val="004D3F4C"/>
    <w:rsid w:val="004D4711"/>
    <w:rsid w:val="004D4E77"/>
    <w:rsid w:val="004D52E6"/>
    <w:rsid w:val="004D5374"/>
    <w:rsid w:val="004D5783"/>
    <w:rsid w:val="004D59AD"/>
    <w:rsid w:val="004D61AE"/>
    <w:rsid w:val="004D65FD"/>
    <w:rsid w:val="004D6651"/>
    <w:rsid w:val="004D6A14"/>
    <w:rsid w:val="004D6AF1"/>
    <w:rsid w:val="004D6F60"/>
    <w:rsid w:val="004D726A"/>
    <w:rsid w:val="004D73E3"/>
    <w:rsid w:val="004D7545"/>
    <w:rsid w:val="004D7A5B"/>
    <w:rsid w:val="004D7ACC"/>
    <w:rsid w:val="004D7B14"/>
    <w:rsid w:val="004D7B90"/>
    <w:rsid w:val="004E0340"/>
    <w:rsid w:val="004E0BA0"/>
    <w:rsid w:val="004E0DF2"/>
    <w:rsid w:val="004E0EE8"/>
    <w:rsid w:val="004E1036"/>
    <w:rsid w:val="004E113D"/>
    <w:rsid w:val="004E11B5"/>
    <w:rsid w:val="004E2785"/>
    <w:rsid w:val="004E2803"/>
    <w:rsid w:val="004E2A10"/>
    <w:rsid w:val="004E3018"/>
    <w:rsid w:val="004E3206"/>
    <w:rsid w:val="004E33E9"/>
    <w:rsid w:val="004E3467"/>
    <w:rsid w:val="004E35FE"/>
    <w:rsid w:val="004E3A57"/>
    <w:rsid w:val="004E3B5C"/>
    <w:rsid w:val="004E3F6F"/>
    <w:rsid w:val="004E3FCB"/>
    <w:rsid w:val="004E410F"/>
    <w:rsid w:val="004E4596"/>
    <w:rsid w:val="004E48AC"/>
    <w:rsid w:val="004E48D7"/>
    <w:rsid w:val="004E4D89"/>
    <w:rsid w:val="004E5213"/>
    <w:rsid w:val="004E5332"/>
    <w:rsid w:val="004E545B"/>
    <w:rsid w:val="004E5854"/>
    <w:rsid w:val="004E5EA1"/>
    <w:rsid w:val="004E64A7"/>
    <w:rsid w:val="004E6A5B"/>
    <w:rsid w:val="004E727E"/>
    <w:rsid w:val="004E79B9"/>
    <w:rsid w:val="004E7AA2"/>
    <w:rsid w:val="004E7F90"/>
    <w:rsid w:val="004F04F5"/>
    <w:rsid w:val="004F0C7C"/>
    <w:rsid w:val="004F0CF7"/>
    <w:rsid w:val="004F14A0"/>
    <w:rsid w:val="004F1635"/>
    <w:rsid w:val="004F1845"/>
    <w:rsid w:val="004F196C"/>
    <w:rsid w:val="004F1AC1"/>
    <w:rsid w:val="004F1F0A"/>
    <w:rsid w:val="004F234E"/>
    <w:rsid w:val="004F2463"/>
    <w:rsid w:val="004F26AB"/>
    <w:rsid w:val="004F2755"/>
    <w:rsid w:val="004F3065"/>
    <w:rsid w:val="004F3118"/>
    <w:rsid w:val="004F3282"/>
    <w:rsid w:val="004F3595"/>
    <w:rsid w:val="004F3786"/>
    <w:rsid w:val="004F3A3F"/>
    <w:rsid w:val="004F3F8E"/>
    <w:rsid w:val="004F40CB"/>
    <w:rsid w:val="004F4145"/>
    <w:rsid w:val="004F4184"/>
    <w:rsid w:val="004F4CF4"/>
    <w:rsid w:val="004F4DC8"/>
    <w:rsid w:val="004F57EA"/>
    <w:rsid w:val="004F5941"/>
    <w:rsid w:val="004F5E47"/>
    <w:rsid w:val="004F6865"/>
    <w:rsid w:val="004F6C42"/>
    <w:rsid w:val="004F6D57"/>
    <w:rsid w:val="004F6E2F"/>
    <w:rsid w:val="004F7162"/>
    <w:rsid w:val="004F789F"/>
    <w:rsid w:val="005001F5"/>
    <w:rsid w:val="0050041B"/>
    <w:rsid w:val="00500683"/>
    <w:rsid w:val="00501286"/>
    <w:rsid w:val="0050133D"/>
    <w:rsid w:val="005013D7"/>
    <w:rsid w:val="00501C8A"/>
    <w:rsid w:val="00501DEC"/>
    <w:rsid w:val="005024A0"/>
    <w:rsid w:val="005027C0"/>
    <w:rsid w:val="00502838"/>
    <w:rsid w:val="00502B5B"/>
    <w:rsid w:val="00503905"/>
    <w:rsid w:val="005039A1"/>
    <w:rsid w:val="00503AEB"/>
    <w:rsid w:val="00503B20"/>
    <w:rsid w:val="00503E0C"/>
    <w:rsid w:val="0050422E"/>
    <w:rsid w:val="00505E41"/>
    <w:rsid w:val="005069C9"/>
    <w:rsid w:val="00506C63"/>
    <w:rsid w:val="00506DDE"/>
    <w:rsid w:val="00506F3F"/>
    <w:rsid w:val="00506F4C"/>
    <w:rsid w:val="00507669"/>
    <w:rsid w:val="0050768D"/>
    <w:rsid w:val="00507907"/>
    <w:rsid w:val="005100A2"/>
    <w:rsid w:val="00510572"/>
    <w:rsid w:val="00510DFB"/>
    <w:rsid w:val="005110A4"/>
    <w:rsid w:val="005110B8"/>
    <w:rsid w:val="0051123A"/>
    <w:rsid w:val="0051154F"/>
    <w:rsid w:val="005121EA"/>
    <w:rsid w:val="0051223F"/>
    <w:rsid w:val="00512387"/>
    <w:rsid w:val="00512C7D"/>
    <w:rsid w:val="0051308A"/>
    <w:rsid w:val="00513355"/>
    <w:rsid w:val="00513951"/>
    <w:rsid w:val="00513B45"/>
    <w:rsid w:val="0051410C"/>
    <w:rsid w:val="00514172"/>
    <w:rsid w:val="005144F4"/>
    <w:rsid w:val="005145E3"/>
    <w:rsid w:val="0051497B"/>
    <w:rsid w:val="00515249"/>
    <w:rsid w:val="00515975"/>
    <w:rsid w:val="00515C5E"/>
    <w:rsid w:val="00516921"/>
    <w:rsid w:val="00516BD5"/>
    <w:rsid w:val="00516EE6"/>
    <w:rsid w:val="00517245"/>
    <w:rsid w:val="005172CB"/>
    <w:rsid w:val="005179C0"/>
    <w:rsid w:val="00517B76"/>
    <w:rsid w:val="0052008B"/>
    <w:rsid w:val="00520450"/>
    <w:rsid w:val="00520AA6"/>
    <w:rsid w:val="00521261"/>
    <w:rsid w:val="005216FE"/>
    <w:rsid w:val="0052186E"/>
    <w:rsid w:val="00521CAE"/>
    <w:rsid w:val="00521F15"/>
    <w:rsid w:val="005223B6"/>
    <w:rsid w:val="00522445"/>
    <w:rsid w:val="00522718"/>
    <w:rsid w:val="0052280C"/>
    <w:rsid w:val="00522D04"/>
    <w:rsid w:val="0052324F"/>
    <w:rsid w:val="005232F2"/>
    <w:rsid w:val="0052394B"/>
    <w:rsid w:val="00524456"/>
    <w:rsid w:val="00524984"/>
    <w:rsid w:val="00524D5F"/>
    <w:rsid w:val="00524F5C"/>
    <w:rsid w:val="00524F76"/>
    <w:rsid w:val="005252CC"/>
    <w:rsid w:val="0052537D"/>
    <w:rsid w:val="005256C9"/>
    <w:rsid w:val="005258D2"/>
    <w:rsid w:val="00525C2A"/>
    <w:rsid w:val="00525C67"/>
    <w:rsid w:val="00525D52"/>
    <w:rsid w:val="00526921"/>
    <w:rsid w:val="00526BB9"/>
    <w:rsid w:val="00526F4C"/>
    <w:rsid w:val="00527495"/>
    <w:rsid w:val="00527536"/>
    <w:rsid w:val="00527C2E"/>
    <w:rsid w:val="00527FD3"/>
    <w:rsid w:val="005307B3"/>
    <w:rsid w:val="00530906"/>
    <w:rsid w:val="005309CF"/>
    <w:rsid w:val="00530B69"/>
    <w:rsid w:val="00530CCE"/>
    <w:rsid w:val="005312DA"/>
    <w:rsid w:val="00531368"/>
    <w:rsid w:val="00531850"/>
    <w:rsid w:val="00531853"/>
    <w:rsid w:val="00531BEB"/>
    <w:rsid w:val="005327F4"/>
    <w:rsid w:val="00532BB2"/>
    <w:rsid w:val="00532E4A"/>
    <w:rsid w:val="00532FDA"/>
    <w:rsid w:val="00533023"/>
    <w:rsid w:val="00533080"/>
    <w:rsid w:val="00533FC3"/>
    <w:rsid w:val="00534414"/>
    <w:rsid w:val="00534577"/>
    <w:rsid w:val="00534D84"/>
    <w:rsid w:val="00534E79"/>
    <w:rsid w:val="00534F21"/>
    <w:rsid w:val="00534F33"/>
    <w:rsid w:val="00535B4E"/>
    <w:rsid w:val="00535EC8"/>
    <w:rsid w:val="00536034"/>
    <w:rsid w:val="00536970"/>
    <w:rsid w:val="00536D96"/>
    <w:rsid w:val="00536F49"/>
    <w:rsid w:val="00537202"/>
    <w:rsid w:val="005374EF"/>
    <w:rsid w:val="00537767"/>
    <w:rsid w:val="00537B5B"/>
    <w:rsid w:val="00537C42"/>
    <w:rsid w:val="00537CC2"/>
    <w:rsid w:val="00537CD1"/>
    <w:rsid w:val="0054049B"/>
    <w:rsid w:val="005404A4"/>
    <w:rsid w:val="005405EE"/>
    <w:rsid w:val="00540686"/>
    <w:rsid w:val="00540744"/>
    <w:rsid w:val="00540871"/>
    <w:rsid w:val="00540882"/>
    <w:rsid w:val="00540AB6"/>
    <w:rsid w:val="00540FB2"/>
    <w:rsid w:val="00541135"/>
    <w:rsid w:val="005418DD"/>
    <w:rsid w:val="00541DA3"/>
    <w:rsid w:val="00541FAA"/>
    <w:rsid w:val="0054245D"/>
    <w:rsid w:val="00542BE6"/>
    <w:rsid w:val="00542C4E"/>
    <w:rsid w:val="00543250"/>
    <w:rsid w:val="00543261"/>
    <w:rsid w:val="005434BD"/>
    <w:rsid w:val="0054388B"/>
    <w:rsid w:val="005449AE"/>
    <w:rsid w:val="00544FD2"/>
    <w:rsid w:val="005453FD"/>
    <w:rsid w:val="00545802"/>
    <w:rsid w:val="00545ED4"/>
    <w:rsid w:val="005467EE"/>
    <w:rsid w:val="00547254"/>
    <w:rsid w:val="005472E7"/>
    <w:rsid w:val="00547510"/>
    <w:rsid w:val="005475F5"/>
    <w:rsid w:val="00547A58"/>
    <w:rsid w:val="00547D0A"/>
    <w:rsid w:val="00547D49"/>
    <w:rsid w:val="00547D5B"/>
    <w:rsid w:val="005500B5"/>
    <w:rsid w:val="0055025B"/>
    <w:rsid w:val="00550BBE"/>
    <w:rsid w:val="00550D8B"/>
    <w:rsid w:val="00550E2F"/>
    <w:rsid w:val="00550F07"/>
    <w:rsid w:val="00550F17"/>
    <w:rsid w:val="0055146F"/>
    <w:rsid w:val="00551FAC"/>
    <w:rsid w:val="00552013"/>
    <w:rsid w:val="005520C1"/>
    <w:rsid w:val="00552B1F"/>
    <w:rsid w:val="00552C52"/>
    <w:rsid w:val="005532F3"/>
    <w:rsid w:val="005534EB"/>
    <w:rsid w:val="0055350E"/>
    <w:rsid w:val="00553668"/>
    <w:rsid w:val="00553D8D"/>
    <w:rsid w:val="00553E4B"/>
    <w:rsid w:val="00553FE0"/>
    <w:rsid w:val="0055479E"/>
    <w:rsid w:val="00555042"/>
    <w:rsid w:val="0055574A"/>
    <w:rsid w:val="00555B94"/>
    <w:rsid w:val="00555F4D"/>
    <w:rsid w:val="00556619"/>
    <w:rsid w:val="005568E1"/>
    <w:rsid w:val="00556C6A"/>
    <w:rsid w:val="00556CFD"/>
    <w:rsid w:val="005574EA"/>
    <w:rsid w:val="00557E66"/>
    <w:rsid w:val="00560E18"/>
    <w:rsid w:val="005610EB"/>
    <w:rsid w:val="00561309"/>
    <w:rsid w:val="00561551"/>
    <w:rsid w:val="00561816"/>
    <w:rsid w:val="00561B67"/>
    <w:rsid w:val="00561F13"/>
    <w:rsid w:val="00562229"/>
    <w:rsid w:val="00562760"/>
    <w:rsid w:val="00562B07"/>
    <w:rsid w:val="00562C48"/>
    <w:rsid w:val="00562DF4"/>
    <w:rsid w:val="005630CA"/>
    <w:rsid w:val="00563456"/>
    <w:rsid w:val="0056379C"/>
    <w:rsid w:val="005637FF"/>
    <w:rsid w:val="00564062"/>
    <w:rsid w:val="005640CF"/>
    <w:rsid w:val="00564331"/>
    <w:rsid w:val="0056491E"/>
    <w:rsid w:val="0056495A"/>
    <w:rsid w:val="00565089"/>
    <w:rsid w:val="0056521A"/>
    <w:rsid w:val="00565444"/>
    <w:rsid w:val="00565577"/>
    <w:rsid w:val="00566000"/>
    <w:rsid w:val="00566652"/>
    <w:rsid w:val="00566BB0"/>
    <w:rsid w:val="0056742F"/>
    <w:rsid w:val="00567E3E"/>
    <w:rsid w:val="00567E5B"/>
    <w:rsid w:val="0057016B"/>
    <w:rsid w:val="005704BC"/>
    <w:rsid w:val="0057088A"/>
    <w:rsid w:val="00571237"/>
    <w:rsid w:val="005716CF"/>
    <w:rsid w:val="00571C82"/>
    <w:rsid w:val="00571D73"/>
    <w:rsid w:val="00571F4E"/>
    <w:rsid w:val="00571F6D"/>
    <w:rsid w:val="005720F0"/>
    <w:rsid w:val="005728B2"/>
    <w:rsid w:val="00572D5C"/>
    <w:rsid w:val="005730F8"/>
    <w:rsid w:val="00573174"/>
    <w:rsid w:val="00573362"/>
    <w:rsid w:val="005735AB"/>
    <w:rsid w:val="005739B9"/>
    <w:rsid w:val="00573E97"/>
    <w:rsid w:val="00574258"/>
    <w:rsid w:val="0057498B"/>
    <w:rsid w:val="00574B4A"/>
    <w:rsid w:val="00574F43"/>
    <w:rsid w:val="00575021"/>
    <w:rsid w:val="0057531F"/>
    <w:rsid w:val="005753B3"/>
    <w:rsid w:val="005753CE"/>
    <w:rsid w:val="005755B9"/>
    <w:rsid w:val="005755FE"/>
    <w:rsid w:val="0057564D"/>
    <w:rsid w:val="0057573D"/>
    <w:rsid w:val="005757DB"/>
    <w:rsid w:val="00575B26"/>
    <w:rsid w:val="00575B3A"/>
    <w:rsid w:val="00575FD4"/>
    <w:rsid w:val="0057645B"/>
    <w:rsid w:val="0057655B"/>
    <w:rsid w:val="00576836"/>
    <w:rsid w:val="005768E8"/>
    <w:rsid w:val="0057750B"/>
    <w:rsid w:val="0058077F"/>
    <w:rsid w:val="005807E0"/>
    <w:rsid w:val="005809B1"/>
    <w:rsid w:val="00580D8A"/>
    <w:rsid w:val="005817D5"/>
    <w:rsid w:val="00581CB6"/>
    <w:rsid w:val="00581D3D"/>
    <w:rsid w:val="00581FDE"/>
    <w:rsid w:val="00582037"/>
    <w:rsid w:val="00582CA1"/>
    <w:rsid w:val="00582F36"/>
    <w:rsid w:val="00583299"/>
    <w:rsid w:val="00584130"/>
    <w:rsid w:val="005843DD"/>
    <w:rsid w:val="00584641"/>
    <w:rsid w:val="005849D0"/>
    <w:rsid w:val="00584BEF"/>
    <w:rsid w:val="00584C34"/>
    <w:rsid w:val="00584D32"/>
    <w:rsid w:val="00585290"/>
    <w:rsid w:val="005857A7"/>
    <w:rsid w:val="005857E7"/>
    <w:rsid w:val="00585832"/>
    <w:rsid w:val="00585889"/>
    <w:rsid w:val="005862F3"/>
    <w:rsid w:val="00586ECC"/>
    <w:rsid w:val="005870F1"/>
    <w:rsid w:val="00587609"/>
    <w:rsid w:val="00590065"/>
    <w:rsid w:val="00590B11"/>
    <w:rsid w:val="00590E90"/>
    <w:rsid w:val="00590F24"/>
    <w:rsid w:val="005910A8"/>
    <w:rsid w:val="005910CF"/>
    <w:rsid w:val="00591521"/>
    <w:rsid w:val="00591715"/>
    <w:rsid w:val="00591F14"/>
    <w:rsid w:val="005921A5"/>
    <w:rsid w:val="005925F8"/>
    <w:rsid w:val="00593009"/>
    <w:rsid w:val="0059331A"/>
    <w:rsid w:val="005937C3"/>
    <w:rsid w:val="00593D22"/>
    <w:rsid w:val="0059440C"/>
    <w:rsid w:val="00594BEB"/>
    <w:rsid w:val="005953AA"/>
    <w:rsid w:val="005954CD"/>
    <w:rsid w:val="0059586B"/>
    <w:rsid w:val="005962BB"/>
    <w:rsid w:val="0059652F"/>
    <w:rsid w:val="00596552"/>
    <w:rsid w:val="00596DEE"/>
    <w:rsid w:val="00596E4A"/>
    <w:rsid w:val="0059785D"/>
    <w:rsid w:val="005979F9"/>
    <w:rsid w:val="005A0339"/>
    <w:rsid w:val="005A0449"/>
    <w:rsid w:val="005A066B"/>
    <w:rsid w:val="005A0719"/>
    <w:rsid w:val="005A07E5"/>
    <w:rsid w:val="005A0F47"/>
    <w:rsid w:val="005A197B"/>
    <w:rsid w:val="005A1FB9"/>
    <w:rsid w:val="005A263D"/>
    <w:rsid w:val="005A2784"/>
    <w:rsid w:val="005A2959"/>
    <w:rsid w:val="005A2BA3"/>
    <w:rsid w:val="005A2E0B"/>
    <w:rsid w:val="005A3928"/>
    <w:rsid w:val="005A5361"/>
    <w:rsid w:val="005A55C7"/>
    <w:rsid w:val="005A5843"/>
    <w:rsid w:val="005A5CC3"/>
    <w:rsid w:val="005A5EAE"/>
    <w:rsid w:val="005A606A"/>
    <w:rsid w:val="005A6183"/>
    <w:rsid w:val="005A6705"/>
    <w:rsid w:val="005A72DB"/>
    <w:rsid w:val="005A759C"/>
    <w:rsid w:val="005A7903"/>
    <w:rsid w:val="005A7A80"/>
    <w:rsid w:val="005B0653"/>
    <w:rsid w:val="005B0AC1"/>
    <w:rsid w:val="005B1121"/>
    <w:rsid w:val="005B122B"/>
    <w:rsid w:val="005B1359"/>
    <w:rsid w:val="005B13EF"/>
    <w:rsid w:val="005B1D1C"/>
    <w:rsid w:val="005B1EF9"/>
    <w:rsid w:val="005B217D"/>
    <w:rsid w:val="005B24B1"/>
    <w:rsid w:val="005B27FD"/>
    <w:rsid w:val="005B2824"/>
    <w:rsid w:val="005B3220"/>
    <w:rsid w:val="005B32FF"/>
    <w:rsid w:val="005B3428"/>
    <w:rsid w:val="005B354C"/>
    <w:rsid w:val="005B37A1"/>
    <w:rsid w:val="005B3EAB"/>
    <w:rsid w:val="005B40A9"/>
    <w:rsid w:val="005B41DD"/>
    <w:rsid w:val="005B593A"/>
    <w:rsid w:val="005B62D8"/>
    <w:rsid w:val="005B6500"/>
    <w:rsid w:val="005B6BA8"/>
    <w:rsid w:val="005B6D1B"/>
    <w:rsid w:val="005B7133"/>
    <w:rsid w:val="005B7248"/>
    <w:rsid w:val="005B759F"/>
    <w:rsid w:val="005B7749"/>
    <w:rsid w:val="005B7A8E"/>
    <w:rsid w:val="005B7FBE"/>
    <w:rsid w:val="005C0112"/>
    <w:rsid w:val="005C04EB"/>
    <w:rsid w:val="005C0582"/>
    <w:rsid w:val="005C0D79"/>
    <w:rsid w:val="005C19ED"/>
    <w:rsid w:val="005C1B26"/>
    <w:rsid w:val="005C2292"/>
    <w:rsid w:val="005C2369"/>
    <w:rsid w:val="005C2891"/>
    <w:rsid w:val="005C2A68"/>
    <w:rsid w:val="005C3125"/>
    <w:rsid w:val="005C3840"/>
    <w:rsid w:val="005C3973"/>
    <w:rsid w:val="005C4F5D"/>
    <w:rsid w:val="005C5ADE"/>
    <w:rsid w:val="005C5BB1"/>
    <w:rsid w:val="005C65C4"/>
    <w:rsid w:val="005C6AE6"/>
    <w:rsid w:val="005C6CE4"/>
    <w:rsid w:val="005C6FAD"/>
    <w:rsid w:val="005C773C"/>
    <w:rsid w:val="005C7985"/>
    <w:rsid w:val="005C7E57"/>
    <w:rsid w:val="005C7F41"/>
    <w:rsid w:val="005D0102"/>
    <w:rsid w:val="005D0436"/>
    <w:rsid w:val="005D0791"/>
    <w:rsid w:val="005D0EFD"/>
    <w:rsid w:val="005D10C2"/>
    <w:rsid w:val="005D176A"/>
    <w:rsid w:val="005D17BB"/>
    <w:rsid w:val="005D1995"/>
    <w:rsid w:val="005D1A9A"/>
    <w:rsid w:val="005D1B6E"/>
    <w:rsid w:val="005D1C37"/>
    <w:rsid w:val="005D34B2"/>
    <w:rsid w:val="005D3B5E"/>
    <w:rsid w:val="005D42AE"/>
    <w:rsid w:val="005D43C8"/>
    <w:rsid w:val="005D43ED"/>
    <w:rsid w:val="005D4603"/>
    <w:rsid w:val="005D4759"/>
    <w:rsid w:val="005D47F2"/>
    <w:rsid w:val="005D528C"/>
    <w:rsid w:val="005D578D"/>
    <w:rsid w:val="005D5AC2"/>
    <w:rsid w:val="005D5F4C"/>
    <w:rsid w:val="005D689B"/>
    <w:rsid w:val="005D7650"/>
    <w:rsid w:val="005D7AC8"/>
    <w:rsid w:val="005E05AF"/>
    <w:rsid w:val="005E089A"/>
    <w:rsid w:val="005E0AC6"/>
    <w:rsid w:val="005E0B18"/>
    <w:rsid w:val="005E0BC8"/>
    <w:rsid w:val="005E0E11"/>
    <w:rsid w:val="005E12AC"/>
    <w:rsid w:val="005E1BB8"/>
    <w:rsid w:val="005E1FFA"/>
    <w:rsid w:val="005E2B87"/>
    <w:rsid w:val="005E2E92"/>
    <w:rsid w:val="005E2F14"/>
    <w:rsid w:val="005E3015"/>
    <w:rsid w:val="005E3352"/>
    <w:rsid w:val="005E33FF"/>
    <w:rsid w:val="005E346E"/>
    <w:rsid w:val="005E3F03"/>
    <w:rsid w:val="005E40D0"/>
    <w:rsid w:val="005E41B9"/>
    <w:rsid w:val="005E4360"/>
    <w:rsid w:val="005E44E2"/>
    <w:rsid w:val="005E45A1"/>
    <w:rsid w:val="005E45E9"/>
    <w:rsid w:val="005E4632"/>
    <w:rsid w:val="005E4675"/>
    <w:rsid w:val="005E4686"/>
    <w:rsid w:val="005E4C16"/>
    <w:rsid w:val="005E4FB1"/>
    <w:rsid w:val="005E5492"/>
    <w:rsid w:val="005E58E9"/>
    <w:rsid w:val="005E5BE0"/>
    <w:rsid w:val="005E5D6E"/>
    <w:rsid w:val="005E5DE8"/>
    <w:rsid w:val="005E5EA1"/>
    <w:rsid w:val="005E6196"/>
    <w:rsid w:val="005E6750"/>
    <w:rsid w:val="005E684E"/>
    <w:rsid w:val="005E68D4"/>
    <w:rsid w:val="005E69CF"/>
    <w:rsid w:val="005E6ADB"/>
    <w:rsid w:val="005E6B9C"/>
    <w:rsid w:val="005E7C4B"/>
    <w:rsid w:val="005E7F52"/>
    <w:rsid w:val="005E7FC2"/>
    <w:rsid w:val="005F0194"/>
    <w:rsid w:val="005F037B"/>
    <w:rsid w:val="005F0693"/>
    <w:rsid w:val="005F0B69"/>
    <w:rsid w:val="005F0FC8"/>
    <w:rsid w:val="005F12F2"/>
    <w:rsid w:val="005F14EF"/>
    <w:rsid w:val="005F15F6"/>
    <w:rsid w:val="005F175B"/>
    <w:rsid w:val="005F1910"/>
    <w:rsid w:val="005F1CD3"/>
    <w:rsid w:val="005F1F12"/>
    <w:rsid w:val="005F2A46"/>
    <w:rsid w:val="005F2BE7"/>
    <w:rsid w:val="005F30B9"/>
    <w:rsid w:val="005F34DD"/>
    <w:rsid w:val="005F3502"/>
    <w:rsid w:val="005F3686"/>
    <w:rsid w:val="005F3AB4"/>
    <w:rsid w:val="005F4001"/>
    <w:rsid w:val="005F434E"/>
    <w:rsid w:val="005F4432"/>
    <w:rsid w:val="005F4476"/>
    <w:rsid w:val="005F462F"/>
    <w:rsid w:val="005F494D"/>
    <w:rsid w:val="005F4B41"/>
    <w:rsid w:val="005F4C92"/>
    <w:rsid w:val="005F4D9E"/>
    <w:rsid w:val="005F52EA"/>
    <w:rsid w:val="005F54A5"/>
    <w:rsid w:val="005F54C9"/>
    <w:rsid w:val="005F5526"/>
    <w:rsid w:val="005F565E"/>
    <w:rsid w:val="005F5F28"/>
    <w:rsid w:val="005F5FB0"/>
    <w:rsid w:val="005F600D"/>
    <w:rsid w:val="005F6347"/>
    <w:rsid w:val="005F6789"/>
    <w:rsid w:val="005F67D8"/>
    <w:rsid w:val="005F74AB"/>
    <w:rsid w:val="005F78D5"/>
    <w:rsid w:val="005F7BCF"/>
    <w:rsid w:val="006000B2"/>
    <w:rsid w:val="006009E1"/>
    <w:rsid w:val="00600A81"/>
    <w:rsid w:val="00601449"/>
    <w:rsid w:val="0060261E"/>
    <w:rsid w:val="00602FF8"/>
    <w:rsid w:val="00603034"/>
    <w:rsid w:val="006031C8"/>
    <w:rsid w:val="00603642"/>
    <w:rsid w:val="006036F4"/>
    <w:rsid w:val="00603BC3"/>
    <w:rsid w:val="00603ED7"/>
    <w:rsid w:val="00603F27"/>
    <w:rsid w:val="00603FD9"/>
    <w:rsid w:val="00604858"/>
    <w:rsid w:val="00605159"/>
    <w:rsid w:val="006052C6"/>
    <w:rsid w:val="00605443"/>
    <w:rsid w:val="0060563B"/>
    <w:rsid w:val="006058B6"/>
    <w:rsid w:val="006058BC"/>
    <w:rsid w:val="00605DFB"/>
    <w:rsid w:val="00605F5F"/>
    <w:rsid w:val="00606519"/>
    <w:rsid w:val="00606556"/>
    <w:rsid w:val="0060728C"/>
    <w:rsid w:val="00607389"/>
    <w:rsid w:val="00607F2C"/>
    <w:rsid w:val="00607FE3"/>
    <w:rsid w:val="006109E1"/>
    <w:rsid w:val="00610CB6"/>
    <w:rsid w:val="00610D7F"/>
    <w:rsid w:val="00611078"/>
    <w:rsid w:val="0061108F"/>
    <w:rsid w:val="006111CD"/>
    <w:rsid w:val="0061134E"/>
    <w:rsid w:val="00611A22"/>
    <w:rsid w:val="00611A3E"/>
    <w:rsid w:val="00611C11"/>
    <w:rsid w:val="00611E26"/>
    <w:rsid w:val="00612434"/>
    <w:rsid w:val="006124BC"/>
    <w:rsid w:val="00612B63"/>
    <w:rsid w:val="00612BAC"/>
    <w:rsid w:val="0061317E"/>
    <w:rsid w:val="006132AE"/>
    <w:rsid w:val="006137E1"/>
    <w:rsid w:val="006139D4"/>
    <w:rsid w:val="00613A63"/>
    <w:rsid w:val="00613BA7"/>
    <w:rsid w:val="00613D0E"/>
    <w:rsid w:val="00613DF1"/>
    <w:rsid w:val="00613E09"/>
    <w:rsid w:val="006141AC"/>
    <w:rsid w:val="0061424A"/>
    <w:rsid w:val="006144DC"/>
    <w:rsid w:val="006144E1"/>
    <w:rsid w:val="006146F2"/>
    <w:rsid w:val="00614EE8"/>
    <w:rsid w:val="00615070"/>
    <w:rsid w:val="006154B5"/>
    <w:rsid w:val="0061553F"/>
    <w:rsid w:val="006158B3"/>
    <w:rsid w:val="00615A58"/>
    <w:rsid w:val="00615BDB"/>
    <w:rsid w:val="00615BEE"/>
    <w:rsid w:val="00615D25"/>
    <w:rsid w:val="00615EE5"/>
    <w:rsid w:val="00616256"/>
    <w:rsid w:val="006164BD"/>
    <w:rsid w:val="006168C8"/>
    <w:rsid w:val="00616A00"/>
    <w:rsid w:val="00617051"/>
    <w:rsid w:val="006174D8"/>
    <w:rsid w:val="00617D48"/>
    <w:rsid w:val="0062055E"/>
    <w:rsid w:val="00620C90"/>
    <w:rsid w:val="00620EDE"/>
    <w:rsid w:val="0062113F"/>
    <w:rsid w:val="0062128E"/>
    <w:rsid w:val="0062177E"/>
    <w:rsid w:val="006221EF"/>
    <w:rsid w:val="00622872"/>
    <w:rsid w:val="00622C0D"/>
    <w:rsid w:val="00623266"/>
    <w:rsid w:val="00623992"/>
    <w:rsid w:val="00623C13"/>
    <w:rsid w:val="00623E58"/>
    <w:rsid w:val="00624282"/>
    <w:rsid w:val="006244C4"/>
    <w:rsid w:val="00624869"/>
    <w:rsid w:val="00624968"/>
    <w:rsid w:val="00625274"/>
    <w:rsid w:val="00626393"/>
    <w:rsid w:val="0062661A"/>
    <w:rsid w:val="00626BAB"/>
    <w:rsid w:val="00626F18"/>
    <w:rsid w:val="00627083"/>
    <w:rsid w:val="00627831"/>
    <w:rsid w:val="00627EC9"/>
    <w:rsid w:val="0063092F"/>
    <w:rsid w:val="006315A5"/>
    <w:rsid w:val="00631DA2"/>
    <w:rsid w:val="0063231F"/>
    <w:rsid w:val="00632423"/>
    <w:rsid w:val="00632516"/>
    <w:rsid w:val="00632C43"/>
    <w:rsid w:val="00632DC4"/>
    <w:rsid w:val="006331C6"/>
    <w:rsid w:val="006337E6"/>
    <w:rsid w:val="00633AD3"/>
    <w:rsid w:val="00633DA8"/>
    <w:rsid w:val="006342D7"/>
    <w:rsid w:val="00634A19"/>
    <w:rsid w:val="00634DE5"/>
    <w:rsid w:val="00635377"/>
    <w:rsid w:val="0063545D"/>
    <w:rsid w:val="00635B7F"/>
    <w:rsid w:val="00635F3B"/>
    <w:rsid w:val="00636086"/>
    <w:rsid w:val="0063690C"/>
    <w:rsid w:val="00636A78"/>
    <w:rsid w:val="00636BFA"/>
    <w:rsid w:val="00637760"/>
    <w:rsid w:val="00637CC5"/>
    <w:rsid w:val="006402F9"/>
    <w:rsid w:val="006404AB"/>
    <w:rsid w:val="00640992"/>
    <w:rsid w:val="00640EBA"/>
    <w:rsid w:val="006411E2"/>
    <w:rsid w:val="00641B91"/>
    <w:rsid w:val="00641D4A"/>
    <w:rsid w:val="00641EA6"/>
    <w:rsid w:val="006427B5"/>
    <w:rsid w:val="00642E2E"/>
    <w:rsid w:val="00642F8E"/>
    <w:rsid w:val="006430C0"/>
    <w:rsid w:val="00643162"/>
    <w:rsid w:val="00643969"/>
    <w:rsid w:val="00643CE0"/>
    <w:rsid w:val="0064465F"/>
    <w:rsid w:val="0064476B"/>
    <w:rsid w:val="00644EED"/>
    <w:rsid w:val="00644F32"/>
    <w:rsid w:val="0064515B"/>
    <w:rsid w:val="006451D4"/>
    <w:rsid w:val="00645D42"/>
    <w:rsid w:val="00645D73"/>
    <w:rsid w:val="006462B1"/>
    <w:rsid w:val="006464AA"/>
    <w:rsid w:val="0064712C"/>
    <w:rsid w:val="00647239"/>
    <w:rsid w:val="0064762A"/>
    <w:rsid w:val="006502B9"/>
    <w:rsid w:val="0065062E"/>
    <w:rsid w:val="00650CD8"/>
    <w:rsid w:val="00651476"/>
    <w:rsid w:val="00651FD2"/>
    <w:rsid w:val="00652410"/>
    <w:rsid w:val="00652A2A"/>
    <w:rsid w:val="00652C3F"/>
    <w:rsid w:val="00652F8B"/>
    <w:rsid w:val="00653052"/>
    <w:rsid w:val="00653A13"/>
    <w:rsid w:val="00653E02"/>
    <w:rsid w:val="00653EB0"/>
    <w:rsid w:val="00653EEE"/>
    <w:rsid w:val="00654293"/>
    <w:rsid w:val="006544DA"/>
    <w:rsid w:val="00654539"/>
    <w:rsid w:val="00654609"/>
    <w:rsid w:val="006547B7"/>
    <w:rsid w:val="00655108"/>
    <w:rsid w:val="00655897"/>
    <w:rsid w:val="006558A3"/>
    <w:rsid w:val="00655DE6"/>
    <w:rsid w:val="006560D6"/>
    <w:rsid w:val="00656712"/>
    <w:rsid w:val="006570F0"/>
    <w:rsid w:val="00657237"/>
    <w:rsid w:val="0065746B"/>
    <w:rsid w:val="006574A2"/>
    <w:rsid w:val="00657907"/>
    <w:rsid w:val="0065794C"/>
    <w:rsid w:val="0065799B"/>
    <w:rsid w:val="00657BBC"/>
    <w:rsid w:val="00657C43"/>
    <w:rsid w:val="006600D4"/>
    <w:rsid w:val="0066013A"/>
    <w:rsid w:val="006601C6"/>
    <w:rsid w:val="0066086F"/>
    <w:rsid w:val="00661A5F"/>
    <w:rsid w:val="006623F1"/>
    <w:rsid w:val="00662517"/>
    <w:rsid w:val="00662732"/>
    <w:rsid w:val="00662CD9"/>
    <w:rsid w:val="00662DA2"/>
    <w:rsid w:val="00663092"/>
    <w:rsid w:val="00663705"/>
    <w:rsid w:val="00663A7C"/>
    <w:rsid w:val="00663CFD"/>
    <w:rsid w:val="0066433D"/>
    <w:rsid w:val="00664421"/>
    <w:rsid w:val="0066464A"/>
    <w:rsid w:val="0066470A"/>
    <w:rsid w:val="00664727"/>
    <w:rsid w:val="006647BA"/>
    <w:rsid w:val="00664973"/>
    <w:rsid w:val="006649BC"/>
    <w:rsid w:val="00664CF3"/>
    <w:rsid w:val="0066599B"/>
    <w:rsid w:val="00665C8B"/>
    <w:rsid w:val="00665E4F"/>
    <w:rsid w:val="00665EB4"/>
    <w:rsid w:val="00665F7E"/>
    <w:rsid w:val="00666005"/>
    <w:rsid w:val="00666210"/>
    <w:rsid w:val="00666D22"/>
    <w:rsid w:val="00666F9A"/>
    <w:rsid w:val="00667229"/>
    <w:rsid w:val="00667576"/>
    <w:rsid w:val="00667617"/>
    <w:rsid w:val="006677FE"/>
    <w:rsid w:val="0066795B"/>
    <w:rsid w:val="00667B49"/>
    <w:rsid w:val="006703E2"/>
    <w:rsid w:val="00670B04"/>
    <w:rsid w:val="00670E66"/>
    <w:rsid w:val="00670EA5"/>
    <w:rsid w:val="00671276"/>
    <w:rsid w:val="00671D61"/>
    <w:rsid w:val="00671DB1"/>
    <w:rsid w:val="00671F1C"/>
    <w:rsid w:val="00672292"/>
    <w:rsid w:val="00672377"/>
    <w:rsid w:val="00672AB4"/>
    <w:rsid w:val="0067301D"/>
    <w:rsid w:val="006738EF"/>
    <w:rsid w:val="00673E78"/>
    <w:rsid w:val="0067401C"/>
    <w:rsid w:val="00674044"/>
    <w:rsid w:val="006741B5"/>
    <w:rsid w:val="0067428D"/>
    <w:rsid w:val="00674393"/>
    <w:rsid w:val="00674473"/>
    <w:rsid w:val="006744B3"/>
    <w:rsid w:val="00674659"/>
    <w:rsid w:val="00675142"/>
    <w:rsid w:val="0067581E"/>
    <w:rsid w:val="00675D34"/>
    <w:rsid w:val="006767C0"/>
    <w:rsid w:val="006775CE"/>
    <w:rsid w:val="0067780E"/>
    <w:rsid w:val="00680626"/>
    <w:rsid w:val="00680647"/>
    <w:rsid w:val="0068089A"/>
    <w:rsid w:val="0068093D"/>
    <w:rsid w:val="00680FDF"/>
    <w:rsid w:val="006814A9"/>
    <w:rsid w:val="00681E94"/>
    <w:rsid w:val="00681FC7"/>
    <w:rsid w:val="00682453"/>
    <w:rsid w:val="00682F75"/>
    <w:rsid w:val="00683164"/>
    <w:rsid w:val="006831EE"/>
    <w:rsid w:val="00683B6E"/>
    <w:rsid w:val="00684011"/>
    <w:rsid w:val="0068401A"/>
    <w:rsid w:val="00684734"/>
    <w:rsid w:val="00684FB2"/>
    <w:rsid w:val="00685001"/>
    <w:rsid w:val="006858A8"/>
    <w:rsid w:val="00685A28"/>
    <w:rsid w:val="00685A9B"/>
    <w:rsid w:val="00685B41"/>
    <w:rsid w:val="00685B4B"/>
    <w:rsid w:val="00685F73"/>
    <w:rsid w:val="0068628B"/>
    <w:rsid w:val="006866CC"/>
    <w:rsid w:val="006867AD"/>
    <w:rsid w:val="006867BE"/>
    <w:rsid w:val="00686978"/>
    <w:rsid w:val="00686B0C"/>
    <w:rsid w:val="0068726D"/>
    <w:rsid w:val="006872B4"/>
    <w:rsid w:val="00687373"/>
    <w:rsid w:val="00687391"/>
    <w:rsid w:val="00687411"/>
    <w:rsid w:val="00687466"/>
    <w:rsid w:val="00687570"/>
    <w:rsid w:val="00687662"/>
    <w:rsid w:val="00687A61"/>
    <w:rsid w:val="00687DAF"/>
    <w:rsid w:val="00687FE9"/>
    <w:rsid w:val="00690A54"/>
    <w:rsid w:val="00690C68"/>
    <w:rsid w:val="00690EF1"/>
    <w:rsid w:val="0069115E"/>
    <w:rsid w:val="006918AE"/>
    <w:rsid w:val="0069196C"/>
    <w:rsid w:val="006919FB"/>
    <w:rsid w:val="00691B63"/>
    <w:rsid w:val="00691D6D"/>
    <w:rsid w:val="00691E89"/>
    <w:rsid w:val="006928D4"/>
    <w:rsid w:val="00692C72"/>
    <w:rsid w:val="00692FE1"/>
    <w:rsid w:val="006931C6"/>
    <w:rsid w:val="006934E0"/>
    <w:rsid w:val="00693690"/>
    <w:rsid w:val="006939ED"/>
    <w:rsid w:val="00693A0C"/>
    <w:rsid w:val="00694055"/>
    <w:rsid w:val="006944E0"/>
    <w:rsid w:val="006949DB"/>
    <w:rsid w:val="00694E75"/>
    <w:rsid w:val="00695490"/>
    <w:rsid w:val="00695588"/>
    <w:rsid w:val="00695CE2"/>
    <w:rsid w:val="006960DF"/>
    <w:rsid w:val="00696560"/>
    <w:rsid w:val="00696ABA"/>
    <w:rsid w:val="00696CC2"/>
    <w:rsid w:val="006971D5"/>
    <w:rsid w:val="00697357"/>
    <w:rsid w:val="0069744B"/>
    <w:rsid w:val="00697555"/>
    <w:rsid w:val="006A005B"/>
    <w:rsid w:val="006A03C0"/>
    <w:rsid w:val="006A040A"/>
    <w:rsid w:val="006A0914"/>
    <w:rsid w:val="006A0938"/>
    <w:rsid w:val="006A09ED"/>
    <w:rsid w:val="006A0A81"/>
    <w:rsid w:val="006A0BEB"/>
    <w:rsid w:val="006A159D"/>
    <w:rsid w:val="006A192E"/>
    <w:rsid w:val="006A1D7C"/>
    <w:rsid w:val="006A1DD1"/>
    <w:rsid w:val="006A24AA"/>
    <w:rsid w:val="006A3619"/>
    <w:rsid w:val="006A40A0"/>
    <w:rsid w:val="006A46ED"/>
    <w:rsid w:val="006A4B7E"/>
    <w:rsid w:val="006A5038"/>
    <w:rsid w:val="006A523A"/>
    <w:rsid w:val="006A54ED"/>
    <w:rsid w:val="006A61D1"/>
    <w:rsid w:val="006A673C"/>
    <w:rsid w:val="006A6A4E"/>
    <w:rsid w:val="006A6DD5"/>
    <w:rsid w:val="006A7222"/>
    <w:rsid w:val="006A72B4"/>
    <w:rsid w:val="006A7483"/>
    <w:rsid w:val="006A764C"/>
    <w:rsid w:val="006B0679"/>
    <w:rsid w:val="006B0A6A"/>
    <w:rsid w:val="006B0B7A"/>
    <w:rsid w:val="006B0DC5"/>
    <w:rsid w:val="006B1716"/>
    <w:rsid w:val="006B182E"/>
    <w:rsid w:val="006B19CD"/>
    <w:rsid w:val="006B1A6E"/>
    <w:rsid w:val="006B1C60"/>
    <w:rsid w:val="006B2642"/>
    <w:rsid w:val="006B268E"/>
    <w:rsid w:val="006B271B"/>
    <w:rsid w:val="006B27DB"/>
    <w:rsid w:val="006B37CD"/>
    <w:rsid w:val="006B3B8E"/>
    <w:rsid w:val="006B3E11"/>
    <w:rsid w:val="006B4977"/>
    <w:rsid w:val="006B541A"/>
    <w:rsid w:val="006B5764"/>
    <w:rsid w:val="006B5B39"/>
    <w:rsid w:val="006B5B5E"/>
    <w:rsid w:val="006B5B99"/>
    <w:rsid w:val="006B621A"/>
    <w:rsid w:val="006B624B"/>
    <w:rsid w:val="006B64AE"/>
    <w:rsid w:val="006B6D8E"/>
    <w:rsid w:val="006B6E5C"/>
    <w:rsid w:val="006B7089"/>
    <w:rsid w:val="006B74BE"/>
    <w:rsid w:val="006B7797"/>
    <w:rsid w:val="006B7816"/>
    <w:rsid w:val="006B798F"/>
    <w:rsid w:val="006B7A10"/>
    <w:rsid w:val="006B7DAD"/>
    <w:rsid w:val="006B7DEF"/>
    <w:rsid w:val="006C1050"/>
    <w:rsid w:val="006C168F"/>
    <w:rsid w:val="006C175B"/>
    <w:rsid w:val="006C20C7"/>
    <w:rsid w:val="006C263B"/>
    <w:rsid w:val="006C2ACA"/>
    <w:rsid w:val="006C2DE3"/>
    <w:rsid w:val="006C2EFA"/>
    <w:rsid w:val="006C3C84"/>
    <w:rsid w:val="006C3ECB"/>
    <w:rsid w:val="006C4440"/>
    <w:rsid w:val="006C476F"/>
    <w:rsid w:val="006C4B47"/>
    <w:rsid w:val="006C4FE6"/>
    <w:rsid w:val="006C574E"/>
    <w:rsid w:val="006C5803"/>
    <w:rsid w:val="006C5A72"/>
    <w:rsid w:val="006C60D8"/>
    <w:rsid w:val="006C6688"/>
    <w:rsid w:val="006C6800"/>
    <w:rsid w:val="006C683D"/>
    <w:rsid w:val="006C6A51"/>
    <w:rsid w:val="006C6AF4"/>
    <w:rsid w:val="006C6DDB"/>
    <w:rsid w:val="006C6E23"/>
    <w:rsid w:val="006C7AB3"/>
    <w:rsid w:val="006C7BC7"/>
    <w:rsid w:val="006C7BDC"/>
    <w:rsid w:val="006C7D26"/>
    <w:rsid w:val="006D0046"/>
    <w:rsid w:val="006D05C8"/>
    <w:rsid w:val="006D0CE9"/>
    <w:rsid w:val="006D0DDC"/>
    <w:rsid w:val="006D1039"/>
    <w:rsid w:val="006D105F"/>
    <w:rsid w:val="006D1106"/>
    <w:rsid w:val="006D167D"/>
    <w:rsid w:val="006D172A"/>
    <w:rsid w:val="006D1786"/>
    <w:rsid w:val="006D1D64"/>
    <w:rsid w:val="006D223E"/>
    <w:rsid w:val="006D2386"/>
    <w:rsid w:val="006D2844"/>
    <w:rsid w:val="006D3209"/>
    <w:rsid w:val="006D3299"/>
    <w:rsid w:val="006D34C7"/>
    <w:rsid w:val="006D35AD"/>
    <w:rsid w:val="006D3F61"/>
    <w:rsid w:val="006D5006"/>
    <w:rsid w:val="006D56E2"/>
    <w:rsid w:val="006D5784"/>
    <w:rsid w:val="006D57FB"/>
    <w:rsid w:val="006D592A"/>
    <w:rsid w:val="006D5C5E"/>
    <w:rsid w:val="006D5D1E"/>
    <w:rsid w:val="006D5D45"/>
    <w:rsid w:val="006D5DBF"/>
    <w:rsid w:val="006D5F0A"/>
    <w:rsid w:val="006D6194"/>
    <w:rsid w:val="006D6753"/>
    <w:rsid w:val="006D718C"/>
    <w:rsid w:val="006D763B"/>
    <w:rsid w:val="006D7791"/>
    <w:rsid w:val="006D7961"/>
    <w:rsid w:val="006D7E73"/>
    <w:rsid w:val="006E021C"/>
    <w:rsid w:val="006E037C"/>
    <w:rsid w:val="006E03EF"/>
    <w:rsid w:val="006E045A"/>
    <w:rsid w:val="006E0EE0"/>
    <w:rsid w:val="006E1021"/>
    <w:rsid w:val="006E14DC"/>
    <w:rsid w:val="006E1A05"/>
    <w:rsid w:val="006E1B6F"/>
    <w:rsid w:val="006E1DEF"/>
    <w:rsid w:val="006E2788"/>
    <w:rsid w:val="006E2E4C"/>
    <w:rsid w:val="006E309C"/>
    <w:rsid w:val="006E3491"/>
    <w:rsid w:val="006E3504"/>
    <w:rsid w:val="006E3B96"/>
    <w:rsid w:val="006E3BCF"/>
    <w:rsid w:val="006E3C95"/>
    <w:rsid w:val="006E411C"/>
    <w:rsid w:val="006E437A"/>
    <w:rsid w:val="006E474A"/>
    <w:rsid w:val="006E49D7"/>
    <w:rsid w:val="006E4FEE"/>
    <w:rsid w:val="006E51AB"/>
    <w:rsid w:val="006E5E11"/>
    <w:rsid w:val="006E5F33"/>
    <w:rsid w:val="006E605C"/>
    <w:rsid w:val="006E61F2"/>
    <w:rsid w:val="006E64CF"/>
    <w:rsid w:val="006E64D9"/>
    <w:rsid w:val="006E64EB"/>
    <w:rsid w:val="006E67F9"/>
    <w:rsid w:val="006E68C2"/>
    <w:rsid w:val="006E6A09"/>
    <w:rsid w:val="006E6CC4"/>
    <w:rsid w:val="006E6F2B"/>
    <w:rsid w:val="006E6F8C"/>
    <w:rsid w:val="006E6FFE"/>
    <w:rsid w:val="006E7004"/>
    <w:rsid w:val="006E702B"/>
    <w:rsid w:val="006E7666"/>
    <w:rsid w:val="006E79D8"/>
    <w:rsid w:val="006E7A1A"/>
    <w:rsid w:val="006F00F9"/>
    <w:rsid w:val="006F0626"/>
    <w:rsid w:val="006F06C5"/>
    <w:rsid w:val="006F09E1"/>
    <w:rsid w:val="006F0AF0"/>
    <w:rsid w:val="006F0D54"/>
    <w:rsid w:val="006F0F94"/>
    <w:rsid w:val="006F1049"/>
    <w:rsid w:val="006F153C"/>
    <w:rsid w:val="006F1B03"/>
    <w:rsid w:val="006F1E99"/>
    <w:rsid w:val="006F2369"/>
    <w:rsid w:val="006F2647"/>
    <w:rsid w:val="006F26E4"/>
    <w:rsid w:val="006F2A95"/>
    <w:rsid w:val="006F3678"/>
    <w:rsid w:val="006F39ED"/>
    <w:rsid w:val="006F3B37"/>
    <w:rsid w:val="006F3F66"/>
    <w:rsid w:val="006F5140"/>
    <w:rsid w:val="006F53A4"/>
    <w:rsid w:val="006F53E1"/>
    <w:rsid w:val="006F5D2D"/>
    <w:rsid w:val="006F67D8"/>
    <w:rsid w:val="006F6998"/>
    <w:rsid w:val="006F6DD7"/>
    <w:rsid w:val="006F6EF5"/>
    <w:rsid w:val="006F6F83"/>
    <w:rsid w:val="006F73B3"/>
    <w:rsid w:val="006F779F"/>
    <w:rsid w:val="006F77C6"/>
    <w:rsid w:val="006F7F6D"/>
    <w:rsid w:val="007007DA"/>
    <w:rsid w:val="00700B2D"/>
    <w:rsid w:val="0070155F"/>
    <w:rsid w:val="007018B1"/>
    <w:rsid w:val="007019D8"/>
    <w:rsid w:val="007019F1"/>
    <w:rsid w:val="0070256C"/>
    <w:rsid w:val="007039D4"/>
    <w:rsid w:val="00703AE1"/>
    <w:rsid w:val="00703B9C"/>
    <w:rsid w:val="00703DD3"/>
    <w:rsid w:val="00703DF1"/>
    <w:rsid w:val="00703F92"/>
    <w:rsid w:val="00703FE5"/>
    <w:rsid w:val="00704345"/>
    <w:rsid w:val="00704B62"/>
    <w:rsid w:val="00704BB5"/>
    <w:rsid w:val="0070524B"/>
    <w:rsid w:val="007055A2"/>
    <w:rsid w:val="00706074"/>
    <w:rsid w:val="00706434"/>
    <w:rsid w:val="0070661F"/>
    <w:rsid w:val="007069E0"/>
    <w:rsid w:val="00706B56"/>
    <w:rsid w:val="0070738D"/>
    <w:rsid w:val="007076A0"/>
    <w:rsid w:val="00707BE1"/>
    <w:rsid w:val="00707C20"/>
    <w:rsid w:val="00707D41"/>
    <w:rsid w:val="00710315"/>
    <w:rsid w:val="007106A6"/>
    <w:rsid w:val="0071075C"/>
    <w:rsid w:val="007107F8"/>
    <w:rsid w:val="00710C0E"/>
    <w:rsid w:val="00711329"/>
    <w:rsid w:val="007117F3"/>
    <w:rsid w:val="00711889"/>
    <w:rsid w:val="00711B42"/>
    <w:rsid w:val="007122BA"/>
    <w:rsid w:val="00712899"/>
    <w:rsid w:val="00712DF1"/>
    <w:rsid w:val="007131CD"/>
    <w:rsid w:val="00713259"/>
    <w:rsid w:val="00713432"/>
    <w:rsid w:val="0071364F"/>
    <w:rsid w:val="00713694"/>
    <w:rsid w:val="00713D0C"/>
    <w:rsid w:val="007141B3"/>
    <w:rsid w:val="007143E6"/>
    <w:rsid w:val="007145AE"/>
    <w:rsid w:val="00714916"/>
    <w:rsid w:val="00714F95"/>
    <w:rsid w:val="00715083"/>
    <w:rsid w:val="007157E1"/>
    <w:rsid w:val="00715D82"/>
    <w:rsid w:val="00716069"/>
    <w:rsid w:val="007169CD"/>
    <w:rsid w:val="007169DF"/>
    <w:rsid w:val="007174E1"/>
    <w:rsid w:val="007175AB"/>
    <w:rsid w:val="0071771A"/>
    <w:rsid w:val="00717E53"/>
    <w:rsid w:val="00717FC3"/>
    <w:rsid w:val="00720019"/>
    <w:rsid w:val="0072004B"/>
    <w:rsid w:val="007200AE"/>
    <w:rsid w:val="0072090B"/>
    <w:rsid w:val="007209CB"/>
    <w:rsid w:val="00720A7F"/>
    <w:rsid w:val="00720AD8"/>
    <w:rsid w:val="00720CCB"/>
    <w:rsid w:val="007212DB"/>
    <w:rsid w:val="007214E0"/>
    <w:rsid w:val="00721583"/>
    <w:rsid w:val="00722187"/>
    <w:rsid w:val="00722B9E"/>
    <w:rsid w:val="00722BCF"/>
    <w:rsid w:val="00723020"/>
    <w:rsid w:val="00723228"/>
    <w:rsid w:val="00723979"/>
    <w:rsid w:val="00723C38"/>
    <w:rsid w:val="007249DC"/>
    <w:rsid w:val="00724D52"/>
    <w:rsid w:val="00724E61"/>
    <w:rsid w:val="00725162"/>
    <w:rsid w:val="00725249"/>
    <w:rsid w:val="007252EC"/>
    <w:rsid w:val="007258C9"/>
    <w:rsid w:val="00726404"/>
    <w:rsid w:val="00726468"/>
    <w:rsid w:val="007268F4"/>
    <w:rsid w:val="0072739D"/>
    <w:rsid w:val="00727582"/>
    <w:rsid w:val="007275AC"/>
    <w:rsid w:val="00727746"/>
    <w:rsid w:val="007301C1"/>
    <w:rsid w:val="00730287"/>
    <w:rsid w:val="00730998"/>
    <w:rsid w:val="00730E84"/>
    <w:rsid w:val="00731248"/>
    <w:rsid w:val="00731798"/>
    <w:rsid w:val="00731C3D"/>
    <w:rsid w:val="00731E8C"/>
    <w:rsid w:val="00732456"/>
    <w:rsid w:val="00732732"/>
    <w:rsid w:val="00732868"/>
    <w:rsid w:val="00732A96"/>
    <w:rsid w:val="00732F9F"/>
    <w:rsid w:val="007337A4"/>
    <w:rsid w:val="00733A70"/>
    <w:rsid w:val="007345B4"/>
    <w:rsid w:val="00734620"/>
    <w:rsid w:val="00734E25"/>
    <w:rsid w:val="00734E2F"/>
    <w:rsid w:val="007351B9"/>
    <w:rsid w:val="00735A25"/>
    <w:rsid w:val="00735A88"/>
    <w:rsid w:val="00735AB3"/>
    <w:rsid w:val="00735C37"/>
    <w:rsid w:val="00736135"/>
    <w:rsid w:val="00736685"/>
    <w:rsid w:val="007371AD"/>
    <w:rsid w:val="0073728F"/>
    <w:rsid w:val="00737303"/>
    <w:rsid w:val="00737311"/>
    <w:rsid w:val="007374A9"/>
    <w:rsid w:val="00737FF0"/>
    <w:rsid w:val="00740973"/>
    <w:rsid w:val="00740C0C"/>
    <w:rsid w:val="00741363"/>
    <w:rsid w:val="00741AC7"/>
    <w:rsid w:val="00741C25"/>
    <w:rsid w:val="00741DC8"/>
    <w:rsid w:val="00741F5A"/>
    <w:rsid w:val="00742397"/>
    <w:rsid w:val="007423FD"/>
    <w:rsid w:val="0074249B"/>
    <w:rsid w:val="00742C13"/>
    <w:rsid w:val="00742D60"/>
    <w:rsid w:val="00742FEA"/>
    <w:rsid w:val="0074352E"/>
    <w:rsid w:val="00743A27"/>
    <w:rsid w:val="00743AEF"/>
    <w:rsid w:val="00743CE3"/>
    <w:rsid w:val="0074436D"/>
    <w:rsid w:val="00744472"/>
    <w:rsid w:val="007446A9"/>
    <w:rsid w:val="0074478E"/>
    <w:rsid w:val="00744EBF"/>
    <w:rsid w:val="007451BB"/>
    <w:rsid w:val="007456EA"/>
    <w:rsid w:val="00746349"/>
    <w:rsid w:val="00747231"/>
    <w:rsid w:val="0074742C"/>
    <w:rsid w:val="00747A1C"/>
    <w:rsid w:val="00747D3C"/>
    <w:rsid w:val="00747DCF"/>
    <w:rsid w:val="00747F5F"/>
    <w:rsid w:val="00750830"/>
    <w:rsid w:val="00750C90"/>
    <w:rsid w:val="00750D77"/>
    <w:rsid w:val="00750F1C"/>
    <w:rsid w:val="007513F6"/>
    <w:rsid w:val="007520AE"/>
    <w:rsid w:val="00752503"/>
    <w:rsid w:val="0075296F"/>
    <w:rsid w:val="00752996"/>
    <w:rsid w:val="00752C9A"/>
    <w:rsid w:val="00752F00"/>
    <w:rsid w:val="00753101"/>
    <w:rsid w:val="00753115"/>
    <w:rsid w:val="0075377D"/>
    <w:rsid w:val="00753D52"/>
    <w:rsid w:val="0075417A"/>
    <w:rsid w:val="007542D6"/>
    <w:rsid w:val="007544EA"/>
    <w:rsid w:val="00754A64"/>
    <w:rsid w:val="00754B47"/>
    <w:rsid w:val="00754CDC"/>
    <w:rsid w:val="00754E1E"/>
    <w:rsid w:val="007551BC"/>
    <w:rsid w:val="0075555B"/>
    <w:rsid w:val="00755B41"/>
    <w:rsid w:val="00755C89"/>
    <w:rsid w:val="00755DB6"/>
    <w:rsid w:val="00756080"/>
    <w:rsid w:val="007560CB"/>
    <w:rsid w:val="00756CED"/>
    <w:rsid w:val="00756D40"/>
    <w:rsid w:val="00756DB2"/>
    <w:rsid w:val="007578D1"/>
    <w:rsid w:val="00757D36"/>
    <w:rsid w:val="00757D3B"/>
    <w:rsid w:val="00757E6A"/>
    <w:rsid w:val="0076012C"/>
    <w:rsid w:val="00760729"/>
    <w:rsid w:val="00760A3F"/>
    <w:rsid w:val="00760F2C"/>
    <w:rsid w:val="00760FA2"/>
    <w:rsid w:val="007613A3"/>
    <w:rsid w:val="00761663"/>
    <w:rsid w:val="007618BB"/>
    <w:rsid w:val="007619ED"/>
    <w:rsid w:val="00761E8D"/>
    <w:rsid w:val="00761FCB"/>
    <w:rsid w:val="00762079"/>
    <w:rsid w:val="0076233F"/>
    <w:rsid w:val="007627A5"/>
    <w:rsid w:val="007627AA"/>
    <w:rsid w:val="00762A3A"/>
    <w:rsid w:val="00762BC0"/>
    <w:rsid w:val="00762C07"/>
    <w:rsid w:val="00762C2C"/>
    <w:rsid w:val="00762C9D"/>
    <w:rsid w:val="0076305C"/>
    <w:rsid w:val="0076311C"/>
    <w:rsid w:val="00763133"/>
    <w:rsid w:val="00763C4E"/>
    <w:rsid w:val="007641D2"/>
    <w:rsid w:val="007642AE"/>
    <w:rsid w:val="007648D6"/>
    <w:rsid w:val="00764B61"/>
    <w:rsid w:val="00764C74"/>
    <w:rsid w:val="00764CC2"/>
    <w:rsid w:val="00764E70"/>
    <w:rsid w:val="0076544A"/>
    <w:rsid w:val="00765AF5"/>
    <w:rsid w:val="00765BC3"/>
    <w:rsid w:val="00765C79"/>
    <w:rsid w:val="007662D5"/>
    <w:rsid w:val="00766712"/>
    <w:rsid w:val="0076762F"/>
    <w:rsid w:val="00767B7A"/>
    <w:rsid w:val="00767DB4"/>
    <w:rsid w:val="007700EE"/>
    <w:rsid w:val="00770258"/>
    <w:rsid w:val="007705FD"/>
    <w:rsid w:val="007718EA"/>
    <w:rsid w:val="00771D3D"/>
    <w:rsid w:val="0077239E"/>
    <w:rsid w:val="00772418"/>
    <w:rsid w:val="007732BA"/>
    <w:rsid w:val="00774049"/>
    <w:rsid w:val="0077440D"/>
    <w:rsid w:val="0077454A"/>
    <w:rsid w:val="00774664"/>
    <w:rsid w:val="00774EF4"/>
    <w:rsid w:val="00775082"/>
    <w:rsid w:val="007754EB"/>
    <w:rsid w:val="0077566E"/>
    <w:rsid w:val="00775969"/>
    <w:rsid w:val="00775E4F"/>
    <w:rsid w:val="00775EDC"/>
    <w:rsid w:val="00775F1C"/>
    <w:rsid w:val="007761FD"/>
    <w:rsid w:val="007765F1"/>
    <w:rsid w:val="00776AF5"/>
    <w:rsid w:val="00776DBE"/>
    <w:rsid w:val="00776E5F"/>
    <w:rsid w:val="007770AF"/>
    <w:rsid w:val="00777675"/>
    <w:rsid w:val="00777B6A"/>
    <w:rsid w:val="00777E06"/>
    <w:rsid w:val="00780100"/>
    <w:rsid w:val="0078028A"/>
    <w:rsid w:val="00780451"/>
    <w:rsid w:val="00780946"/>
    <w:rsid w:val="00780BD6"/>
    <w:rsid w:val="00780E45"/>
    <w:rsid w:val="00781477"/>
    <w:rsid w:val="007816B0"/>
    <w:rsid w:val="00781742"/>
    <w:rsid w:val="00781872"/>
    <w:rsid w:val="007818EC"/>
    <w:rsid w:val="0078192A"/>
    <w:rsid w:val="00781B0F"/>
    <w:rsid w:val="00782CA1"/>
    <w:rsid w:val="00782DB3"/>
    <w:rsid w:val="007830C9"/>
    <w:rsid w:val="007836B0"/>
    <w:rsid w:val="0078370C"/>
    <w:rsid w:val="0078428F"/>
    <w:rsid w:val="00784352"/>
    <w:rsid w:val="00784519"/>
    <w:rsid w:val="00784895"/>
    <w:rsid w:val="00784903"/>
    <w:rsid w:val="00784A9D"/>
    <w:rsid w:val="00784AC3"/>
    <w:rsid w:val="00784CBA"/>
    <w:rsid w:val="00784FC9"/>
    <w:rsid w:val="00784FDC"/>
    <w:rsid w:val="00785358"/>
    <w:rsid w:val="0078668B"/>
    <w:rsid w:val="0078779B"/>
    <w:rsid w:val="00790005"/>
    <w:rsid w:val="007906BD"/>
    <w:rsid w:val="00790A94"/>
    <w:rsid w:val="00791092"/>
    <w:rsid w:val="007913AC"/>
    <w:rsid w:val="0079150B"/>
    <w:rsid w:val="00791971"/>
    <w:rsid w:val="00791AFD"/>
    <w:rsid w:val="00791CC7"/>
    <w:rsid w:val="00792986"/>
    <w:rsid w:val="00792BA1"/>
    <w:rsid w:val="00792BC5"/>
    <w:rsid w:val="00793123"/>
    <w:rsid w:val="0079349D"/>
    <w:rsid w:val="00793699"/>
    <w:rsid w:val="00793743"/>
    <w:rsid w:val="00793941"/>
    <w:rsid w:val="00793CC2"/>
    <w:rsid w:val="00793D03"/>
    <w:rsid w:val="00793FEC"/>
    <w:rsid w:val="00794C43"/>
    <w:rsid w:val="00794E0D"/>
    <w:rsid w:val="00795234"/>
    <w:rsid w:val="00795511"/>
    <w:rsid w:val="00795699"/>
    <w:rsid w:val="007958E0"/>
    <w:rsid w:val="00795C38"/>
    <w:rsid w:val="00795E43"/>
    <w:rsid w:val="00795EBD"/>
    <w:rsid w:val="00795F15"/>
    <w:rsid w:val="00795FC8"/>
    <w:rsid w:val="007964A3"/>
    <w:rsid w:val="0079684E"/>
    <w:rsid w:val="00796B99"/>
    <w:rsid w:val="00796EAA"/>
    <w:rsid w:val="00797177"/>
    <w:rsid w:val="007978E0"/>
    <w:rsid w:val="007978EC"/>
    <w:rsid w:val="00797DE0"/>
    <w:rsid w:val="00797F78"/>
    <w:rsid w:val="007A0494"/>
    <w:rsid w:val="007A1148"/>
    <w:rsid w:val="007A12BA"/>
    <w:rsid w:val="007A12F3"/>
    <w:rsid w:val="007A14E9"/>
    <w:rsid w:val="007A162B"/>
    <w:rsid w:val="007A17BD"/>
    <w:rsid w:val="007A20D9"/>
    <w:rsid w:val="007A283D"/>
    <w:rsid w:val="007A2932"/>
    <w:rsid w:val="007A36FB"/>
    <w:rsid w:val="007A3874"/>
    <w:rsid w:val="007A3DCA"/>
    <w:rsid w:val="007A3F83"/>
    <w:rsid w:val="007A433E"/>
    <w:rsid w:val="007A448A"/>
    <w:rsid w:val="007A4634"/>
    <w:rsid w:val="007A5377"/>
    <w:rsid w:val="007A5B64"/>
    <w:rsid w:val="007A63FA"/>
    <w:rsid w:val="007A7269"/>
    <w:rsid w:val="007A7289"/>
    <w:rsid w:val="007A750A"/>
    <w:rsid w:val="007A7976"/>
    <w:rsid w:val="007A7B47"/>
    <w:rsid w:val="007A7E20"/>
    <w:rsid w:val="007B009A"/>
    <w:rsid w:val="007B02CA"/>
    <w:rsid w:val="007B070D"/>
    <w:rsid w:val="007B0BCA"/>
    <w:rsid w:val="007B0C1C"/>
    <w:rsid w:val="007B110A"/>
    <w:rsid w:val="007B123D"/>
    <w:rsid w:val="007B1A92"/>
    <w:rsid w:val="007B1B16"/>
    <w:rsid w:val="007B1F8F"/>
    <w:rsid w:val="007B20B1"/>
    <w:rsid w:val="007B2F66"/>
    <w:rsid w:val="007B3994"/>
    <w:rsid w:val="007B4C10"/>
    <w:rsid w:val="007B4F42"/>
    <w:rsid w:val="007B540C"/>
    <w:rsid w:val="007B57C3"/>
    <w:rsid w:val="007B5842"/>
    <w:rsid w:val="007B59E9"/>
    <w:rsid w:val="007B5AE7"/>
    <w:rsid w:val="007B5F16"/>
    <w:rsid w:val="007B5F92"/>
    <w:rsid w:val="007B65A5"/>
    <w:rsid w:val="007B67F2"/>
    <w:rsid w:val="007B68D6"/>
    <w:rsid w:val="007B6A3D"/>
    <w:rsid w:val="007B7169"/>
    <w:rsid w:val="007B7616"/>
    <w:rsid w:val="007B7AC0"/>
    <w:rsid w:val="007B7B10"/>
    <w:rsid w:val="007C070C"/>
    <w:rsid w:val="007C0CB3"/>
    <w:rsid w:val="007C0FC6"/>
    <w:rsid w:val="007C1074"/>
    <w:rsid w:val="007C1855"/>
    <w:rsid w:val="007C197C"/>
    <w:rsid w:val="007C1BD2"/>
    <w:rsid w:val="007C214D"/>
    <w:rsid w:val="007C21CB"/>
    <w:rsid w:val="007C2384"/>
    <w:rsid w:val="007C24C2"/>
    <w:rsid w:val="007C24D1"/>
    <w:rsid w:val="007C29CB"/>
    <w:rsid w:val="007C2A1D"/>
    <w:rsid w:val="007C2CDB"/>
    <w:rsid w:val="007C2EAE"/>
    <w:rsid w:val="007C32EA"/>
    <w:rsid w:val="007C3489"/>
    <w:rsid w:val="007C34D4"/>
    <w:rsid w:val="007C3719"/>
    <w:rsid w:val="007C3950"/>
    <w:rsid w:val="007C3A38"/>
    <w:rsid w:val="007C3BC9"/>
    <w:rsid w:val="007C3CEB"/>
    <w:rsid w:val="007C4925"/>
    <w:rsid w:val="007C4B74"/>
    <w:rsid w:val="007C4C35"/>
    <w:rsid w:val="007C4DB5"/>
    <w:rsid w:val="007C4E32"/>
    <w:rsid w:val="007C4FC6"/>
    <w:rsid w:val="007C503B"/>
    <w:rsid w:val="007C56D0"/>
    <w:rsid w:val="007C59BD"/>
    <w:rsid w:val="007C5A0F"/>
    <w:rsid w:val="007C5D78"/>
    <w:rsid w:val="007C60D4"/>
    <w:rsid w:val="007C67C3"/>
    <w:rsid w:val="007C6D69"/>
    <w:rsid w:val="007C6D98"/>
    <w:rsid w:val="007C7631"/>
    <w:rsid w:val="007D00D3"/>
    <w:rsid w:val="007D02E8"/>
    <w:rsid w:val="007D03D7"/>
    <w:rsid w:val="007D03EA"/>
    <w:rsid w:val="007D0643"/>
    <w:rsid w:val="007D0759"/>
    <w:rsid w:val="007D0B6F"/>
    <w:rsid w:val="007D1196"/>
    <w:rsid w:val="007D12D2"/>
    <w:rsid w:val="007D156B"/>
    <w:rsid w:val="007D160A"/>
    <w:rsid w:val="007D163C"/>
    <w:rsid w:val="007D1729"/>
    <w:rsid w:val="007D1A14"/>
    <w:rsid w:val="007D1FCE"/>
    <w:rsid w:val="007D2051"/>
    <w:rsid w:val="007D21B0"/>
    <w:rsid w:val="007D2923"/>
    <w:rsid w:val="007D2D83"/>
    <w:rsid w:val="007D2F6A"/>
    <w:rsid w:val="007D31EE"/>
    <w:rsid w:val="007D369C"/>
    <w:rsid w:val="007D43A3"/>
    <w:rsid w:val="007D4A09"/>
    <w:rsid w:val="007D4C7D"/>
    <w:rsid w:val="007D5A63"/>
    <w:rsid w:val="007D66CE"/>
    <w:rsid w:val="007D70B3"/>
    <w:rsid w:val="007D73B5"/>
    <w:rsid w:val="007D78A6"/>
    <w:rsid w:val="007D7DEA"/>
    <w:rsid w:val="007D7E1B"/>
    <w:rsid w:val="007E044E"/>
    <w:rsid w:val="007E0491"/>
    <w:rsid w:val="007E0D57"/>
    <w:rsid w:val="007E11F1"/>
    <w:rsid w:val="007E1422"/>
    <w:rsid w:val="007E17B9"/>
    <w:rsid w:val="007E24B5"/>
    <w:rsid w:val="007E2775"/>
    <w:rsid w:val="007E2A25"/>
    <w:rsid w:val="007E2DDA"/>
    <w:rsid w:val="007E2EF7"/>
    <w:rsid w:val="007E3477"/>
    <w:rsid w:val="007E3D77"/>
    <w:rsid w:val="007E3D82"/>
    <w:rsid w:val="007E3DDD"/>
    <w:rsid w:val="007E3F56"/>
    <w:rsid w:val="007E3FB7"/>
    <w:rsid w:val="007E4C62"/>
    <w:rsid w:val="007E5794"/>
    <w:rsid w:val="007E5D81"/>
    <w:rsid w:val="007E61D8"/>
    <w:rsid w:val="007E66B0"/>
    <w:rsid w:val="007E68BD"/>
    <w:rsid w:val="007E6B9C"/>
    <w:rsid w:val="007E6F5A"/>
    <w:rsid w:val="007E6F77"/>
    <w:rsid w:val="007E739B"/>
    <w:rsid w:val="007E79B1"/>
    <w:rsid w:val="007E7F02"/>
    <w:rsid w:val="007F0E65"/>
    <w:rsid w:val="007F1873"/>
    <w:rsid w:val="007F21C2"/>
    <w:rsid w:val="007F231C"/>
    <w:rsid w:val="007F288A"/>
    <w:rsid w:val="007F3188"/>
    <w:rsid w:val="007F3494"/>
    <w:rsid w:val="007F3A4A"/>
    <w:rsid w:val="007F3CFF"/>
    <w:rsid w:val="007F3E10"/>
    <w:rsid w:val="007F3E2F"/>
    <w:rsid w:val="007F4B9E"/>
    <w:rsid w:val="007F5445"/>
    <w:rsid w:val="007F581D"/>
    <w:rsid w:val="007F5989"/>
    <w:rsid w:val="007F5A82"/>
    <w:rsid w:val="007F5BCB"/>
    <w:rsid w:val="007F5E78"/>
    <w:rsid w:val="007F5F2E"/>
    <w:rsid w:val="007F631E"/>
    <w:rsid w:val="007F6A61"/>
    <w:rsid w:val="007F6C52"/>
    <w:rsid w:val="007F6CDE"/>
    <w:rsid w:val="007F7320"/>
    <w:rsid w:val="007F7362"/>
    <w:rsid w:val="007F78ED"/>
    <w:rsid w:val="007F7BE9"/>
    <w:rsid w:val="007F7FE4"/>
    <w:rsid w:val="008002C3"/>
    <w:rsid w:val="00800375"/>
    <w:rsid w:val="00800C30"/>
    <w:rsid w:val="00800E54"/>
    <w:rsid w:val="00800F0B"/>
    <w:rsid w:val="00801AC6"/>
    <w:rsid w:val="00801B99"/>
    <w:rsid w:val="00801E06"/>
    <w:rsid w:val="00801F17"/>
    <w:rsid w:val="00802B98"/>
    <w:rsid w:val="00802F07"/>
    <w:rsid w:val="0080354C"/>
    <w:rsid w:val="00803A17"/>
    <w:rsid w:val="00803D24"/>
    <w:rsid w:val="00803F2D"/>
    <w:rsid w:val="00804ECF"/>
    <w:rsid w:val="008051D8"/>
    <w:rsid w:val="008053F4"/>
    <w:rsid w:val="00805534"/>
    <w:rsid w:val="00805B7D"/>
    <w:rsid w:val="00805DD6"/>
    <w:rsid w:val="00805E05"/>
    <w:rsid w:val="00805E0B"/>
    <w:rsid w:val="00805F02"/>
    <w:rsid w:val="0080663A"/>
    <w:rsid w:val="008066E4"/>
    <w:rsid w:val="00806810"/>
    <w:rsid w:val="008069C5"/>
    <w:rsid w:val="00806B78"/>
    <w:rsid w:val="00806C64"/>
    <w:rsid w:val="008072D6"/>
    <w:rsid w:val="008076C5"/>
    <w:rsid w:val="00807D25"/>
    <w:rsid w:val="008100CA"/>
    <w:rsid w:val="0081089F"/>
    <w:rsid w:val="00810F51"/>
    <w:rsid w:val="008110AE"/>
    <w:rsid w:val="008117CE"/>
    <w:rsid w:val="00811C32"/>
    <w:rsid w:val="00811C50"/>
    <w:rsid w:val="00812030"/>
    <w:rsid w:val="00812209"/>
    <w:rsid w:val="008126A8"/>
    <w:rsid w:val="00812839"/>
    <w:rsid w:val="00812952"/>
    <w:rsid w:val="00812BBE"/>
    <w:rsid w:val="00812F4B"/>
    <w:rsid w:val="0081352B"/>
    <w:rsid w:val="00813FBE"/>
    <w:rsid w:val="008140B6"/>
    <w:rsid w:val="008140CF"/>
    <w:rsid w:val="00814331"/>
    <w:rsid w:val="008150E7"/>
    <w:rsid w:val="008151C5"/>
    <w:rsid w:val="008151C9"/>
    <w:rsid w:val="0081524D"/>
    <w:rsid w:val="008161F3"/>
    <w:rsid w:val="0081623E"/>
    <w:rsid w:val="00816344"/>
    <w:rsid w:val="00816595"/>
    <w:rsid w:val="00816D98"/>
    <w:rsid w:val="00817AF4"/>
    <w:rsid w:val="00817E60"/>
    <w:rsid w:val="00817F16"/>
    <w:rsid w:val="0082053C"/>
    <w:rsid w:val="00820601"/>
    <w:rsid w:val="00820DD9"/>
    <w:rsid w:val="00821155"/>
    <w:rsid w:val="00821227"/>
    <w:rsid w:val="00821568"/>
    <w:rsid w:val="0082169D"/>
    <w:rsid w:val="00821971"/>
    <w:rsid w:val="00822060"/>
    <w:rsid w:val="0082229B"/>
    <w:rsid w:val="008224A3"/>
    <w:rsid w:val="0082283E"/>
    <w:rsid w:val="0082290E"/>
    <w:rsid w:val="00822B86"/>
    <w:rsid w:val="00822C82"/>
    <w:rsid w:val="0082310D"/>
    <w:rsid w:val="0082328C"/>
    <w:rsid w:val="0082393F"/>
    <w:rsid w:val="00824069"/>
    <w:rsid w:val="0082443D"/>
    <w:rsid w:val="008245D9"/>
    <w:rsid w:val="00824680"/>
    <w:rsid w:val="0082514E"/>
    <w:rsid w:val="008251C0"/>
    <w:rsid w:val="008258FD"/>
    <w:rsid w:val="00826048"/>
    <w:rsid w:val="00826155"/>
    <w:rsid w:val="00826A2B"/>
    <w:rsid w:val="00826C75"/>
    <w:rsid w:val="008270F4"/>
    <w:rsid w:val="008271C7"/>
    <w:rsid w:val="008278C4"/>
    <w:rsid w:val="00827D4F"/>
    <w:rsid w:val="00827DBF"/>
    <w:rsid w:val="008305AB"/>
    <w:rsid w:val="00830BD7"/>
    <w:rsid w:val="008310D5"/>
    <w:rsid w:val="00831378"/>
    <w:rsid w:val="008316AC"/>
    <w:rsid w:val="008316D3"/>
    <w:rsid w:val="00831943"/>
    <w:rsid w:val="00831995"/>
    <w:rsid w:val="00831F3E"/>
    <w:rsid w:val="008326B8"/>
    <w:rsid w:val="00832FD3"/>
    <w:rsid w:val="008339DB"/>
    <w:rsid w:val="00833C3D"/>
    <w:rsid w:val="00833E43"/>
    <w:rsid w:val="00834495"/>
    <w:rsid w:val="008347B2"/>
    <w:rsid w:val="00834C54"/>
    <w:rsid w:val="008355F2"/>
    <w:rsid w:val="00835729"/>
    <w:rsid w:val="00835766"/>
    <w:rsid w:val="00835DB6"/>
    <w:rsid w:val="00836227"/>
    <w:rsid w:val="0083626B"/>
    <w:rsid w:val="008364F4"/>
    <w:rsid w:val="00836F11"/>
    <w:rsid w:val="008376AC"/>
    <w:rsid w:val="008379AE"/>
    <w:rsid w:val="00837AB6"/>
    <w:rsid w:val="0084018D"/>
    <w:rsid w:val="00840D46"/>
    <w:rsid w:val="00840DF3"/>
    <w:rsid w:val="008414DC"/>
    <w:rsid w:val="008415EF"/>
    <w:rsid w:val="00841840"/>
    <w:rsid w:val="00841F12"/>
    <w:rsid w:val="0084210C"/>
    <w:rsid w:val="0084268C"/>
    <w:rsid w:val="00842F7C"/>
    <w:rsid w:val="008435BD"/>
    <w:rsid w:val="0084367A"/>
    <w:rsid w:val="00843A12"/>
    <w:rsid w:val="00843EF5"/>
    <w:rsid w:val="00844366"/>
    <w:rsid w:val="008448AC"/>
    <w:rsid w:val="00844BB3"/>
    <w:rsid w:val="00844D7F"/>
    <w:rsid w:val="00844DD0"/>
    <w:rsid w:val="008450D5"/>
    <w:rsid w:val="008452BF"/>
    <w:rsid w:val="00845364"/>
    <w:rsid w:val="008453CA"/>
    <w:rsid w:val="00845730"/>
    <w:rsid w:val="00845881"/>
    <w:rsid w:val="0084588C"/>
    <w:rsid w:val="0084590C"/>
    <w:rsid w:val="00845B70"/>
    <w:rsid w:val="00846621"/>
    <w:rsid w:val="008468E4"/>
    <w:rsid w:val="00846BCB"/>
    <w:rsid w:val="00846C95"/>
    <w:rsid w:val="00846EBE"/>
    <w:rsid w:val="00846FDD"/>
    <w:rsid w:val="0084704E"/>
    <w:rsid w:val="0084712C"/>
    <w:rsid w:val="0084719F"/>
    <w:rsid w:val="00847598"/>
    <w:rsid w:val="00847915"/>
    <w:rsid w:val="0085025B"/>
    <w:rsid w:val="008504CB"/>
    <w:rsid w:val="00850ECD"/>
    <w:rsid w:val="00850EDC"/>
    <w:rsid w:val="0085137A"/>
    <w:rsid w:val="008516FC"/>
    <w:rsid w:val="0085172C"/>
    <w:rsid w:val="00851957"/>
    <w:rsid w:val="008519F0"/>
    <w:rsid w:val="00851A2D"/>
    <w:rsid w:val="00851EAD"/>
    <w:rsid w:val="0085202C"/>
    <w:rsid w:val="00852136"/>
    <w:rsid w:val="008521B0"/>
    <w:rsid w:val="00852979"/>
    <w:rsid w:val="008530FC"/>
    <w:rsid w:val="008531C8"/>
    <w:rsid w:val="008536BD"/>
    <w:rsid w:val="00853ACE"/>
    <w:rsid w:val="00853EC7"/>
    <w:rsid w:val="00854019"/>
    <w:rsid w:val="0085440F"/>
    <w:rsid w:val="0085492D"/>
    <w:rsid w:val="00854F9A"/>
    <w:rsid w:val="008553AC"/>
    <w:rsid w:val="008553B3"/>
    <w:rsid w:val="00855C95"/>
    <w:rsid w:val="00855F89"/>
    <w:rsid w:val="0085610C"/>
    <w:rsid w:val="00856162"/>
    <w:rsid w:val="00856783"/>
    <w:rsid w:val="00856846"/>
    <w:rsid w:val="00856DD2"/>
    <w:rsid w:val="00856E1C"/>
    <w:rsid w:val="00856E8F"/>
    <w:rsid w:val="00856EB5"/>
    <w:rsid w:val="0085711F"/>
    <w:rsid w:val="008578E5"/>
    <w:rsid w:val="0085791D"/>
    <w:rsid w:val="00857A6C"/>
    <w:rsid w:val="00860150"/>
    <w:rsid w:val="008606C9"/>
    <w:rsid w:val="00860FBF"/>
    <w:rsid w:val="0086149F"/>
    <w:rsid w:val="00861878"/>
    <w:rsid w:val="008618CB"/>
    <w:rsid w:val="008620C6"/>
    <w:rsid w:val="008629DF"/>
    <w:rsid w:val="00862F4F"/>
    <w:rsid w:val="00862F65"/>
    <w:rsid w:val="00862FD9"/>
    <w:rsid w:val="0086314C"/>
    <w:rsid w:val="008632B1"/>
    <w:rsid w:val="0086345C"/>
    <w:rsid w:val="00863779"/>
    <w:rsid w:val="00863879"/>
    <w:rsid w:val="00863BA7"/>
    <w:rsid w:val="008641BE"/>
    <w:rsid w:val="00864428"/>
    <w:rsid w:val="00864794"/>
    <w:rsid w:val="00864879"/>
    <w:rsid w:val="0086488C"/>
    <w:rsid w:val="008648C4"/>
    <w:rsid w:val="00865419"/>
    <w:rsid w:val="00865707"/>
    <w:rsid w:val="008664D0"/>
    <w:rsid w:val="00866737"/>
    <w:rsid w:val="00866898"/>
    <w:rsid w:val="00866B21"/>
    <w:rsid w:val="00867153"/>
    <w:rsid w:val="008702EF"/>
    <w:rsid w:val="008706B2"/>
    <w:rsid w:val="00870898"/>
    <w:rsid w:val="00871760"/>
    <w:rsid w:val="008717E6"/>
    <w:rsid w:val="00871D79"/>
    <w:rsid w:val="00871F55"/>
    <w:rsid w:val="0087231E"/>
    <w:rsid w:val="008724ED"/>
    <w:rsid w:val="0087297D"/>
    <w:rsid w:val="00872BC1"/>
    <w:rsid w:val="00873A15"/>
    <w:rsid w:val="00874000"/>
    <w:rsid w:val="00875923"/>
    <w:rsid w:val="00876080"/>
    <w:rsid w:val="008769BD"/>
    <w:rsid w:val="00876A6B"/>
    <w:rsid w:val="00876D33"/>
    <w:rsid w:val="00877924"/>
    <w:rsid w:val="00877A51"/>
    <w:rsid w:val="00877C2C"/>
    <w:rsid w:val="00880186"/>
    <w:rsid w:val="00880221"/>
    <w:rsid w:val="0088034C"/>
    <w:rsid w:val="00880B31"/>
    <w:rsid w:val="00880D5C"/>
    <w:rsid w:val="0088111A"/>
    <w:rsid w:val="00881353"/>
    <w:rsid w:val="0088185C"/>
    <w:rsid w:val="00883179"/>
    <w:rsid w:val="00883732"/>
    <w:rsid w:val="008837D0"/>
    <w:rsid w:val="00883B62"/>
    <w:rsid w:val="0088402D"/>
    <w:rsid w:val="00884112"/>
    <w:rsid w:val="008842AE"/>
    <w:rsid w:val="00884B8C"/>
    <w:rsid w:val="00884CD6"/>
    <w:rsid w:val="00884D0B"/>
    <w:rsid w:val="00884E83"/>
    <w:rsid w:val="0088566A"/>
    <w:rsid w:val="0088597C"/>
    <w:rsid w:val="00885F60"/>
    <w:rsid w:val="0088668C"/>
    <w:rsid w:val="008869BC"/>
    <w:rsid w:val="00886F7E"/>
    <w:rsid w:val="0088721D"/>
    <w:rsid w:val="008872A3"/>
    <w:rsid w:val="00887D68"/>
    <w:rsid w:val="00887EFC"/>
    <w:rsid w:val="00890074"/>
    <w:rsid w:val="008902DD"/>
    <w:rsid w:val="008902E3"/>
    <w:rsid w:val="0089085F"/>
    <w:rsid w:val="00890B78"/>
    <w:rsid w:val="00890DDA"/>
    <w:rsid w:val="008911E1"/>
    <w:rsid w:val="008919E3"/>
    <w:rsid w:val="00891AEE"/>
    <w:rsid w:val="008920D9"/>
    <w:rsid w:val="008929B3"/>
    <w:rsid w:val="00892A02"/>
    <w:rsid w:val="00892B19"/>
    <w:rsid w:val="0089337B"/>
    <w:rsid w:val="008937DB"/>
    <w:rsid w:val="008937DC"/>
    <w:rsid w:val="008939B6"/>
    <w:rsid w:val="00893C80"/>
    <w:rsid w:val="00893DF0"/>
    <w:rsid w:val="00894060"/>
    <w:rsid w:val="008941CC"/>
    <w:rsid w:val="008945C7"/>
    <w:rsid w:val="008947A7"/>
    <w:rsid w:val="00894962"/>
    <w:rsid w:val="00894C08"/>
    <w:rsid w:val="008953F8"/>
    <w:rsid w:val="008956E0"/>
    <w:rsid w:val="00895982"/>
    <w:rsid w:val="008965E7"/>
    <w:rsid w:val="008966B7"/>
    <w:rsid w:val="00896AA6"/>
    <w:rsid w:val="00896AAE"/>
    <w:rsid w:val="00896EA0"/>
    <w:rsid w:val="00896F36"/>
    <w:rsid w:val="008972C5"/>
    <w:rsid w:val="008975D3"/>
    <w:rsid w:val="0089784A"/>
    <w:rsid w:val="00897C99"/>
    <w:rsid w:val="00897F0D"/>
    <w:rsid w:val="008A0944"/>
    <w:rsid w:val="008A0F1E"/>
    <w:rsid w:val="008A147A"/>
    <w:rsid w:val="008A17BB"/>
    <w:rsid w:val="008A17EE"/>
    <w:rsid w:val="008A1A04"/>
    <w:rsid w:val="008A1ACF"/>
    <w:rsid w:val="008A1E8E"/>
    <w:rsid w:val="008A20EA"/>
    <w:rsid w:val="008A23C3"/>
    <w:rsid w:val="008A2603"/>
    <w:rsid w:val="008A393B"/>
    <w:rsid w:val="008A3AB6"/>
    <w:rsid w:val="008A3FEC"/>
    <w:rsid w:val="008A47A1"/>
    <w:rsid w:val="008A489B"/>
    <w:rsid w:val="008A4A55"/>
    <w:rsid w:val="008A5004"/>
    <w:rsid w:val="008A5076"/>
    <w:rsid w:val="008A535F"/>
    <w:rsid w:val="008A53F0"/>
    <w:rsid w:val="008A5A62"/>
    <w:rsid w:val="008A5D53"/>
    <w:rsid w:val="008A60DA"/>
    <w:rsid w:val="008A6225"/>
    <w:rsid w:val="008A6355"/>
    <w:rsid w:val="008A6938"/>
    <w:rsid w:val="008A6968"/>
    <w:rsid w:val="008A6BCB"/>
    <w:rsid w:val="008A6E8A"/>
    <w:rsid w:val="008A7253"/>
    <w:rsid w:val="008A727D"/>
    <w:rsid w:val="008A747D"/>
    <w:rsid w:val="008A7BF5"/>
    <w:rsid w:val="008A7D4E"/>
    <w:rsid w:val="008B090A"/>
    <w:rsid w:val="008B0F1A"/>
    <w:rsid w:val="008B101B"/>
    <w:rsid w:val="008B10C2"/>
    <w:rsid w:val="008B19A5"/>
    <w:rsid w:val="008B1B19"/>
    <w:rsid w:val="008B2168"/>
    <w:rsid w:val="008B2212"/>
    <w:rsid w:val="008B2426"/>
    <w:rsid w:val="008B28E8"/>
    <w:rsid w:val="008B305E"/>
    <w:rsid w:val="008B3826"/>
    <w:rsid w:val="008B3877"/>
    <w:rsid w:val="008B3B12"/>
    <w:rsid w:val="008B4094"/>
    <w:rsid w:val="008B460C"/>
    <w:rsid w:val="008B481D"/>
    <w:rsid w:val="008B5214"/>
    <w:rsid w:val="008B5336"/>
    <w:rsid w:val="008B5A06"/>
    <w:rsid w:val="008B5DDA"/>
    <w:rsid w:val="008B5F7D"/>
    <w:rsid w:val="008B6167"/>
    <w:rsid w:val="008B6406"/>
    <w:rsid w:val="008B6430"/>
    <w:rsid w:val="008B64E7"/>
    <w:rsid w:val="008B6620"/>
    <w:rsid w:val="008B68AA"/>
    <w:rsid w:val="008B6E87"/>
    <w:rsid w:val="008B739E"/>
    <w:rsid w:val="008B7461"/>
    <w:rsid w:val="008B74B2"/>
    <w:rsid w:val="008B76C0"/>
    <w:rsid w:val="008B79B5"/>
    <w:rsid w:val="008C0181"/>
    <w:rsid w:val="008C022E"/>
    <w:rsid w:val="008C0864"/>
    <w:rsid w:val="008C0A53"/>
    <w:rsid w:val="008C0B60"/>
    <w:rsid w:val="008C1FB7"/>
    <w:rsid w:val="008C211D"/>
    <w:rsid w:val="008C2F0D"/>
    <w:rsid w:val="008C31F6"/>
    <w:rsid w:val="008C35C2"/>
    <w:rsid w:val="008C3613"/>
    <w:rsid w:val="008C3879"/>
    <w:rsid w:val="008C3A17"/>
    <w:rsid w:val="008C415B"/>
    <w:rsid w:val="008C491A"/>
    <w:rsid w:val="008C4988"/>
    <w:rsid w:val="008C4A3B"/>
    <w:rsid w:val="008C4A8C"/>
    <w:rsid w:val="008C5223"/>
    <w:rsid w:val="008C5314"/>
    <w:rsid w:val="008C578C"/>
    <w:rsid w:val="008C5875"/>
    <w:rsid w:val="008C5C90"/>
    <w:rsid w:val="008C5E9C"/>
    <w:rsid w:val="008C647C"/>
    <w:rsid w:val="008C65B8"/>
    <w:rsid w:val="008C673B"/>
    <w:rsid w:val="008C7126"/>
    <w:rsid w:val="008C73B1"/>
    <w:rsid w:val="008D00A2"/>
    <w:rsid w:val="008D0F39"/>
    <w:rsid w:val="008D13BB"/>
    <w:rsid w:val="008D1AB9"/>
    <w:rsid w:val="008D25BF"/>
    <w:rsid w:val="008D2641"/>
    <w:rsid w:val="008D2745"/>
    <w:rsid w:val="008D27C9"/>
    <w:rsid w:val="008D2983"/>
    <w:rsid w:val="008D2BFC"/>
    <w:rsid w:val="008D2E67"/>
    <w:rsid w:val="008D3400"/>
    <w:rsid w:val="008D379B"/>
    <w:rsid w:val="008D3E12"/>
    <w:rsid w:val="008D3E94"/>
    <w:rsid w:val="008D3FD1"/>
    <w:rsid w:val="008D4101"/>
    <w:rsid w:val="008D4BC4"/>
    <w:rsid w:val="008D4BDE"/>
    <w:rsid w:val="008D4F51"/>
    <w:rsid w:val="008D4F78"/>
    <w:rsid w:val="008D4F79"/>
    <w:rsid w:val="008D53D3"/>
    <w:rsid w:val="008D57EB"/>
    <w:rsid w:val="008D5F38"/>
    <w:rsid w:val="008D5FD7"/>
    <w:rsid w:val="008D605D"/>
    <w:rsid w:val="008D679A"/>
    <w:rsid w:val="008D71A0"/>
    <w:rsid w:val="008D744E"/>
    <w:rsid w:val="008D76DC"/>
    <w:rsid w:val="008D795E"/>
    <w:rsid w:val="008D7C1D"/>
    <w:rsid w:val="008D7D33"/>
    <w:rsid w:val="008D7F5E"/>
    <w:rsid w:val="008E01D8"/>
    <w:rsid w:val="008E0468"/>
    <w:rsid w:val="008E07AD"/>
    <w:rsid w:val="008E14C0"/>
    <w:rsid w:val="008E1C0B"/>
    <w:rsid w:val="008E30A2"/>
    <w:rsid w:val="008E35AC"/>
    <w:rsid w:val="008E362B"/>
    <w:rsid w:val="008E38CD"/>
    <w:rsid w:val="008E3E2C"/>
    <w:rsid w:val="008E44F4"/>
    <w:rsid w:val="008E477A"/>
    <w:rsid w:val="008E4B46"/>
    <w:rsid w:val="008E4CE3"/>
    <w:rsid w:val="008E5270"/>
    <w:rsid w:val="008E60A0"/>
    <w:rsid w:val="008E63A3"/>
    <w:rsid w:val="008E64B1"/>
    <w:rsid w:val="008E6506"/>
    <w:rsid w:val="008E6648"/>
    <w:rsid w:val="008E6AC6"/>
    <w:rsid w:val="008E748F"/>
    <w:rsid w:val="008E7631"/>
    <w:rsid w:val="008E7A70"/>
    <w:rsid w:val="008E7B3F"/>
    <w:rsid w:val="008E7C9D"/>
    <w:rsid w:val="008E7CEA"/>
    <w:rsid w:val="008F0082"/>
    <w:rsid w:val="008F0C0A"/>
    <w:rsid w:val="008F14D6"/>
    <w:rsid w:val="008F1736"/>
    <w:rsid w:val="008F1AC4"/>
    <w:rsid w:val="008F2B85"/>
    <w:rsid w:val="008F2E10"/>
    <w:rsid w:val="008F2EE4"/>
    <w:rsid w:val="008F327A"/>
    <w:rsid w:val="008F386F"/>
    <w:rsid w:val="008F3999"/>
    <w:rsid w:val="008F3B80"/>
    <w:rsid w:val="008F3F14"/>
    <w:rsid w:val="008F4091"/>
    <w:rsid w:val="008F40EE"/>
    <w:rsid w:val="008F41C8"/>
    <w:rsid w:val="008F4483"/>
    <w:rsid w:val="008F454D"/>
    <w:rsid w:val="008F468D"/>
    <w:rsid w:val="008F4F35"/>
    <w:rsid w:val="008F5FCE"/>
    <w:rsid w:val="008F6378"/>
    <w:rsid w:val="008F6A89"/>
    <w:rsid w:val="008F6DEC"/>
    <w:rsid w:val="008F70C9"/>
    <w:rsid w:val="008F71AF"/>
    <w:rsid w:val="008F7915"/>
    <w:rsid w:val="008F7D62"/>
    <w:rsid w:val="009001C1"/>
    <w:rsid w:val="009001D9"/>
    <w:rsid w:val="0090024F"/>
    <w:rsid w:val="00900428"/>
    <w:rsid w:val="009008BC"/>
    <w:rsid w:val="00901434"/>
    <w:rsid w:val="0090143F"/>
    <w:rsid w:val="00901B01"/>
    <w:rsid w:val="00901E14"/>
    <w:rsid w:val="00901EB1"/>
    <w:rsid w:val="00901EBB"/>
    <w:rsid w:val="00901F6C"/>
    <w:rsid w:val="00902086"/>
    <w:rsid w:val="00902209"/>
    <w:rsid w:val="00902EE7"/>
    <w:rsid w:val="00902FAD"/>
    <w:rsid w:val="0090301B"/>
    <w:rsid w:val="009030F3"/>
    <w:rsid w:val="009032F4"/>
    <w:rsid w:val="009037DE"/>
    <w:rsid w:val="00903A56"/>
    <w:rsid w:val="009045C2"/>
    <w:rsid w:val="00904701"/>
    <w:rsid w:val="0090491C"/>
    <w:rsid w:val="00904A0C"/>
    <w:rsid w:val="00904AF9"/>
    <w:rsid w:val="00904E5E"/>
    <w:rsid w:val="00905F48"/>
    <w:rsid w:val="0090626F"/>
    <w:rsid w:val="00906B88"/>
    <w:rsid w:val="0090708B"/>
    <w:rsid w:val="009071D5"/>
    <w:rsid w:val="009075A3"/>
    <w:rsid w:val="00907962"/>
    <w:rsid w:val="009103BE"/>
    <w:rsid w:val="00910982"/>
    <w:rsid w:val="009111F3"/>
    <w:rsid w:val="00911947"/>
    <w:rsid w:val="00911D9A"/>
    <w:rsid w:val="00912012"/>
    <w:rsid w:val="00912603"/>
    <w:rsid w:val="0091292C"/>
    <w:rsid w:val="0091295F"/>
    <w:rsid w:val="00912CD1"/>
    <w:rsid w:val="00912CEE"/>
    <w:rsid w:val="00913228"/>
    <w:rsid w:val="00913535"/>
    <w:rsid w:val="00913898"/>
    <w:rsid w:val="00913AF3"/>
    <w:rsid w:val="00913B5E"/>
    <w:rsid w:val="00913D26"/>
    <w:rsid w:val="00913FA0"/>
    <w:rsid w:val="00914076"/>
    <w:rsid w:val="0091415D"/>
    <w:rsid w:val="00914389"/>
    <w:rsid w:val="00914635"/>
    <w:rsid w:val="00914CFA"/>
    <w:rsid w:val="009150DD"/>
    <w:rsid w:val="009151FA"/>
    <w:rsid w:val="009152EF"/>
    <w:rsid w:val="00915437"/>
    <w:rsid w:val="009156B5"/>
    <w:rsid w:val="0091577B"/>
    <w:rsid w:val="00915E31"/>
    <w:rsid w:val="0091615F"/>
    <w:rsid w:val="00916943"/>
    <w:rsid w:val="00917924"/>
    <w:rsid w:val="00917B59"/>
    <w:rsid w:val="00917C92"/>
    <w:rsid w:val="00917D6C"/>
    <w:rsid w:val="009202B8"/>
    <w:rsid w:val="00920750"/>
    <w:rsid w:val="00921009"/>
    <w:rsid w:val="009211AB"/>
    <w:rsid w:val="00921870"/>
    <w:rsid w:val="00921A6D"/>
    <w:rsid w:val="00921F11"/>
    <w:rsid w:val="009224A6"/>
    <w:rsid w:val="00922F06"/>
    <w:rsid w:val="0092332D"/>
    <w:rsid w:val="00923455"/>
    <w:rsid w:val="009236CC"/>
    <w:rsid w:val="0092388F"/>
    <w:rsid w:val="00923DED"/>
    <w:rsid w:val="00924015"/>
    <w:rsid w:val="0092420F"/>
    <w:rsid w:val="0092421D"/>
    <w:rsid w:val="009246F3"/>
    <w:rsid w:val="00924AB4"/>
    <w:rsid w:val="00924C2A"/>
    <w:rsid w:val="00924CEF"/>
    <w:rsid w:val="00925245"/>
    <w:rsid w:val="00925550"/>
    <w:rsid w:val="00925646"/>
    <w:rsid w:val="009257F7"/>
    <w:rsid w:val="00925BAC"/>
    <w:rsid w:val="00925F35"/>
    <w:rsid w:val="009262EF"/>
    <w:rsid w:val="00926944"/>
    <w:rsid w:val="00926ADE"/>
    <w:rsid w:val="00926CB9"/>
    <w:rsid w:val="00926EF2"/>
    <w:rsid w:val="009277EE"/>
    <w:rsid w:val="00927A9D"/>
    <w:rsid w:val="00930024"/>
    <w:rsid w:val="0093039D"/>
    <w:rsid w:val="009309EC"/>
    <w:rsid w:val="00930E2B"/>
    <w:rsid w:val="009318E8"/>
    <w:rsid w:val="00931A03"/>
    <w:rsid w:val="00931ACE"/>
    <w:rsid w:val="00931D60"/>
    <w:rsid w:val="00931E1D"/>
    <w:rsid w:val="00931EE9"/>
    <w:rsid w:val="0093261C"/>
    <w:rsid w:val="009330ED"/>
    <w:rsid w:val="009330F0"/>
    <w:rsid w:val="00933384"/>
    <w:rsid w:val="0093376B"/>
    <w:rsid w:val="009340A0"/>
    <w:rsid w:val="0093416F"/>
    <w:rsid w:val="00934447"/>
    <w:rsid w:val="00934E34"/>
    <w:rsid w:val="00934EA4"/>
    <w:rsid w:val="009355BB"/>
    <w:rsid w:val="00935BDD"/>
    <w:rsid w:val="009365B1"/>
    <w:rsid w:val="00936B84"/>
    <w:rsid w:val="00936C39"/>
    <w:rsid w:val="00936DF6"/>
    <w:rsid w:val="00937384"/>
    <w:rsid w:val="00937E38"/>
    <w:rsid w:val="00940446"/>
    <w:rsid w:val="009409A8"/>
    <w:rsid w:val="00940A3E"/>
    <w:rsid w:val="009411E8"/>
    <w:rsid w:val="009412A3"/>
    <w:rsid w:val="009414D5"/>
    <w:rsid w:val="00941B96"/>
    <w:rsid w:val="00942558"/>
    <w:rsid w:val="00942AB6"/>
    <w:rsid w:val="00942ABA"/>
    <w:rsid w:val="00942C14"/>
    <w:rsid w:val="00942EEF"/>
    <w:rsid w:val="00942F5C"/>
    <w:rsid w:val="0094305B"/>
    <w:rsid w:val="00943279"/>
    <w:rsid w:val="0094333E"/>
    <w:rsid w:val="00943726"/>
    <w:rsid w:val="009438E4"/>
    <w:rsid w:val="00943C82"/>
    <w:rsid w:val="00943E6E"/>
    <w:rsid w:val="009443C7"/>
    <w:rsid w:val="00944ECF"/>
    <w:rsid w:val="0094537A"/>
    <w:rsid w:val="0094547B"/>
    <w:rsid w:val="00945956"/>
    <w:rsid w:val="00945A16"/>
    <w:rsid w:val="00945EB5"/>
    <w:rsid w:val="009460D3"/>
    <w:rsid w:val="00946203"/>
    <w:rsid w:val="00946B5D"/>
    <w:rsid w:val="00947C88"/>
    <w:rsid w:val="00947DB0"/>
    <w:rsid w:val="00947EA1"/>
    <w:rsid w:val="00947F93"/>
    <w:rsid w:val="00950240"/>
    <w:rsid w:val="0095076C"/>
    <w:rsid w:val="009508E5"/>
    <w:rsid w:val="009511DD"/>
    <w:rsid w:val="00951261"/>
    <w:rsid w:val="009512D6"/>
    <w:rsid w:val="00951EC5"/>
    <w:rsid w:val="009521B0"/>
    <w:rsid w:val="0095255E"/>
    <w:rsid w:val="009527E3"/>
    <w:rsid w:val="0095297A"/>
    <w:rsid w:val="009529B3"/>
    <w:rsid w:val="00952B96"/>
    <w:rsid w:val="00952CDB"/>
    <w:rsid w:val="00953170"/>
    <w:rsid w:val="00953294"/>
    <w:rsid w:val="009534D9"/>
    <w:rsid w:val="00953CA0"/>
    <w:rsid w:val="009542DD"/>
    <w:rsid w:val="0095499E"/>
    <w:rsid w:val="00954B7A"/>
    <w:rsid w:val="00955AE7"/>
    <w:rsid w:val="00955C33"/>
    <w:rsid w:val="00955DA4"/>
    <w:rsid w:val="00955F11"/>
    <w:rsid w:val="00956459"/>
    <w:rsid w:val="0095669B"/>
    <w:rsid w:val="00956AF6"/>
    <w:rsid w:val="00956DCA"/>
    <w:rsid w:val="00957381"/>
    <w:rsid w:val="00957560"/>
    <w:rsid w:val="00957646"/>
    <w:rsid w:val="00957815"/>
    <w:rsid w:val="0096027C"/>
    <w:rsid w:val="009603FF"/>
    <w:rsid w:val="009606B5"/>
    <w:rsid w:val="009607F8"/>
    <w:rsid w:val="009609CC"/>
    <w:rsid w:val="00960A26"/>
    <w:rsid w:val="00960AC6"/>
    <w:rsid w:val="00960C4C"/>
    <w:rsid w:val="0096100F"/>
    <w:rsid w:val="0096107C"/>
    <w:rsid w:val="009615B0"/>
    <w:rsid w:val="009615EE"/>
    <w:rsid w:val="0096176E"/>
    <w:rsid w:val="009618DF"/>
    <w:rsid w:val="009619FD"/>
    <w:rsid w:val="009620BF"/>
    <w:rsid w:val="009624D8"/>
    <w:rsid w:val="00962795"/>
    <w:rsid w:val="009629C5"/>
    <w:rsid w:val="00962CF9"/>
    <w:rsid w:val="00962D12"/>
    <w:rsid w:val="009632A0"/>
    <w:rsid w:val="00963404"/>
    <w:rsid w:val="009635F6"/>
    <w:rsid w:val="00963B5C"/>
    <w:rsid w:val="00963DD4"/>
    <w:rsid w:val="00964247"/>
    <w:rsid w:val="0096467C"/>
    <w:rsid w:val="00964A8B"/>
    <w:rsid w:val="00965182"/>
    <w:rsid w:val="00965232"/>
    <w:rsid w:val="00965A4D"/>
    <w:rsid w:val="00965C5F"/>
    <w:rsid w:val="009661DB"/>
    <w:rsid w:val="00966545"/>
    <w:rsid w:val="009665E7"/>
    <w:rsid w:val="0096668F"/>
    <w:rsid w:val="00966B64"/>
    <w:rsid w:val="00966C78"/>
    <w:rsid w:val="00966F0B"/>
    <w:rsid w:val="0096720B"/>
    <w:rsid w:val="0096726F"/>
    <w:rsid w:val="0096738D"/>
    <w:rsid w:val="0096751F"/>
    <w:rsid w:val="00967E0B"/>
    <w:rsid w:val="0097006E"/>
    <w:rsid w:val="0097068E"/>
    <w:rsid w:val="00970FAE"/>
    <w:rsid w:val="009718BF"/>
    <w:rsid w:val="00972881"/>
    <w:rsid w:val="00972986"/>
    <w:rsid w:val="00972A94"/>
    <w:rsid w:val="00973998"/>
    <w:rsid w:val="00973D61"/>
    <w:rsid w:val="00973D8E"/>
    <w:rsid w:val="00973FB8"/>
    <w:rsid w:val="0097401D"/>
    <w:rsid w:val="009743FF"/>
    <w:rsid w:val="0097449F"/>
    <w:rsid w:val="00974894"/>
    <w:rsid w:val="00974AD8"/>
    <w:rsid w:val="00974CA9"/>
    <w:rsid w:val="0097553B"/>
    <w:rsid w:val="00975AA0"/>
    <w:rsid w:val="00975AB5"/>
    <w:rsid w:val="00975E11"/>
    <w:rsid w:val="00976710"/>
    <w:rsid w:val="00976B83"/>
    <w:rsid w:val="0097763A"/>
    <w:rsid w:val="00977917"/>
    <w:rsid w:val="00977CC9"/>
    <w:rsid w:val="009800DD"/>
    <w:rsid w:val="0098015F"/>
    <w:rsid w:val="009802F4"/>
    <w:rsid w:val="00980754"/>
    <w:rsid w:val="00980857"/>
    <w:rsid w:val="00980CF9"/>
    <w:rsid w:val="009811B7"/>
    <w:rsid w:val="0098123A"/>
    <w:rsid w:val="009812B3"/>
    <w:rsid w:val="00981493"/>
    <w:rsid w:val="0098186E"/>
    <w:rsid w:val="00981B6D"/>
    <w:rsid w:val="00981CBC"/>
    <w:rsid w:val="00981F36"/>
    <w:rsid w:val="00983C91"/>
    <w:rsid w:val="00983E0A"/>
    <w:rsid w:val="009845FB"/>
    <w:rsid w:val="009847B5"/>
    <w:rsid w:val="00984C8A"/>
    <w:rsid w:val="00985008"/>
    <w:rsid w:val="0098695B"/>
    <w:rsid w:val="00986A0C"/>
    <w:rsid w:val="009871DC"/>
    <w:rsid w:val="0098724C"/>
    <w:rsid w:val="009872DC"/>
    <w:rsid w:val="00987E71"/>
    <w:rsid w:val="00987F72"/>
    <w:rsid w:val="00990468"/>
    <w:rsid w:val="009904BA"/>
    <w:rsid w:val="00990DC1"/>
    <w:rsid w:val="00990E12"/>
    <w:rsid w:val="00990F55"/>
    <w:rsid w:val="009913B2"/>
    <w:rsid w:val="00991522"/>
    <w:rsid w:val="00991D82"/>
    <w:rsid w:val="00991DCA"/>
    <w:rsid w:val="009923A9"/>
    <w:rsid w:val="00993C26"/>
    <w:rsid w:val="00993D7C"/>
    <w:rsid w:val="00993F88"/>
    <w:rsid w:val="00994646"/>
    <w:rsid w:val="00994C7D"/>
    <w:rsid w:val="00994D6E"/>
    <w:rsid w:val="00995354"/>
    <w:rsid w:val="00995638"/>
    <w:rsid w:val="0099567C"/>
    <w:rsid w:val="00995785"/>
    <w:rsid w:val="00996205"/>
    <w:rsid w:val="0099690B"/>
    <w:rsid w:val="00996D19"/>
    <w:rsid w:val="00996E75"/>
    <w:rsid w:val="00996E8A"/>
    <w:rsid w:val="00996F84"/>
    <w:rsid w:val="00997CE9"/>
    <w:rsid w:val="00997E5B"/>
    <w:rsid w:val="00997F5A"/>
    <w:rsid w:val="009A00AB"/>
    <w:rsid w:val="009A0910"/>
    <w:rsid w:val="009A09E3"/>
    <w:rsid w:val="009A12E1"/>
    <w:rsid w:val="009A15F7"/>
    <w:rsid w:val="009A1E6E"/>
    <w:rsid w:val="009A1EEA"/>
    <w:rsid w:val="009A23CB"/>
    <w:rsid w:val="009A2600"/>
    <w:rsid w:val="009A2AFF"/>
    <w:rsid w:val="009A2D9E"/>
    <w:rsid w:val="009A32A1"/>
    <w:rsid w:val="009A3441"/>
    <w:rsid w:val="009A388C"/>
    <w:rsid w:val="009A3992"/>
    <w:rsid w:val="009A3FD6"/>
    <w:rsid w:val="009A42F9"/>
    <w:rsid w:val="009A478A"/>
    <w:rsid w:val="009A47FF"/>
    <w:rsid w:val="009A530D"/>
    <w:rsid w:val="009A558A"/>
    <w:rsid w:val="009A5837"/>
    <w:rsid w:val="009A58E7"/>
    <w:rsid w:val="009A62C9"/>
    <w:rsid w:val="009A6391"/>
    <w:rsid w:val="009A65BC"/>
    <w:rsid w:val="009A68A1"/>
    <w:rsid w:val="009A6AA8"/>
    <w:rsid w:val="009A6C9C"/>
    <w:rsid w:val="009A6EA2"/>
    <w:rsid w:val="009A6F0F"/>
    <w:rsid w:val="009A6FD5"/>
    <w:rsid w:val="009A7C40"/>
    <w:rsid w:val="009A7F5F"/>
    <w:rsid w:val="009B04FB"/>
    <w:rsid w:val="009B07A9"/>
    <w:rsid w:val="009B0CF1"/>
    <w:rsid w:val="009B0EFB"/>
    <w:rsid w:val="009B1143"/>
    <w:rsid w:val="009B15B8"/>
    <w:rsid w:val="009B1F2D"/>
    <w:rsid w:val="009B221B"/>
    <w:rsid w:val="009B2A34"/>
    <w:rsid w:val="009B2E8D"/>
    <w:rsid w:val="009B327D"/>
    <w:rsid w:val="009B38F9"/>
    <w:rsid w:val="009B3AFB"/>
    <w:rsid w:val="009B4010"/>
    <w:rsid w:val="009B40E9"/>
    <w:rsid w:val="009B421D"/>
    <w:rsid w:val="009B493F"/>
    <w:rsid w:val="009B4AEF"/>
    <w:rsid w:val="009B54D5"/>
    <w:rsid w:val="009B6377"/>
    <w:rsid w:val="009B67B8"/>
    <w:rsid w:val="009B6BB1"/>
    <w:rsid w:val="009B6C96"/>
    <w:rsid w:val="009B6F3F"/>
    <w:rsid w:val="009B6F7F"/>
    <w:rsid w:val="009B720B"/>
    <w:rsid w:val="009B7571"/>
    <w:rsid w:val="009B78DA"/>
    <w:rsid w:val="009C0950"/>
    <w:rsid w:val="009C09D7"/>
    <w:rsid w:val="009C0A56"/>
    <w:rsid w:val="009C1652"/>
    <w:rsid w:val="009C1EE0"/>
    <w:rsid w:val="009C2039"/>
    <w:rsid w:val="009C20B9"/>
    <w:rsid w:val="009C2201"/>
    <w:rsid w:val="009C2553"/>
    <w:rsid w:val="009C2662"/>
    <w:rsid w:val="009C2BEE"/>
    <w:rsid w:val="009C2FAD"/>
    <w:rsid w:val="009C2FEF"/>
    <w:rsid w:val="009C330B"/>
    <w:rsid w:val="009C3BAA"/>
    <w:rsid w:val="009C3C3B"/>
    <w:rsid w:val="009C3C4F"/>
    <w:rsid w:val="009C4652"/>
    <w:rsid w:val="009C4933"/>
    <w:rsid w:val="009C4AD4"/>
    <w:rsid w:val="009C4FE4"/>
    <w:rsid w:val="009C52E6"/>
    <w:rsid w:val="009C552B"/>
    <w:rsid w:val="009C5A52"/>
    <w:rsid w:val="009C5C14"/>
    <w:rsid w:val="009C5FDE"/>
    <w:rsid w:val="009C62CE"/>
    <w:rsid w:val="009C62FD"/>
    <w:rsid w:val="009C68D7"/>
    <w:rsid w:val="009C6B4D"/>
    <w:rsid w:val="009C74F2"/>
    <w:rsid w:val="009C782F"/>
    <w:rsid w:val="009C7A86"/>
    <w:rsid w:val="009D01C7"/>
    <w:rsid w:val="009D0209"/>
    <w:rsid w:val="009D073E"/>
    <w:rsid w:val="009D0972"/>
    <w:rsid w:val="009D097B"/>
    <w:rsid w:val="009D0C3F"/>
    <w:rsid w:val="009D0F4B"/>
    <w:rsid w:val="009D1479"/>
    <w:rsid w:val="009D1484"/>
    <w:rsid w:val="009D1584"/>
    <w:rsid w:val="009D1DB3"/>
    <w:rsid w:val="009D2379"/>
    <w:rsid w:val="009D280E"/>
    <w:rsid w:val="009D2905"/>
    <w:rsid w:val="009D29F8"/>
    <w:rsid w:val="009D30C6"/>
    <w:rsid w:val="009D32BB"/>
    <w:rsid w:val="009D33AA"/>
    <w:rsid w:val="009D3632"/>
    <w:rsid w:val="009D3A8F"/>
    <w:rsid w:val="009D4172"/>
    <w:rsid w:val="009D496F"/>
    <w:rsid w:val="009D4E1F"/>
    <w:rsid w:val="009D4F24"/>
    <w:rsid w:val="009D52A8"/>
    <w:rsid w:val="009D5717"/>
    <w:rsid w:val="009D58BA"/>
    <w:rsid w:val="009D5D60"/>
    <w:rsid w:val="009D61A8"/>
    <w:rsid w:val="009D65BF"/>
    <w:rsid w:val="009D68EA"/>
    <w:rsid w:val="009D6C13"/>
    <w:rsid w:val="009D6E9E"/>
    <w:rsid w:val="009D7132"/>
    <w:rsid w:val="009D7624"/>
    <w:rsid w:val="009D7847"/>
    <w:rsid w:val="009D7998"/>
    <w:rsid w:val="009E09EE"/>
    <w:rsid w:val="009E11AA"/>
    <w:rsid w:val="009E18B7"/>
    <w:rsid w:val="009E1CF6"/>
    <w:rsid w:val="009E1FDD"/>
    <w:rsid w:val="009E211C"/>
    <w:rsid w:val="009E2748"/>
    <w:rsid w:val="009E32E9"/>
    <w:rsid w:val="009E387A"/>
    <w:rsid w:val="009E3AA3"/>
    <w:rsid w:val="009E3F6C"/>
    <w:rsid w:val="009E4331"/>
    <w:rsid w:val="009E458E"/>
    <w:rsid w:val="009E4709"/>
    <w:rsid w:val="009E4A05"/>
    <w:rsid w:val="009E4AD6"/>
    <w:rsid w:val="009E4DB8"/>
    <w:rsid w:val="009E52C4"/>
    <w:rsid w:val="009E5300"/>
    <w:rsid w:val="009E5329"/>
    <w:rsid w:val="009E5F7D"/>
    <w:rsid w:val="009E7003"/>
    <w:rsid w:val="009E7057"/>
    <w:rsid w:val="009E7D43"/>
    <w:rsid w:val="009E7E49"/>
    <w:rsid w:val="009E7F34"/>
    <w:rsid w:val="009F049F"/>
    <w:rsid w:val="009F0C63"/>
    <w:rsid w:val="009F0DB6"/>
    <w:rsid w:val="009F1A7C"/>
    <w:rsid w:val="009F1E21"/>
    <w:rsid w:val="009F216A"/>
    <w:rsid w:val="009F21E2"/>
    <w:rsid w:val="009F26C5"/>
    <w:rsid w:val="009F26CB"/>
    <w:rsid w:val="009F36BD"/>
    <w:rsid w:val="009F36C2"/>
    <w:rsid w:val="009F379A"/>
    <w:rsid w:val="009F3FE6"/>
    <w:rsid w:val="009F4783"/>
    <w:rsid w:val="009F4C39"/>
    <w:rsid w:val="009F5076"/>
    <w:rsid w:val="009F51E7"/>
    <w:rsid w:val="009F5409"/>
    <w:rsid w:val="009F549A"/>
    <w:rsid w:val="009F6255"/>
    <w:rsid w:val="009F7246"/>
    <w:rsid w:val="009F7643"/>
    <w:rsid w:val="009F7EA3"/>
    <w:rsid w:val="00A000F7"/>
    <w:rsid w:val="00A00C3C"/>
    <w:rsid w:val="00A0142C"/>
    <w:rsid w:val="00A0156B"/>
    <w:rsid w:val="00A018C1"/>
    <w:rsid w:val="00A0193B"/>
    <w:rsid w:val="00A01F57"/>
    <w:rsid w:val="00A022B8"/>
    <w:rsid w:val="00A02C2D"/>
    <w:rsid w:val="00A03591"/>
    <w:rsid w:val="00A03891"/>
    <w:rsid w:val="00A0395D"/>
    <w:rsid w:val="00A03BD7"/>
    <w:rsid w:val="00A03DFB"/>
    <w:rsid w:val="00A04409"/>
    <w:rsid w:val="00A04499"/>
    <w:rsid w:val="00A046C7"/>
    <w:rsid w:val="00A04DBD"/>
    <w:rsid w:val="00A0566E"/>
    <w:rsid w:val="00A056E8"/>
    <w:rsid w:val="00A05FAC"/>
    <w:rsid w:val="00A060B6"/>
    <w:rsid w:val="00A06194"/>
    <w:rsid w:val="00A06239"/>
    <w:rsid w:val="00A06E5B"/>
    <w:rsid w:val="00A07155"/>
    <w:rsid w:val="00A073BA"/>
    <w:rsid w:val="00A076C7"/>
    <w:rsid w:val="00A11245"/>
    <w:rsid w:val="00A1174A"/>
    <w:rsid w:val="00A11A3A"/>
    <w:rsid w:val="00A126FC"/>
    <w:rsid w:val="00A127EC"/>
    <w:rsid w:val="00A12E28"/>
    <w:rsid w:val="00A1331F"/>
    <w:rsid w:val="00A13C8E"/>
    <w:rsid w:val="00A13F04"/>
    <w:rsid w:val="00A1445B"/>
    <w:rsid w:val="00A145C0"/>
    <w:rsid w:val="00A1513E"/>
    <w:rsid w:val="00A154FF"/>
    <w:rsid w:val="00A15C3D"/>
    <w:rsid w:val="00A16B71"/>
    <w:rsid w:val="00A16F9F"/>
    <w:rsid w:val="00A179D7"/>
    <w:rsid w:val="00A17A72"/>
    <w:rsid w:val="00A17E6A"/>
    <w:rsid w:val="00A17F1B"/>
    <w:rsid w:val="00A202A4"/>
    <w:rsid w:val="00A203D4"/>
    <w:rsid w:val="00A20B22"/>
    <w:rsid w:val="00A20E73"/>
    <w:rsid w:val="00A20EFB"/>
    <w:rsid w:val="00A20F7C"/>
    <w:rsid w:val="00A215B2"/>
    <w:rsid w:val="00A219E1"/>
    <w:rsid w:val="00A21AF6"/>
    <w:rsid w:val="00A21B0A"/>
    <w:rsid w:val="00A21B7C"/>
    <w:rsid w:val="00A222EA"/>
    <w:rsid w:val="00A2272B"/>
    <w:rsid w:val="00A22782"/>
    <w:rsid w:val="00A2290A"/>
    <w:rsid w:val="00A22F10"/>
    <w:rsid w:val="00A2308C"/>
    <w:rsid w:val="00A236C6"/>
    <w:rsid w:val="00A2393A"/>
    <w:rsid w:val="00A23975"/>
    <w:rsid w:val="00A2397A"/>
    <w:rsid w:val="00A23CC7"/>
    <w:rsid w:val="00A23D65"/>
    <w:rsid w:val="00A24219"/>
    <w:rsid w:val="00A24499"/>
    <w:rsid w:val="00A24C2C"/>
    <w:rsid w:val="00A24F14"/>
    <w:rsid w:val="00A2668E"/>
    <w:rsid w:val="00A274BB"/>
    <w:rsid w:val="00A27964"/>
    <w:rsid w:val="00A27AFF"/>
    <w:rsid w:val="00A27CD9"/>
    <w:rsid w:val="00A30282"/>
    <w:rsid w:val="00A3035B"/>
    <w:rsid w:val="00A30398"/>
    <w:rsid w:val="00A30642"/>
    <w:rsid w:val="00A30B0C"/>
    <w:rsid w:val="00A30B82"/>
    <w:rsid w:val="00A317DE"/>
    <w:rsid w:val="00A328E5"/>
    <w:rsid w:val="00A32A61"/>
    <w:rsid w:val="00A32B9F"/>
    <w:rsid w:val="00A335C8"/>
    <w:rsid w:val="00A33765"/>
    <w:rsid w:val="00A343D3"/>
    <w:rsid w:val="00A347B5"/>
    <w:rsid w:val="00A34A58"/>
    <w:rsid w:val="00A34C19"/>
    <w:rsid w:val="00A34DB2"/>
    <w:rsid w:val="00A352AA"/>
    <w:rsid w:val="00A3549E"/>
    <w:rsid w:val="00A35FBD"/>
    <w:rsid w:val="00A3610A"/>
    <w:rsid w:val="00A36234"/>
    <w:rsid w:val="00A3631A"/>
    <w:rsid w:val="00A3688D"/>
    <w:rsid w:val="00A36B30"/>
    <w:rsid w:val="00A36BCA"/>
    <w:rsid w:val="00A36CAB"/>
    <w:rsid w:val="00A36CC6"/>
    <w:rsid w:val="00A36DC5"/>
    <w:rsid w:val="00A36E17"/>
    <w:rsid w:val="00A36F75"/>
    <w:rsid w:val="00A37158"/>
    <w:rsid w:val="00A3718C"/>
    <w:rsid w:val="00A3749B"/>
    <w:rsid w:val="00A377B1"/>
    <w:rsid w:val="00A378B0"/>
    <w:rsid w:val="00A37E9C"/>
    <w:rsid w:val="00A4030C"/>
    <w:rsid w:val="00A403FA"/>
    <w:rsid w:val="00A404A7"/>
    <w:rsid w:val="00A40BD1"/>
    <w:rsid w:val="00A40C43"/>
    <w:rsid w:val="00A40E8F"/>
    <w:rsid w:val="00A40FA8"/>
    <w:rsid w:val="00A410FF"/>
    <w:rsid w:val="00A414CC"/>
    <w:rsid w:val="00A417E1"/>
    <w:rsid w:val="00A41820"/>
    <w:rsid w:val="00A41B4C"/>
    <w:rsid w:val="00A41F6D"/>
    <w:rsid w:val="00A41FD4"/>
    <w:rsid w:val="00A41FEA"/>
    <w:rsid w:val="00A4251B"/>
    <w:rsid w:val="00A42942"/>
    <w:rsid w:val="00A42B45"/>
    <w:rsid w:val="00A42BE6"/>
    <w:rsid w:val="00A43023"/>
    <w:rsid w:val="00A43171"/>
    <w:rsid w:val="00A43BF5"/>
    <w:rsid w:val="00A44A63"/>
    <w:rsid w:val="00A451E2"/>
    <w:rsid w:val="00A45A3E"/>
    <w:rsid w:val="00A4694E"/>
    <w:rsid w:val="00A469CC"/>
    <w:rsid w:val="00A46B21"/>
    <w:rsid w:val="00A47B3D"/>
    <w:rsid w:val="00A47BA8"/>
    <w:rsid w:val="00A47CB9"/>
    <w:rsid w:val="00A47E4C"/>
    <w:rsid w:val="00A50CDA"/>
    <w:rsid w:val="00A50EC8"/>
    <w:rsid w:val="00A513A8"/>
    <w:rsid w:val="00A514A4"/>
    <w:rsid w:val="00A516B7"/>
    <w:rsid w:val="00A5177B"/>
    <w:rsid w:val="00A518CB"/>
    <w:rsid w:val="00A51ADE"/>
    <w:rsid w:val="00A51E2E"/>
    <w:rsid w:val="00A520D8"/>
    <w:rsid w:val="00A52737"/>
    <w:rsid w:val="00A52830"/>
    <w:rsid w:val="00A528F7"/>
    <w:rsid w:val="00A53A61"/>
    <w:rsid w:val="00A53E85"/>
    <w:rsid w:val="00A54697"/>
    <w:rsid w:val="00A54CD0"/>
    <w:rsid w:val="00A55161"/>
    <w:rsid w:val="00A553FD"/>
    <w:rsid w:val="00A55E3F"/>
    <w:rsid w:val="00A55FC3"/>
    <w:rsid w:val="00A56431"/>
    <w:rsid w:val="00A56685"/>
    <w:rsid w:val="00A56E91"/>
    <w:rsid w:val="00A57666"/>
    <w:rsid w:val="00A57B3E"/>
    <w:rsid w:val="00A6013D"/>
    <w:rsid w:val="00A604E5"/>
    <w:rsid w:val="00A6067E"/>
    <w:rsid w:val="00A61987"/>
    <w:rsid w:val="00A61E80"/>
    <w:rsid w:val="00A62EA6"/>
    <w:rsid w:val="00A62F55"/>
    <w:rsid w:val="00A631D3"/>
    <w:rsid w:val="00A6325A"/>
    <w:rsid w:val="00A64612"/>
    <w:rsid w:val="00A64727"/>
    <w:rsid w:val="00A6492A"/>
    <w:rsid w:val="00A65041"/>
    <w:rsid w:val="00A6528D"/>
    <w:rsid w:val="00A656CD"/>
    <w:rsid w:val="00A65BE8"/>
    <w:rsid w:val="00A65E76"/>
    <w:rsid w:val="00A66000"/>
    <w:rsid w:val="00A664F6"/>
    <w:rsid w:val="00A66758"/>
    <w:rsid w:val="00A66F09"/>
    <w:rsid w:val="00A6747E"/>
    <w:rsid w:val="00A6748A"/>
    <w:rsid w:val="00A67661"/>
    <w:rsid w:val="00A67808"/>
    <w:rsid w:val="00A678A0"/>
    <w:rsid w:val="00A67A59"/>
    <w:rsid w:val="00A67AA8"/>
    <w:rsid w:val="00A70286"/>
    <w:rsid w:val="00A70B90"/>
    <w:rsid w:val="00A70EF2"/>
    <w:rsid w:val="00A71075"/>
    <w:rsid w:val="00A7136E"/>
    <w:rsid w:val="00A713CD"/>
    <w:rsid w:val="00A717D8"/>
    <w:rsid w:val="00A71A0F"/>
    <w:rsid w:val="00A71DD0"/>
    <w:rsid w:val="00A7289D"/>
    <w:rsid w:val="00A72A75"/>
    <w:rsid w:val="00A73021"/>
    <w:rsid w:val="00A731FC"/>
    <w:rsid w:val="00A7345A"/>
    <w:rsid w:val="00A735A6"/>
    <w:rsid w:val="00A735A9"/>
    <w:rsid w:val="00A7381D"/>
    <w:rsid w:val="00A73E77"/>
    <w:rsid w:val="00A742EB"/>
    <w:rsid w:val="00A74494"/>
    <w:rsid w:val="00A746DB"/>
    <w:rsid w:val="00A74ECA"/>
    <w:rsid w:val="00A75E02"/>
    <w:rsid w:val="00A76031"/>
    <w:rsid w:val="00A76099"/>
    <w:rsid w:val="00A760A3"/>
    <w:rsid w:val="00A76128"/>
    <w:rsid w:val="00A76367"/>
    <w:rsid w:val="00A76F8B"/>
    <w:rsid w:val="00A77096"/>
    <w:rsid w:val="00A773D0"/>
    <w:rsid w:val="00A77C2F"/>
    <w:rsid w:val="00A77E04"/>
    <w:rsid w:val="00A807E0"/>
    <w:rsid w:val="00A812F5"/>
    <w:rsid w:val="00A81375"/>
    <w:rsid w:val="00A8151B"/>
    <w:rsid w:val="00A81CDD"/>
    <w:rsid w:val="00A81D22"/>
    <w:rsid w:val="00A81D44"/>
    <w:rsid w:val="00A81D47"/>
    <w:rsid w:val="00A81F44"/>
    <w:rsid w:val="00A82051"/>
    <w:rsid w:val="00A82286"/>
    <w:rsid w:val="00A8243C"/>
    <w:rsid w:val="00A826BC"/>
    <w:rsid w:val="00A8275F"/>
    <w:rsid w:val="00A82817"/>
    <w:rsid w:val="00A82D01"/>
    <w:rsid w:val="00A836C1"/>
    <w:rsid w:val="00A837BB"/>
    <w:rsid w:val="00A83E6B"/>
    <w:rsid w:val="00A84545"/>
    <w:rsid w:val="00A8481A"/>
    <w:rsid w:val="00A84A51"/>
    <w:rsid w:val="00A84B93"/>
    <w:rsid w:val="00A8501C"/>
    <w:rsid w:val="00A8529E"/>
    <w:rsid w:val="00A8548E"/>
    <w:rsid w:val="00A85B47"/>
    <w:rsid w:val="00A85BF6"/>
    <w:rsid w:val="00A85D59"/>
    <w:rsid w:val="00A8616D"/>
    <w:rsid w:val="00A86434"/>
    <w:rsid w:val="00A864D2"/>
    <w:rsid w:val="00A867A8"/>
    <w:rsid w:val="00A867FB"/>
    <w:rsid w:val="00A86D3A"/>
    <w:rsid w:val="00A87252"/>
    <w:rsid w:val="00A873AD"/>
    <w:rsid w:val="00A87509"/>
    <w:rsid w:val="00A87977"/>
    <w:rsid w:val="00A87C0A"/>
    <w:rsid w:val="00A87F49"/>
    <w:rsid w:val="00A87FB6"/>
    <w:rsid w:val="00A90015"/>
    <w:rsid w:val="00A90089"/>
    <w:rsid w:val="00A90587"/>
    <w:rsid w:val="00A9075C"/>
    <w:rsid w:val="00A90878"/>
    <w:rsid w:val="00A90B4E"/>
    <w:rsid w:val="00A91174"/>
    <w:rsid w:val="00A91C4C"/>
    <w:rsid w:val="00A91D8E"/>
    <w:rsid w:val="00A92034"/>
    <w:rsid w:val="00A92632"/>
    <w:rsid w:val="00A929E9"/>
    <w:rsid w:val="00A92AD9"/>
    <w:rsid w:val="00A92C7B"/>
    <w:rsid w:val="00A92C8C"/>
    <w:rsid w:val="00A930B9"/>
    <w:rsid w:val="00A937C1"/>
    <w:rsid w:val="00A93B0C"/>
    <w:rsid w:val="00A940C5"/>
    <w:rsid w:val="00A94124"/>
    <w:rsid w:val="00A946D4"/>
    <w:rsid w:val="00A94D48"/>
    <w:rsid w:val="00A95135"/>
    <w:rsid w:val="00A95703"/>
    <w:rsid w:val="00A95F7F"/>
    <w:rsid w:val="00A96277"/>
    <w:rsid w:val="00A967DB"/>
    <w:rsid w:val="00AA00B7"/>
    <w:rsid w:val="00AA016C"/>
    <w:rsid w:val="00AA0481"/>
    <w:rsid w:val="00AA0737"/>
    <w:rsid w:val="00AA09EE"/>
    <w:rsid w:val="00AA0C0B"/>
    <w:rsid w:val="00AA103B"/>
    <w:rsid w:val="00AA1101"/>
    <w:rsid w:val="00AA120B"/>
    <w:rsid w:val="00AA1511"/>
    <w:rsid w:val="00AA1658"/>
    <w:rsid w:val="00AA18FB"/>
    <w:rsid w:val="00AA1D43"/>
    <w:rsid w:val="00AA2470"/>
    <w:rsid w:val="00AA272C"/>
    <w:rsid w:val="00AA318B"/>
    <w:rsid w:val="00AA332D"/>
    <w:rsid w:val="00AA3363"/>
    <w:rsid w:val="00AA338B"/>
    <w:rsid w:val="00AA3682"/>
    <w:rsid w:val="00AA38A8"/>
    <w:rsid w:val="00AA3B42"/>
    <w:rsid w:val="00AA40D9"/>
    <w:rsid w:val="00AA4481"/>
    <w:rsid w:val="00AA46D8"/>
    <w:rsid w:val="00AA48A2"/>
    <w:rsid w:val="00AA48BD"/>
    <w:rsid w:val="00AA497E"/>
    <w:rsid w:val="00AA50A5"/>
    <w:rsid w:val="00AA5156"/>
    <w:rsid w:val="00AA550A"/>
    <w:rsid w:val="00AA5554"/>
    <w:rsid w:val="00AA5642"/>
    <w:rsid w:val="00AA5695"/>
    <w:rsid w:val="00AA56DE"/>
    <w:rsid w:val="00AA654D"/>
    <w:rsid w:val="00AA67C4"/>
    <w:rsid w:val="00AA697D"/>
    <w:rsid w:val="00AA69EF"/>
    <w:rsid w:val="00AA6E21"/>
    <w:rsid w:val="00AA71E1"/>
    <w:rsid w:val="00AA77F2"/>
    <w:rsid w:val="00AA78F2"/>
    <w:rsid w:val="00AB0109"/>
    <w:rsid w:val="00AB0629"/>
    <w:rsid w:val="00AB0A3D"/>
    <w:rsid w:val="00AB0DD7"/>
    <w:rsid w:val="00AB0F76"/>
    <w:rsid w:val="00AB14EC"/>
    <w:rsid w:val="00AB1AB8"/>
    <w:rsid w:val="00AB208F"/>
    <w:rsid w:val="00AB26B0"/>
    <w:rsid w:val="00AB28B4"/>
    <w:rsid w:val="00AB2E50"/>
    <w:rsid w:val="00AB30E0"/>
    <w:rsid w:val="00AB31DB"/>
    <w:rsid w:val="00AB34A7"/>
    <w:rsid w:val="00AB3C5B"/>
    <w:rsid w:val="00AB41B0"/>
    <w:rsid w:val="00AB4252"/>
    <w:rsid w:val="00AB4426"/>
    <w:rsid w:val="00AB457E"/>
    <w:rsid w:val="00AB4F93"/>
    <w:rsid w:val="00AB517F"/>
    <w:rsid w:val="00AB59E2"/>
    <w:rsid w:val="00AB5E4C"/>
    <w:rsid w:val="00AB5EFF"/>
    <w:rsid w:val="00AB612B"/>
    <w:rsid w:val="00AB617E"/>
    <w:rsid w:val="00AB6232"/>
    <w:rsid w:val="00AB6DC7"/>
    <w:rsid w:val="00AB75AF"/>
    <w:rsid w:val="00AB7663"/>
    <w:rsid w:val="00AB7721"/>
    <w:rsid w:val="00AB7AFC"/>
    <w:rsid w:val="00AC042F"/>
    <w:rsid w:val="00AC0F5D"/>
    <w:rsid w:val="00AC106C"/>
    <w:rsid w:val="00AC1294"/>
    <w:rsid w:val="00AC154F"/>
    <w:rsid w:val="00AC1C13"/>
    <w:rsid w:val="00AC2815"/>
    <w:rsid w:val="00AC2953"/>
    <w:rsid w:val="00AC31C2"/>
    <w:rsid w:val="00AC36C9"/>
    <w:rsid w:val="00AC3C45"/>
    <w:rsid w:val="00AC3CA3"/>
    <w:rsid w:val="00AC4380"/>
    <w:rsid w:val="00AC4F66"/>
    <w:rsid w:val="00AC501F"/>
    <w:rsid w:val="00AC5DE0"/>
    <w:rsid w:val="00AC5ED5"/>
    <w:rsid w:val="00AC6E29"/>
    <w:rsid w:val="00AC7C69"/>
    <w:rsid w:val="00AC7F0C"/>
    <w:rsid w:val="00AD0A98"/>
    <w:rsid w:val="00AD0AAA"/>
    <w:rsid w:val="00AD10E6"/>
    <w:rsid w:val="00AD1190"/>
    <w:rsid w:val="00AD1675"/>
    <w:rsid w:val="00AD19C3"/>
    <w:rsid w:val="00AD19F8"/>
    <w:rsid w:val="00AD30E8"/>
    <w:rsid w:val="00AD39BD"/>
    <w:rsid w:val="00AD3A50"/>
    <w:rsid w:val="00AD3E73"/>
    <w:rsid w:val="00AD3E7A"/>
    <w:rsid w:val="00AD401F"/>
    <w:rsid w:val="00AD4397"/>
    <w:rsid w:val="00AD4660"/>
    <w:rsid w:val="00AD4691"/>
    <w:rsid w:val="00AD4FCC"/>
    <w:rsid w:val="00AD60A1"/>
    <w:rsid w:val="00AD6402"/>
    <w:rsid w:val="00AD65F3"/>
    <w:rsid w:val="00AD6FC2"/>
    <w:rsid w:val="00AD71BD"/>
    <w:rsid w:val="00AD75CF"/>
    <w:rsid w:val="00AD7C91"/>
    <w:rsid w:val="00AE04F2"/>
    <w:rsid w:val="00AE0FA5"/>
    <w:rsid w:val="00AE1368"/>
    <w:rsid w:val="00AE15F5"/>
    <w:rsid w:val="00AE1ADD"/>
    <w:rsid w:val="00AE27FC"/>
    <w:rsid w:val="00AE281A"/>
    <w:rsid w:val="00AE2868"/>
    <w:rsid w:val="00AE31C9"/>
    <w:rsid w:val="00AE3253"/>
    <w:rsid w:val="00AE35BC"/>
    <w:rsid w:val="00AE35BD"/>
    <w:rsid w:val="00AE42C2"/>
    <w:rsid w:val="00AE4A80"/>
    <w:rsid w:val="00AE4BEE"/>
    <w:rsid w:val="00AE4D52"/>
    <w:rsid w:val="00AE4E5E"/>
    <w:rsid w:val="00AE5426"/>
    <w:rsid w:val="00AE55BD"/>
    <w:rsid w:val="00AE5C70"/>
    <w:rsid w:val="00AE60F7"/>
    <w:rsid w:val="00AE64C9"/>
    <w:rsid w:val="00AE65F7"/>
    <w:rsid w:val="00AE6698"/>
    <w:rsid w:val="00AE66B3"/>
    <w:rsid w:val="00AE69B7"/>
    <w:rsid w:val="00AE6EB4"/>
    <w:rsid w:val="00AE6EE9"/>
    <w:rsid w:val="00AE751E"/>
    <w:rsid w:val="00AE7656"/>
    <w:rsid w:val="00AE7B62"/>
    <w:rsid w:val="00AE7F84"/>
    <w:rsid w:val="00AF031B"/>
    <w:rsid w:val="00AF07B4"/>
    <w:rsid w:val="00AF083C"/>
    <w:rsid w:val="00AF1DCF"/>
    <w:rsid w:val="00AF1E17"/>
    <w:rsid w:val="00AF1E6B"/>
    <w:rsid w:val="00AF22FB"/>
    <w:rsid w:val="00AF2AD4"/>
    <w:rsid w:val="00AF2B84"/>
    <w:rsid w:val="00AF3150"/>
    <w:rsid w:val="00AF31DC"/>
    <w:rsid w:val="00AF3681"/>
    <w:rsid w:val="00AF37B9"/>
    <w:rsid w:val="00AF3EFC"/>
    <w:rsid w:val="00AF43BA"/>
    <w:rsid w:val="00AF5182"/>
    <w:rsid w:val="00AF5A09"/>
    <w:rsid w:val="00AF6925"/>
    <w:rsid w:val="00AF72A9"/>
    <w:rsid w:val="00AF7413"/>
    <w:rsid w:val="00B00475"/>
    <w:rsid w:val="00B004A5"/>
    <w:rsid w:val="00B0088D"/>
    <w:rsid w:val="00B008B8"/>
    <w:rsid w:val="00B00D07"/>
    <w:rsid w:val="00B00E1B"/>
    <w:rsid w:val="00B01926"/>
    <w:rsid w:val="00B0198F"/>
    <w:rsid w:val="00B01B01"/>
    <w:rsid w:val="00B025FC"/>
    <w:rsid w:val="00B028A5"/>
    <w:rsid w:val="00B033DD"/>
    <w:rsid w:val="00B036DF"/>
    <w:rsid w:val="00B03720"/>
    <w:rsid w:val="00B037E5"/>
    <w:rsid w:val="00B03842"/>
    <w:rsid w:val="00B0428E"/>
    <w:rsid w:val="00B04D99"/>
    <w:rsid w:val="00B04FEE"/>
    <w:rsid w:val="00B05123"/>
    <w:rsid w:val="00B05BB7"/>
    <w:rsid w:val="00B05DC2"/>
    <w:rsid w:val="00B05E3B"/>
    <w:rsid w:val="00B05F01"/>
    <w:rsid w:val="00B0698A"/>
    <w:rsid w:val="00B07FD1"/>
    <w:rsid w:val="00B07FF6"/>
    <w:rsid w:val="00B101D2"/>
    <w:rsid w:val="00B103BB"/>
    <w:rsid w:val="00B10745"/>
    <w:rsid w:val="00B10D3F"/>
    <w:rsid w:val="00B10EC0"/>
    <w:rsid w:val="00B10F03"/>
    <w:rsid w:val="00B11090"/>
    <w:rsid w:val="00B112FC"/>
    <w:rsid w:val="00B1143C"/>
    <w:rsid w:val="00B11495"/>
    <w:rsid w:val="00B114C3"/>
    <w:rsid w:val="00B117AC"/>
    <w:rsid w:val="00B117DB"/>
    <w:rsid w:val="00B117F0"/>
    <w:rsid w:val="00B1190E"/>
    <w:rsid w:val="00B11A86"/>
    <w:rsid w:val="00B125EB"/>
    <w:rsid w:val="00B12B3A"/>
    <w:rsid w:val="00B13236"/>
    <w:rsid w:val="00B13545"/>
    <w:rsid w:val="00B13CDF"/>
    <w:rsid w:val="00B144EB"/>
    <w:rsid w:val="00B1463F"/>
    <w:rsid w:val="00B14AEC"/>
    <w:rsid w:val="00B14F40"/>
    <w:rsid w:val="00B150B2"/>
    <w:rsid w:val="00B150F4"/>
    <w:rsid w:val="00B153B7"/>
    <w:rsid w:val="00B15652"/>
    <w:rsid w:val="00B159D7"/>
    <w:rsid w:val="00B15DCE"/>
    <w:rsid w:val="00B15FA5"/>
    <w:rsid w:val="00B15FF0"/>
    <w:rsid w:val="00B1646A"/>
    <w:rsid w:val="00B16864"/>
    <w:rsid w:val="00B16A10"/>
    <w:rsid w:val="00B16BC8"/>
    <w:rsid w:val="00B17578"/>
    <w:rsid w:val="00B175E9"/>
    <w:rsid w:val="00B178C8"/>
    <w:rsid w:val="00B20001"/>
    <w:rsid w:val="00B201C6"/>
    <w:rsid w:val="00B2053A"/>
    <w:rsid w:val="00B2079D"/>
    <w:rsid w:val="00B21048"/>
    <w:rsid w:val="00B21457"/>
    <w:rsid w:val="00B22373"/>
    <w:rsid w:val="00B223FE"/>
    <w:rsid w:val="00B22A18"/>
    <w:rsid w:val="00B22F4D"/>
    <w:rsid w:val="00B22FC8"/>
    <w:rsid w:val="00B2379C"/>
    <w:rsid w:val="00B24616"/>
    <w:rsid w:val="00B24664"/>
    <w:rsid w:val="00B24D77"/>
    <w:rsid w:val="00B24D8F"/>
    <w:rsid w:val="00B24FA7"/>
    <w:rsid w:val="00B252EF"/>
    <w:rsid w:val="00B25B8B"/>
    <w:rsid w:val="00B25E9A"/>
    <w:rsid w:val="00B26D41"/>
    <w:rsid w:val="00B26DE6"/>
    <w:rsid w:val="00B27071"/>
    <w:rsid w:val="00B272A4"/>
    <w:rsid w:val="00B27463"/>
    <w:rsid w:val="00B27699"/>
    <w:rsid w:val="00B277C3"/>
    <w:rsid w:val="00B2796D"/>
    <w:rsid w:val="00B304BC"/>
    <w:rsid w:val="00B3086A"/>
    <w:rsid w:val="00B30BE0"/>
    <w:rsid w:val="00B30C74"/>
    <w:rsid w:val="00B31406"/>
    <w:rsid w:val="00B31592"/>
    <w:rsid w:val="00B31A76"/>
    <w:rsid w:val="00B32185"/>
    <w:rsid w:val="00B325B3"/>
    <w:rsid w:val="00B332B0"/>
    <w:rsid w:val="00B338C8"/>
    <w:rsid w:val="00B33D2A"/>
    <w:rsid w:val="00B33D38"/>
    <w:rsid w:val="00B34611"/>
    <w:rsid w:val="00B3467D"/>
    <w:rsid w:val="00B3482D"/>
    <w:rsid w:val="00B34AE4"/>
    <w:rsid w:val="00B350A1"/>
    <w:rsid w:val="00B353BF"/>
    <w:rsid w:val="00B35B40"/>
    <w:rsid w:val="00B35B5D"/>
    <w:rsid w:val="00B35BC9"/>
    <w:rsid w:val="00B35BFB"/>
    <w:rsid w:val="00B361AC"/>
    <w:rsid w:val="00B3677C"/>
    <w:rsid w:val="00B3791C"/>
    <w:rsid w:val="00B37EB4"/>
    <w:rsid w:val="00B40125"/>
    <w:rsid w:val="00B4059B"/>
    <w:rsid w:val="00B40C21"/>
    <w:rsid w:val="00B4121B"/>
    <w:rsid w:val="00B420CA"/>
    <w:rsid w:val="00B42244"/>
    <w:rsid w:val="00B424D9"/>
    <w:rsid w:val="00B42538"/>
    <w:rsid w:val="00B4274B"/>
    <w:rsid w:val="00B42A45"/>
    <w:rsid w:val="00B42ACE"/>
    <w:rsid w:val="00B42F1E"/>
    <w:rsid w:val="00B42F60"/>
    <w:rsid w:val="00B43767"/>
    <w:rsid w:val="00B44138"/>
    <w:rsid w:val="00B44DE9"/>
    <w:rsid w:val="00B44E2A"/>
    <w:rsid w:val="00B44EB0"/>
    <w:rsid w:val="00B44F9D"/>
    <w:rsid w:val="00B465DF"/>
    <w:rsid w:val="00B46C0F"/>
    <w:rsid w:val="00B471FD"/>
    <w:rsid w:val="00B4760D"/>
    <w:rsid w:val="00B47AE3"/>
    <w:rsid w:val="00B503F9"/>
    <w:rsid w:val="00B50EBB"/>
    <w:rsid w:val="00B50F82"/>
    <w:rsid w:val="00B51604"/>
    <w:rsid w:val="00B51CD9"/>
    <w:rsid w:val="00B51F40"/>
    <w:rsid w:val="00B5204E"/>
    <w:rsid w:val="00B52B3C"/>
    <w:rsid w:val="00B52E3F"/>
    <w:rsid w:val="00B532EC"/>
    <w:rsid w:val="00B534CE"/>
    <w:rsid w:val="00B53DC7"/>
    <w:rsid w:val="00B5427F"/>
    <w:rsid w:val="00B54534"/>
    <w:rsid w:val="00B5507B"/>
    <w:rsid w:val="00B5521C"/>
    <w:rsid w:val="00B55A59"/>
    <w:rsid w:val="00B55E17"/>
    <w:rsid w:val="00B55F1F"/>
    <w:rsid w:val="00B5690C"/>
    <w:rsid w:val="00B56AF6"/>
    <w:rsid w:val="00B56C6D"/>
    <w:rsid w:val="00B56DFF"/>
    <w:rsid w:val="00B5714C"/>
    <w:rsid w:val="00B577E9"/>
    <w:rsid w:val="00B578CF"/>
    <w:rsid w:val="00B60775"/>
    <w:rsid w:val="00B6091F"/>
    <w:rsid w:val="00B60A04"/>
    <w:rsid w:val="00B62B85"/>
    <w:rsid w:val="00B62B87"/>
    <w:rsid w:val="00B62E61"/>
    <w:rsid w:val="00B63532"/>
    <w:rsid w:val="00B63791"/>
    <w:rsid w:val="00B639CB"/>
    <w:rsid w:val="00B63A2E"/>
    <w:rsid w:val="00B63AC1"/>
    <w:rsid w:val="00B63BAE"/>
    <w:rsid w:val="00B63C2C"/>
    <w:rsid w:val="00B63D0B"/>
    <w:rsid w:val="00B63F9D"/>
    <w:rsid w:val="00B64A99"/>
    <w:rsid w:val="00B64ED6"/>
    <w:rsid w:val="00B64F28"/>
    <w:rsid w:val="00B64FB9"/>
    <w:rsid w:val="00B65267"/>
    <w:rsid w:val="00B66194"/>
    <w:rsid w:val="00B662FA"/>
    <w:rsid w:val="00B66811"/>
    <w:rsid w:val="00B66A09"/>
    <w:rsid w:val="00B66B28"/>
    <w:rsid w:val="00B66D0D"/>
    <w:rsid w:val="00B67076"/>
    <w:rsid w:val="00B670CB"/>
    <w:rsid w:val="00B67A6D"/>
    <w:rsid w:val="00B70C23"/>
    <w:rsid w:val="00B70CE5"/>
    <w:rsid w:val="00B710A9"/>
    <w:rsid w:val="00B710E4"/>
    <w:rsid w:val="00B71153"/>
    <w:rsid w:val="00B7120C"/>
    <w:rsid w:val="00B712CC"/>
    <w:rsid w:val="00B71771"/>
    <w:rsid w:val="00B7228E"/>
    <w:rsid w:val="00B722F8"/>
    <w:rsid w:val="00B723F8"/>
    <w:rsid w:val="00B72B93"/>
    <w:rsid w:val="00B72E0A"/>
    <w:rsid w:val="00B730C4"/>
    <w:rsid w:val="00B732A5"/>
    <w:rsid w:val="00B7340A"/>
    <w:rsid w:val="00B737E8"/>
    <w:rsid w:val="00B73F53"/>
    <w:rsid w:val="00B7404D"/>
    <w:rsid w:val="00B742CF"/>
    <w:rsid w:val="00B74412"/>
    <w:rsid w:val="00B745AC"/>
    <w:rsid w:val="00B74633"/>
    <w:rsid w:val="00B747F0"/>
    <w:rsid w:val="00B74A2B"/>
    <w:rsid w:val="00B74ABC"/>
    <w:rsid w:val="00B750D3"/>
    <w:rsid w:val="00B751ED"/>
    <w:rsid w:val="00B75781"/>
    <w:rsid w:val="00B758FC"/>
    <w:rsid w:val="00B75A6A"/>
    <w:rsid w:val="00B75E31"/>
    <w:rsid w:val="00B7626B"/>
    <w:rsid w:val="00B7628F"/>
    <w:rsid w:val="00B76AD4"/>
    <w:rsid w:val="00B76E9E"/>
    <w:rsid w:val="00B801D3"/>
    <w:rsid w:val="00B80203"/>
    <w:rsid w:val="00B803A3"/>
    <w:rsid w:val="00B804AD"/>
    <w:rsid w:val="00B80550"/>
    <w:rsid w:val="00B80E8C"/>
    <w:rsid w:val="00B811B4"/>
    <w:rsid w:val="00B8144A"/>
    <w:rsid w:val="00B81CBA"/>
    <w:rsid w:val="00B8205D"/>
    <w:rsid w:val="00B82450"/>
    <w:rsid w:val="00B82BB0"/>
    <w:rsid w:val="00B82BB3"/>
    <w:rsid w:val="00B82E26"/>
    <w:rsid w:val="00B82F69"/>
    <w:rsid w:val="00B831AA"/>
    <w:rsid w:val="00B8320F"/>
    <w:rsid w:val="00B835F4"/>
    <w:rsid w:val="00B8366C"/>
    <w:rsid w:val="00B836A2"/>
    <w:rsid w:val="00B83864"/>
    <w:rsid w:val="00B839AD"/>
    <w:rsid w:val="00B83E4D"/>
    <w:rsid w:val="00B8405E"/>
    <w:rsid w:val="00B84442"/>
    <w:rsid w:val="00B844DB"/>
    <w:rsid w:val="00B8450B"/>
    <w:rsid w:val="00B84D8C"/>
    <w:rsid w:val="00B84E29"/>
    <w:rsid w:val="00B8500B"/>
    <w:rsid w:val="00B85444"/>
    <w:rsid w:val="00B85546"/>
    <w:rsid w:val="00B85980"/>
    <w:rsid w:val="00B85E3D"/>
    <w:rsid w:val="00B86515"/>
    <w:rsid w:val="00B86875"/>
    <w:rsid w:val="00B86ABB"/>
    <w:rsid w:val="00B86DAA"/>
    <w:rsid w:val="00B871E0"/>
    <w:rsid w:val="00B87387"/>
    <w:rsid w:val="00B875AC"/>
    <w:rsid w:val="00B8793B"/>
    <w:rsid w:val="00B87E6A"/>
    <w:rsid w:val="00B87EA7"/>
    <w:rsid w:val="00B90284"/>
    <w:rsid w:val="00B9028F"/>
    <w:rsid w:val="00B9099C"/>
    <w:rsid w:val="00B909E4"/>
    <w:rsid w:val="00B90D36"/>
    <w:rsid w:val="00B916B4"/>
    <w:rsid w:val="00B91D41"/>
    <w:rsid w:val="00B91DC5"/>
    <w:rsid w:val="00B921B9"/>
    <w:rsid w:val="00B921BF"/>
    <w:rsid w:val="00B92258"/>
    <w:rsid w:val="00B92F43"/>
    <w:rsid w:val="00B93344"/>
    <w:rsid w:val="00B93384"/>
    <w:rsid w:val="00B93931"/>
    <w:rsid w:val="00B93938"/>
    <w:rsid w:val="00B93E9B"/>
    <w:rsid w:val="00B9425C"/>
    <w:rsid w:val="00B942CC"/>
    <w:rsid w:val="00B943CA"/>
    <w:rsid w:val="00B94A52"/>
    <w:rsid w:val="00B94BA1"/>
    <w:rsid w:val="00B94BB5"/>
    <w:rsid w:val="00B94C08"/>
    <w:rsid w:val="00B94D5F"/>
    <w:rsid w:val="00B9531D"/>
    <w:rsid w:val="00B956D2"/>
    <w:rsid w:val="00B95A62"/>
    <w:rsid w:val="00B95AE0"/>
    <w:rsid w:val="00B965F2"/>
    <w:rsid w:val="00B96D69"/>
    <w:rsid w:val="00B96E05"/>
    <w:rsid w:val="00B97A65"/>
    <w:rsid w:val="00B97BB9"/>
    <w:rsid w:val="00BA0176"/>
    <w:rsid w:val="00BA0404"/>
    <w:rsid w:val="00BA04F4"/>
    <w:rsid w:val="00BA081C"/>
    <w:rsid w:val="00BA0963"/>
    <w:rsid w:val="00BA0EF1"/>
    <w:rsid w:val="00BA0FAD"/>
    <w:rsid w:val="00BA11E7"/>
    <w:rsid w:val="00BA1511"/>
    <w:rsid w:val="00BA1A95"/>
    <w:rsid w:val="00BA1ACE"/>
    <w:rsid w:val="00BA1B27"/>
    <w:rsid w:val="00BA1B3A"/>
    <w:rsid w:val="00BA1F2D"/>
    <w:rsid w:val="00BA20A0"/>
    <w:rsid w:val="00BA2560"/>
    <w:rsid w:val="00BA2A1C"/>
    <w:rsid w:val="00BA362A"/>
    <w:rsid w:val="00BA3B20"/>
    <w:rsid w:val="00BA3C03"/>
    <w:rsid w:val="00BA3D81"/>
    <w:rsid w:val="00BA40A7"/>
    <w:rsid w:val="00BA4199"/>
    <w:rsid w:val="00BA436B"/>
    <w:rsid w:val="00BA490D"/>
    <w:rsid w:val="00BA4BB3"/>
    <w:rsid w:val="00BA4C50"/>
    <w:rsid w:val="00BA4D1A"/>
    <w:rsid w:val="00BA590A"/>
    <w:rsid w:val="00BA5B31"/>
    <w:rsid w:val="00BA6050"/>
    <w:rsid w:val="00BA6191"/>
    <w:rsid w:val="00BA67F9"/>
    <w:rsid w:val="00BA68E0"/>
    <w:rsid w:val="00BA6925"/>
    <w:rsid w:val="00BA6FCB"/>
    <w:rsid w:val="00BA708A"/>
    <w:rsid w:val="00BA77B9"/>
    <w:rsid w:val="00BA7855"/>
    <w:rsid w:val="00BA7E98"/>
    <w:rsid w:val="00BA7F0F"/>
    <w:rsid w:val="00BB014A"/>
    <w:rsid w:val="00BB0773"/>
    <w:rsid w:val="00BB08B3"/>
    <w:rsid w:val="00BB0925"/>
    <w:rsid w:val="00BB09E7"/>
    <w:rsid w:val="00BB0DC7"/>
    <w:rsid w:val="00BB0E35"/>
    <w:rsid w:val="00BB0E3F"/>
    <w:rsid w:val="00BB0EC5"/>
    <w:rsid w:val="00BB0FAC"/>
    <w:rsid w:val="00BB0FE1"/>
    <w:rsid w:val="00BB1262"/>
    <w:rsid w:val="00BB1398"/>
    <w:rsid w:val="00BB17D4"/>
    <w:rsid w:val="00BB18E0"/>
    <w:rsid w:val="00BB1E5A"/>
    <w:rsid w:val="00BB229A"/>
    <w:rsid w:val="00BB2395"/>
    <w:rsid w:val="00BB249C"/>
    <w:rsid w:val="00BB26BE"/>
    <w:rsid w:val="00BB3060"/>
    <w:rsid w:val="00BB3286"/>
    <w:rsid w:val="00BB32B4"/>
    <w:rsid w:val="00BB35E4"/>
    <w:rsid w:val="00BB363B"/>
    <w:rsid w:val="00BB3AD1"/>
    <w:rsid w:val="00BB3AEA"/>
    <w:rsid w:val="00BB3F34"/>
    <w:rsid w:val="00BB4133"/>
    <w:rsid w:val="00BB47A9"/>
    <w:rsid w:val="00BB53D5"/>
    <w:rsid w:val="00BB5665"/>
    <w:rsid w:val="00BB604F"/>
    <w:rsid w:val="00BB6755"/>
    <w:rsid w:val="00BB6935"/>
    <w:rsid w:val="00BB69B9"/>
    <w:rsid w:val="00BB7163"/>
    <w:rsid w:val="00BB750F"/>
    <w:rsid w:val="00BB7700"/>
    <w:rsid w:val="00BB7BD1"/>
    <w:rsid w:val="00BC071F"/>
    <w:rsid w:val="00BC09D6"/>
    <w:rsid w:val="00BC1E0F"/>
    <w:rsid w:val="00BC21F3"/>
    <w:rsid w:val="00BC30E5"/>
    <w:rsid w:val="00BC3320"/>
    <w:rsid w:val="00BC37D6"/>
    <w:rsid w:val="00BC4851"/>
    <w:rsid w:val="00BC4923"/>
    <w:rsid w:val="00BC5406"/>
    <w:rsid w:val="00BC5577"/>
    <w:rsid w:val="00BC5826"/>
    <w:rsid w:val="00BC5980"/>
    <w:rsid w:val="00BC5A72"/>
    <w:rsid w:val="00BC5D7E"/>
    <w:rsid w:val="00BC5F66"/>
    <w:rsid w:val="00BC6903"/>
    <w:rsid w:val="00BC6B8F"/>
    <w:rsid w:val="00BC6F05"/>
    <w:rsid w:val="00BC757D"/>
    <w:rsid w:val="00BC758A"/>
    <w:rsid w:val="00BC7757"/>
    <w:rsid w:val="00BC7B74"/>
    <w:rsid w:val="00BC7BB3"/>
    <w:rsid w:val="00BC7E5D"/>
    <w:rsid w:val="00BD007B"/>
    <w:rsid w:val="00BD059A"/>
    <w:rsid w:val="00BD0BEF"/>
    <w:rsid w:val="00BD0FA7"/>
    <w:rsid w:val="00BD1291"/>
    <w:rsid w:val="00BD1360"/>
    <w:rsid w:val="00BD1536"/>
    <w:rsid w:val="00BD1FDB"/>
    <w:rsid w:val="00BD2A54"/>
    <w:rsid w:val="00BD3034"/>
    <w:rsid w:val="00BD3BE2"/>
    <w:rsid w:val="00BD3C2B"/>
    <w:rsid w:val="00BD3C87"/>
    <w:rsid w:val="00BD3EFF"/>
    <w:rsid w:val="00BD4117"/>
    <w:rsid w:val="00BD4651"/>
    <w:rsid w:val="00BD4A29"/>
    <w:rsid w:val="00BD4B16"/>
    <w:rsid w:val="00BD51AB"/>
    <w:rsid w:val="00BD5DA2"/>
    <w:rsid w:val="00BD62C3"/>
    <w:rsid w:val="00BD6454"/>
    <w:rsid w:val="00BD647E"/>
    <w:rsid w:val="00BD67B2"/>
    <w:rsid w:val="00BD6C6E"/>
    <w:rsid w:val="00BD6CEB"/>
    <w:rsid w:val="00BD6FAC"/>
    <w:rsid w:val="00BD7471"/>
    <w:rsid w:val="00BD77B2"/>
    <w:rsid w:val="00BD78A9"/>
    <w:rsid w:val="00BD7B10"/>
    <w:rsid w:val="00BD7D83"/>
    <w:rsid w:val="00BE086A"/>
    <w:rsid w:val="00BE0921"/>
    <w:rsid w:val="00BE0A24"/>
    <w:rsid w:val="00BE0E5D"/>
    <w:rsid w:val="00BE1AD1"/>
    <w:rsid w:val="00BE1BC9"/>
    <w:rsid w:val="00BE1C6C"/>
    <w:rsid w:val="00BE2235"/>
    <w:rsid w:val="00BE2775"/>
    <w:rsid w:val="00BE27C3"/>
    <w:rsid w:val="00BE283C"/>
    <w:rsid w:val="00BE2CF3"/>
    <w:rsid w:val="00BE30D8"/>
    <w:rsid w:val="00BE3374"/>
    <w:rsid w:val="00BE36D2"/>
    <w:rsid w:val="00BE3815"/>
    <w:rsid w:val="00BE38CA"/>
    <w:rsid w:val="00BE3B8B"/>
    <w:rsid w:val="00BE3FC0"/>
    <w:rsid w:val="00BE40BE"/>
    <w:rsid w:val="00BE4352"/>
    <w:rsid w:val="00BE4807"/>
    <w:rsid w:val="00BE57E1"/>
    <w:rsid w:val="00BE5A71"/>
    <w:rsid w:val="00BE5BF1"/>
    <w:rsid w:val="00BE60FE"/>
    <w:rsid w:val="00BE61D6"/>
    <w:rsid w:val="00BE6841"/>
    <w:rsid w:val="00BE6A95"/>
    <w:rsid w:val="00BE73F9"/>
    <w:rsid w:val="00BE74B1"/>
    <w:rsid w:val="00BE76B8"/>
    <w:rsid w:val="00BE7B4E"/>
    <w:rsid w:val="00BF005C"/>
    <w:rsid w:val="00BF0403"/>
    <w:rsid w:val="00BF06D8"/>
    <w:rsid w:val="00BF0AB2"/>
    <w:rsid w:val="00BF0CDF"/>
    <w:rsid w:val="00BF119F"/>
    <w:rsid w:val="00BF1315"/>
    <w:rsid w:val="00BF1C19"/>
    <w:rsid w:val="00BF25C5"/>
    <w:rsid w:val="00BF291B"/>
    <w:rsid w:val="00BF319A"/>
    <w:rsid w:val="00BF38FF"/>
    <w:rsid w:val="00BF3E5D"/>
    <w:rsid w:val="00BF416E"/>
    <w:rsid w:val="00BF4A2C"/>
    <w:rsid w:val="00BF4BF3"/>
    <w:rsid w:val="00BF4FA2"/>
    <w:rsid w:val="00BF50A4"/>
    <w:rsid w:val="00BF5AA9"/>
    <w:rsid w:val="00BF5B46"/>
    <w:rsid w:val="00BF5C8B"/>
    <w:rsid w:val="00BF5E26"/>
    <w:rsid w:val="00BF6125"/>
    <w:rsid w:val="00BF649F"/>
    <w:rsid w:val="00BF653C"/>
    <w:rsid w:val="00BF6761"/>
    <w:rsid w:val="00BF706B"/>
    <w:rsid w:val="00BF71D5"/>
    <w:rsid w:val="00BF7368"/>
    <w:rsid w:val="00BF76F4"/>
    <w:rsid w:val="00BF7D4B"/>
    <w:rsid w:val="00C000BA"/>
    <w:rsid w:val="00C004FB"/>
    <w:rsid w:val="00C00E64"/>
    <w:rsid w:val="00C00EBC"/>
    <w:rsid w:val="00C00F3A"/>
    <w:rsid w:val="00C019D9"/>
    <w:rsid w:val="00C022E1"/>
    <w:rsid w:val="00C023D6"/>
    <w:rsid w:val="00C02966"/>
    <w:rsid w:val="00C03296"/>
    <w:rsid w:val="00C034ED"/>
    <w:rsid w:val="00C03AE8"/>
    <w:rsid w:val="00C03CDE"/>
    <w:rsid w:val="00C047D7"/>
    <w:rsid w:val="00C04EC7"/>
    <w:rsid w:val="00C05A55"/>
    <w:rsid w:val="00C05E7C"/>
    <w:rsid w:val="00C061C1"/>
    <w:rsid w:val="00C06D7D"/>
    <w:rsid w:val="00C071B5"/>
    <w:rsid w:val="00C07324"/>
    <w:rsid w:val="00C07445"/>
    <w:rsid w:val="00C0785B"/>
    <w:rsid w:val="00C100BE"/>
    <w:rsid w:val="00C103BB"/>
    <w:rsid w:val="00C1077D"/>
    <w:rsid w:val="00C115AE"/>
    <w:rsid w:val="00C1167B"/>
    <w:rsid w:val="00C119A9"/>
    <w:rsid w:val="00C11B0B"/>
    <w:rsid w:val="00C1235C"/>
    <w:rsid w:val="00C124F1"/>
    <w:rsid w:val="00C126AC"/>
    <w:rsid w:val="00C12CC7"/>
    <w:rsid w:val="00C12D66"/>
    <w:rsid w:val="00C1300A"/>
    <w:rsid w:val="00C1373F"/>
    <w:rsid w:val="00C14313"/>
    <w:rsid w:val="00C14434"/>
    <w:rsid w:val="00C14B7D"/>
    <w:rsid w:val="00C1503D"/>
    <w:rsid w:val="00C151C3"/>
    <w:rsid w:val="00C15253"/>
    <w:rsid w:val="00C1530A"/>
    <w:rsid w:val="00C153EF"/>
    <w:rsid w:val="00C1564E"/>
    <w:rsid w:val="00C1570C"/>
    <w:rsid w:val="00C15787"/>
    <w:rsid w:val="00C15DC6"/>
    <w:rsid w:val="00C16221"/>
    <w:rsid w:val="00C1622E"/>
    <w:rsid w:val="00C162E2"/>
    <w:rsid w:val="00C166A8"/>
    <w:rsid w:val="00C16BA3"/>
    <w:rsid w:val="00C16D2B"/>
    <w:rsid w:val="00C17A0B"/>
    <w:rsid w:val="00C17ACE"/>
    <w:rsid w:val="00C208F9"/>
    <w:rsid w:val="00C20A55"/>
    <w:rsid w:val="00C20EAD"/>
    <w:rsid w:val="00C2116D"/>
    <w:rsid w:val="00C211C9"/>
    <w:rsid w:val="00C21C27"/>
    <w:rsid w:val="00C226B6"/>
    <w:rsid w:val="00C230B8"/>
    <w:rsid w:val="00C23279"/>
    <w:rsid w:val="00C23552"/>
    <w:rsid w:val="00C23578"/>
    <w:rsid w:val="00C236A6"/>
    <w:rsid w:val="00C236DE"/>
    <w:rsid w:val="00C23B74"/>
    <w:rsid w:val="00C23EBA"/>
    <w:rsid w:val="00C24237"/>
    <w:rsid w:val="00C2427D"/>
    <w:rsid w:val="00C25459"/>
    <w:rsid w:val="00C2561B"/>
    <w:rsid w:val="00C25688"/>
    <w:rsid w:val="00C2706E"/>
    <w:rsid w:val="00C27234"/>
    <w:rsid w:val="00C2774B"/>
    <w:rsid w:val="00C27770"/>
    <w:rsid w:val="00C30909"/>
    <w:rsid w:val="00C31596"/>
    <w:rsid w:val="00C3233C"/>
    <w:rsid w:val="00C32681"/>
    <w:rsid w:val="00C32951"/>
    <w:rsid w:val="00C32AD2"/>
    <w:rsid w:val="00C32DBC"/>
    <w:rsid w:val="00C333DF"/>
    <w:rsid w:val="00C33891"/>
    <w:rsid w:val="00C33C6E"/>
    <w:rsid w:val="00C34194"/>
    <w:rsid w:val="00C342F8"/>
    <w:rsid w:val="00C34D3A"/>
    <w:rsid w:val="00C34DA9"/>
    <w:rsid w:val="00C34F04"/>
    <w:rsid w:val="00C350E7"/>
    <w:rsid w:val="00C3513E"/>
    <w:rsid w:val="00C354BC"/>
    <w:rsid w:val="00C356E3"/>
    <w:rsid w:val="00C35A6B"/>
    <w:rsid w:val="00C35D97"/>
    <w:rsid w:val="00C3668A"/>
    <w:rsid w:val="00C36B5B"/>
    <w:rsid w:val="00C370A2"/>
    <w:rsid w:val="00C371DB"/>
    <w:rsid w:val="00C37577"/>
    <w:rsid w:val="00C3768F"/>
    <w:rsid w:val="00C377C2"/>
    <w:rsid w:val="00C3788F"/>
    <w:rsid w:val="00C40239"/>
    <w:rsid w:val="00C40870"/>
    <w:rsid w:val="00C40DA7"/>
    <w:rsid w:val="00C40EDE"/>
    <w:rsid w:val="00C41004"/>
    <w:rsid w:val="00C414DF"/>
    <w:rsid w:val="00C41A9D"/>
    <w:rsid w:val="00C41E7D"/>
    <w:rsid w:val="00C41FCE"/>
    <w:rsid w:val="00C42378"/>
    <w:rsid w:val="00C42CB1"/>
    <w:rsid w:val="00C431B2"/>
    <w:rsid w:val="00C433BD"/>
    <w:rsid w:val="00C437ED"/>
    <w:rsid w:val="00C438DF"/>
    <w:rsid w:val="00C43A3F"/>
    <w:rsid w:val="00C43BC5"/>
    <w:rsid w:val="00C43C1F"/>
    <w:rsid w:val="00C43D9D"/>
    <w:rsid w:val="00C443E1"/>
    <w:rsid w:val="00C447EA"/>
    <w:rsid w:val="00C44961"/>
    <w:rsid w:val="00C44A6C"/>
    <w:rsid w:val="00C45BA9"/>
    <w:rsid w:val="00C45D4F"/>
    <w:rsid w:val="00C462EE"/>
    <w:rsid w:val="00C46399"/>
    <w:rsid w:val="00C46761"/>
    <w:rsid w:val="00C46955"/>
    <w:rsid w:val="00C46965"/>
    <w:rsid w:val="00C46B0C"/>
    <w:rsid w:val="00C46C22"/>
    <w:rsid w:val="00C47164"/>
    <w:rsid w:val="00C4769F"/>
    <w:rsid w:val="00C47A77"/>
    <w:rsid w:val="00C50999"/>
    <w:rsid w:val="00C50BB1"/>
    <w:rsid w:val="00C50D07"/>
    <w:rsid w:val="00C5161D"/>
    <w:rsid w:val="00C5163C"/>
    <w:rsid w:val="00C51785"/>
    <w:rsid w:val="00C51AE5"/>
    <w:rsid w:val="00C51CE7"/>
    <w:rsid w:val="00C5224D"/>
    <w:rsid w:val="00C52497"/>
    <w:rsid w:val="00C528D4"/>
    <w:rsid w:val="00C5331C"/>
    <w:rsid w:val="00C53478"/>
    <w:rsid w:val="00C5348C"/>
    <w:rsid w:val="00C53808"/>
    <w:rsid w:val="00C53BE5"/>
    <w:rsid w:val="00C53CC0"/>
    <w:rsid w:val="00C5414D"/>
    <w:rsid w:val="00C544A5"/>
    <w:rsid w:val="00C5470F"/>
    <w:rsid w:val="00C54D4F"/>
    <w:rsid w:val="00C54DFA"/>
    <w:rsid w:val="00C54E9C"/>
    <w:rsid w:val="00C54F3B"/>
    <w:rsid w:val="00C555B7"/>
    <w:rsid w:val="00C555C5"/>
    <w:rsid w:val="00C5625C"/>
    <w:rsid w:val="00C56414"/>
    <w:rsid w:val="00C5651F"/>
    <w:rsid w:val="00C56B1B"/>
    <w:rsid w:val="00C56E2E"/>
    <w:rsid w:val="00C5787D"/>
    <w:rsid w:val="00C6046D"/>
    <w:rsid w:val="00C604C4"/>
    <w:rsid w:val="00C605FB"/>
    <w:rsid w:val="00C60841"/>
    <w:rsid w:val="00C60A08"/>
    <w:rsid w:val="00C61541"/>
    <w:rsid w:val="00C61793"/>
    <w:rsid w:val="00C61F16"/>
    <w:rsid w:val="00C61F50"/>
    <w:rsid w:val="00C62326"/>
    <w:rsid w:val="00C6299F"/>
    <w:rsid w:val="00C63081"/>
    <w:rsid w:val="00C6319E"/>
    <w:rsid w:val="00C6329D"/>
    <w:rsid w:val="00C637AF"/>
    <w:rsid w:val="00C63C9E"/>
    <w:rsid w:val="00C650E9"/>
    <w:rsid w:val="00C65441"/>
    <w:rsid w:val="00C654F7"/>
    <w:rsid w:val="00C658A2"/>
    <w:rsid w:val="00C65CC2"/>
    <w:rsid w:val="00C65DD2"/>
    <w:rsid w:val="00C6645E"/>
    <w:rsid w:val="00C672A8"/>
    <w:rsid w:val="00C67B77"/>
    <w:rsid w:val="00C67BC0"/>
    <w:rsid w:val="00C67DF9"/>
    <w:rsid w:val="00C702EA"/>
    <w:rsid w:val="00C705F0"/>
    <w:rsid w:val="00C7103F"/>
    <w:rsid w:val="00C71086"/>
    <w:rsid w:val="00C712AC"/>
    <w:rsid w:val="00C71752"/>
    <w:rsid w:val="00C7224B"/>
    <w:rsid w:val="00C72426"/>
    <w:rsid w:val="00C72666"/>
    <w:rsid w:val="00C726F0"/>
    <w:rsid w:val="00C728F2"/>
    <w:rsid w:val="00C735F5"/>
    <w:rsid w:val="00C738B4"/>
    <w:rsid w:val="00C73B78"/>
    <w:rsid w:val="00C7497B"/>
    <w:rsid w:val="00C74B15"/>
    <w:rsid w:val="00C750D5"/>
    <w:rsid w:val="00C75B52"/>
    <w:rsid w:val="00C75D09"/>
    <w:rsid w:val="00C761F5"/>
    <w:rsid w:val="00C7650A"/>
    <w:rsid w:val="00C76687"/>
    <w:rsid w:val="00C76909"/>
    <w:rsid w:val="00C76EAC"/>
    <w:rsid w:val="00C76EED"/>
    <w:rsid w:val="00C771A0"/>
    <w:rsid w:val="00C77486"/>
    <w:rsid w:val="00C77505"/>
    <w:rsid w:val="00C775C0"/>
    <w:rsid w:val="00C77819"/>
    <w:rsid w:val="00C80540"/>
    <w:rsid w:val="00C8062F"/>
    <w:rsid w:val="00C8082C"/>
    <w:rsid w:val="00C81287"/>
    <w:rsid w:val="00C81B43"/>
    <w:rsid w:val="00C81BA1"/>
    <w:rsid w:val="00C81DE5"/>
    <w:rsid w:val="00C821C1"/>
    <w:rsid w:val="00C8311E"/>
    <w:rsid w:val="00C83145"/>
    <w:rsid w:val="00C8330F"/>
    <w:rsid w:val="00C838D9"/>
    <w:rsid w:val="00C839E9"/>
    <w:rsid w:val="00C83D31"/>
    <w:rsid w:val="00C83D9A"/>
    <w:rsid w:val="00C84683"/>
    <w:rsid w:val="00C8472F"/>
    <w:rsid w:val="00C851AF"/>
    <w:rsid w:val="00C85F20"/>
    <w:rsid w:val="00C860B7"/>
    <w:rsid w:val="00C860EB"/>
    <w:rsid w:val="00C86A9F"/>
    <w:rsid w:val="00C86B84"/>
    <w:rsid w:val="00C86E18"/>
    <w:rsid w:val="00C86EAF"/>
    <w:rsid w:val="00C87604"/>
    <w:rsid w:val="00C87689"/>
    <w:rsid w:val="00C9117D"/>
    <w:rsid w:val="00C91624"/>
    <w:rsid w:val="00C9163C"/>
    <w:rsid w:val="00C919FB"/>
    <w:rsid w:val="00C91F09"/>
    <w:rsid w:val="00C9221C"/>
    <w:rsid w:val="00C92904"/>
    <w:rsid w:val="00C92C32"/>
    <w:rsid w:val="00C92C50"/>
    <w:rsid w:val="00C92CB7"/>
    <w:rsid w:val="00C92F3C"/>
    <w:rsid w:val="00C93059"/>
    <w:rsid w:val="00C937D8"/>
    <w:rsid w:val="00C93855"/>
    <w:rsid w:val="00C93A49"/>
    <w:rsid w:val="00C93A4A"/>
    <w:rsid w:val="00C93E12"/>
    <w:rsid w:val="00C93EAB"/>
    <w:rsid w:val="00C93F66"/>
    <w:rsid w:val="00C94917"/>
    <w:rsid w:val="00C9505D"/>
    <w:rsid w:val="00C95152"/>
    <w:rsid w:val="00C951D3"/>
    <w:rsid w:val="00C95492"/>
    <w:rsid w:val="00C95F87"/>
    <w:rsid w:val="00C96276"/>
    <w:rsid w:val="00C963C4"/>
    <w:rsid w:val="00C97738"/>
    <w:rsid w:val="00C978BC"/>
    <w:rsid w:val="00CA0159"/>
    <w:rsid w:val="00CA045C"/>
    <w:rsid w:val="00CA0A84"/>
    <w:rsid w:val="00CA0CCA"/>
    <w:rsid w:val="00CA108B"/>
    <w:rsid w:val="00CA1C42"/>
    <w:rsid w:val="00CA1D9B"/>
    <w:rsid w:val="00CA20E3"/>
    <w:rsid w:val="00CA3063"/>
    <w:rsid w:val="00CA36F3"/>
    <w:rsid w:val="00CA3DB7"/>
    <w:rsid w:val="00CA3F6E"/>
    <w:rsid w:val="00CA463B"/>
    <w:rsid w:val="00CA50FF"/>
    <w:rsid w:val="00CA5262"/>
    <w:rsid w:val="00CA5913"/>
    <w:rsid w:val="00CA5B58"/>
    <w:rsid w:val="00CA5BFD"/>
    <w:rsid w:val="00CA5DD3"/>
    <w:rsid w:val="00CA5F4D"/>
    <w:rsid w:val="00CA6711"/>
    <w:rsid w:val="00CA6721"/>
    <w:rsid w:val="00CA680A"/>
    <w:rsid w:val="00CA6E0C"/>
    <w:rsid w:val="00CA6F44"/>
    <w:rsid w:val="00CB0173"/>
    <w:rsid w:val="00CB085B"/>
    <w:rsid w:val="00CB0887"/>
    <w:rsid w:val="00CB0CC9"/>
    <w:rsid w:val="00CB0F84"/>
    <w:rsid w:val="00CB1175"/>
    <w:rsid w:val="00CB1D90"/>
    <w:rsid w:val="00CB1EB4"/>
    <w:rsid w:val="00CB24C6"/>
    <w:rsid w:val="00CB2674"/>
    <w:rsid w:val="00CB28A1"/>
    <w:rsid w:val="00CB28F6"/>
    <w:rsid w:val="00CB2ED3"/>
    <w:rsid w:val="00CB3214"/>
    <w:rsid w:val="00CB3229"/>
    <w:rsid w:val="00CB33DF"/>
    <w:rsid w:val="00CB3622"/>
    <w:rsid w:val="00CB3C64"/>
    <w:rsid w:val="00CB3F1C"/>
    <w:rsid w:val="00CB3FB2"/>
    <w:rsid w:val="00CB4764"/>
    <w:rsid w:val="00CB4866"/>
    <w:rsid w:val="00CB49E4"/>
    <w:rsid w:val="00CB4D6B"/>
    <w:rsid w:val="00CB52BD"/>
    <w:rsid w:val="00CB539B"/>
    <w:rsid w:val="00CB54A5"/>
    <w:rsid w:val="00CB553F"/>
    <w:rsid w:val="00CB583F"/>
    <w:rsid w:val="00CB5843"/>
    <w:rsid w:val="00CB5855"/>
    <w:rsid w:val="00CB5B8D"/>
    <w:rsid w:val="00CB5DE3"/>
    <w:rsid w:val="00CB5F3B"/>
    <w:rsid w:val="00CB6244"/>
    <w:rsid w:val="00CB658D"/>
    <w:rsid w:val="00CB66F4"/>
    <w:rsid w:val="00CB6A3D"/>
    <w:rsid w:val="00CB7FBE"/>
    <w:rsid w:val="00CC00F5"/>
    <w:rsid w:val="00CC0EA2"/>
    <w:rsid w:val="00CC11E8"/>
    <w:rsid w:val="00CC14F0"/>
    <w:rsid w:val="00CC18CD"/>
    <w:rsid w:val="00CC224B"/>
    <w:rsid w:val="00CC269C"/>
    <w:rsid w:val="00CC347B"/>
    <w:rsid w:val="00CC4362"/>
    <w:rsid w:val="00CC49C2"/>
    <w:rsid w:val="00CC5544"/>
    <w:rsid w:val="00CC575F"/>
    <w:rsid w:val="00CC5A1A"/>
    <w:rsid w:val="00CC5DA6"/>
    <w:rsid w:val="00CC5FF8"/>
    <w:rsid w:val="00CC664D"/>
    <w:rsid w:val="00CC68DA"/>
    <w:rsid w:val="00CC7024"/>
    <w:rsid w:val="00CC713C"/>
    <w:rsid w:val="00CD0156"/>
    <w:rsid w:val="00CD0426"/>
    <w:rsid w:val="00CD0E05"/>
    <w:rsid w:val="00CD0E8B"/>
    <w:rsid w:val="00CD0F12"/>
    <w:rsid w:val="00CD162C"/>
    <w:rsid w:val="00CD1A30"/>
    <w:rsid w:val="00CD1C1C"/>
    <w:rsid w:val="00CD1F7F"/>
    <w:rsid w:val="00CD1FC4"/>
    <w:rsid w:val="00CD25AE"/>
    <w:rsid w:val="00CD2831"/>
    <w:rsid w:val="00CD2A12"/>
    <w:rsid w:val="00CD2D11"/>
    <w:rsid w:val="00CD2EEB"/>
    <w:rsid w:val="00CD31E7"/>
    <w:rsid w:val="00CD343A"/>
    <w:rsid w:val="00CD3C94"/>
    <w:rsid w:val="00CD41E6"/>
    <w:rsid w:val="00CD4201"/>
    <w:rsid w:val="00CD45A6"/>
    <w:rsid w:val="00CD46BA"/>
    <w:rsid w:val="00CD48A1"/>
    <w:rsid w:val="00CD4E55"/>
    <w:rsid w:val="00CD4EC7"/>
    <w:rsid w:val="00CD5080"/>
    <w:rsid w:val="00CD5A8B"/>
    <w:rsid w:val="00CD5B2D"/>
    <w:rsid w:val="00CD6369"/>
    <w:rsid w:val="00CD64B6"/>
    <w:rsid w:val="00CD6529"/>
    <w:rsid w:val="00CD6C10"/>
    <w:rsid w:val="00CD731C"/>
    <w:rsid w:val="00CD786C"/>
    <w:rsid w:val="00CD78C7"/>
    <w:rsid w:val="00CD79DA"/>
    <w:rsid w:val="00CD7BFB"/>
    <w:rsid w:val="00CD7F79"/>
    <w:rsid w:val="00CE0082"/>
    <w:rsid w:val="00CE008A"/>
    <w:rsid w:val="00CE07C2"/>
    <w:rsid w:val="00CE0CF3"/>
    <w:rsid w:val="00CE1843"/>
    <w:rsid w:val="00CE2420"/>
    <w:rsid w:val="00CE24A0"/>
    <w:rsid w:val="00CE26D3"/>
    <w:rsid w:val="00CE315D"/>
    <w:rsid w:val="00CE3183"/>
    <w:rsid w:val="00CE3554"/>
    <w:rsid w:val="00CE401F"/>
    <w:rsid w:val="00CE4311"/>
    <w:rsid w:val="00CE44BD"/>
    <w:rsid w:val="00CE44FE"/>
    <w:rsid w:val="00CE46B0"/>
    <w:rsid w:val="00CE5639"/>
    <w:rsid w:val="00CE56FB"/>
    <w:rsid w:val="00CE598E"/>
    <w:rsid w:val="00CE599C"/>
    <w:rsid w:val="00CE5B04"/>
    <w:rsid w:val="00CE5C10"/>
    <w:rsid w:val="00CE61AE"/>
    <w:rsid w:val="00CE6570"/>
    <w:rsid w:val="00CE6671"/>
    <w:rsid w:val="00CE66DF"/>
    <w:rsid w:val="00CE6AB5"/>
    <w:rsid w:val="00CE6F23"/>
    <w:rsid w:val="00CE748F"/>
    <w:rsid w:val="00CE7703"/>
    <w:rsid w:val="00CE7A97"/>
    <w:rsid w:val="00CE7F49"/>
    <w:rsid w:val="00CF017A"/>
    <w:rsid w:val="00CF0C86"/>
    <w:rsid w:val="00CF1050"/>
    <w:rsid w:val="00CF107E"/>
    <w:rsid w:val="00CF10B6"/>
    <w:rsid w:val="00CF196F"/>
    <w:rsid w:val="00CF1C8B"/>
    <w:rsid w:val="00CF20FD"/>
    <w:rsid w:val="00CF2112"/>
    <w:rsid w:val="00CF2294"/>
    <w:rsid w:val="00CF23A2"/>
    <w:rsid w:val="00CF2B50"/>
    <w:rsid w:val="00CF2DFC"/>
    <w:rsid w:val="00CF2F03"/>
    <w:rsid w:val="00CF3152"/>
    <w:rsid w:val="00CF32F9"/>
    <w:rsid w:val="00CF343B"/>
    <w:rsid w:val="00CF3CD9"/>
    <w:rsid w:val="00CF3CDB"/>
    <w:rsid w:val="00CF3EEC"/>
    <w:rsid w:val="00CF465F"/>
    <w:rsid w:val="00CF4699"/>
    <w:rsid w:val="00CF47CA"/>
    <w:rsid w:val="00CF4824"/>
    <w:rsid w:val="00CF495D"/>
    <w:rsid w:val="00CF5013"/>
    <w:rsid w:val="00CF5274"/>
    <w:rsid w:val="00CF587C"/>
    <w:rsid w:val="00CF5B1C"/>
    <w:rsid w:val="00CF5B71"/>
    <w:rsid w:val="00CF66B6"/>
    <w:rsid w:val="00CF670F"/>
    <w:rsid w:val="00CF6B11"/>
    <w:rsid w:val="00CF6C6C"/>
    <w:rsid w:val="00CF71A2"/>
    <w:rsid w:val="00CF72AC"/>
    <w:rsid w:val="00CF7892"/>
    <w:rsid w:val="00CF798E"/>
    <w:rsid w:val="00D00148"/>
    <w:rsid w:val="00D0028E"/>
    <w:rsid w:val="00D0058C"/>
    <w:rsid w:val="00D00665"/>
    <w:rsid w:val="00D00B43"/>
    <w:rsid w:val="00D00BEB"/>
    <w:rsid w:val="00D0118D"/>
    <w:rsid w:val="00D01921"/>
    <w:rsid w:val="00D01E53"/>
    <w:rsid w:val="00D020AF"/>
    <w:rsid w:val="00D0257F"/>
    <w:rsid w:val="00D027DA"/>
    <w:rsid w:val="00D02ADA"/>
    <w:rsid w:val="00D02BBA"/>
    <w:rsid w:val="00D02D2D"/>
    <w:rsid w:val="00D02E34"/>
    <w:rsid w:val="00D03321"/>
    <w:rsid w:val="00D03F11"/>
    <w:rsid w:val="00D03F94"/>
    <w:rsid w:val="00D04142"/>
    <w:rsid w:val="00D04295"/>
    <w:rsid w:val="00D047CE"/>
    <w:rsid w:val="00D04822"/>
    <w:rsid w:val="00D04DD8"/>
    <w:rsid w:val="00D05025"/>
    <w:rsid w:val="00D056CC"/>
    <w:rsid w:val="00D05837"/>
    <w:rsid w:val="00D058DC"/>
    <w:rsid w:val="00D059A7"/>
    <w:rsid w:val="00D06029"/>
    <w:rsid w:val="00D0607E"/>
    <w:rsid w:val="00D06A12"/>
    <w:rsid w:val="00D07026"/>
    <w:rsid w:val="00D07084"/>
    <w:rsid w:val="00D07409"/>
    <w:rsid w:val="00D1076A"/>
    <w:rsid w:val="00D1080A"/>
    <w:rsid w:val="00D116CA"/>
    <w:rsid w:val="00D116FF"/>
    <w:rsid w:val="00D1185D"/>
    <w:rsid w:val="00D1191E"/>
    <w:rsid w:val="00D119FD"/>
    <w:rsid w:val="00D11AD5"/>
    <w:rsid w:val="00D11BBB"/>
    <w:rsid w:val="00D11FAB"/>
    <w:rsid w:val="00D1203D"/>
    <w:rsid w:val="00D12823"/>
    <w:rsid w:val="00D1295A"/>
    <w:rsid w:val="00D12A5B"/>
    <w:rsid w:val="00D12C1A"/>
    <w:rsid w:val="00D12E51"/>
    <w:rsid w:val="00D130C9"/>
    <w:rsid w:val="00D13B3B"/>
    <w:rsid w:val="00D13D4C"/>
    <w:rsid w:val="00D13DB4"/>
    <w:rsid w:val="00D1409A"/>
    <w:rsid w:val="00D1411C"/>
    <w:rsid w:val="00D143F1"/>
    <w:rsid w:val="00D1470B"/>
    <w:rsid w:val="00D14982"/>
    <w:rsid w:val="00D14CE2"/>
    <w:rsid w:val="00D1571D"/>
    <w:rsid w:val="00D15A73"/>
    <w:rsid w:val="00D15BF8"/>
    <w:rsid w:val="00D15D60"/>
    <w:rsid w:val="00D1627A"/>
    <w:rsid w:val="00D16394"/>
    <w:rsid w:val="00D16472"/>
    <w:rsid w:val="00D1662B"/>
    <w:rsid w:val="00D16740"/>
    <w:rsid w:val="00D1686E"/>
    <w:rsid w:val="00D16B72"/>
    <w:rsid w:val="00D16C10"/>
    <w:rsid w:val="00D17619"/>
    <w:rsid w:val="00D17962"/>
    <w:rsid w:val="00D20280"/>
    <w:rsid w:val="00D203E4"/>
    <w:rsid w:val="00D2060A"/>
    <w:rsid w:val="00D20ED9"/>
    <w:rsid w:val="00D2101D"/>
    <w:rsid w:val="00D217DE"/>
    <w:rsid w:val="00D218BF"/>
    <w:rsid w:val="00D2200C"/>
    <w:rsid w:val="00D224BA"/>
    <w:rsid w:val="00D225D9"/>
    <w:rsid w:val="00D22803"/>
    <w:rsid w:val="00D23284"/>
    <w:rsid w:val="00D23300"/>
    <w:rsid w:val="00D248D6"/>
    <w:rsid w:val="00D24BB9"/>
    <w:rsid w:val="00D254AF"/>
    <w:rsid w:val="00D255BD"/>
    <w:rsid w:val="00D25763"/>
    <w:rsid w:val="00D25F5E"/>
    <w:rsid w:val="00D26389"/>
    <w:rsid w:val="00D2712D"/>
    <w:rsid w:val="00D2778D"/>
    <w:rsid w:val="00D278BF"/>
    <w:rsid w:val="00D27933"/>
    <w:rsid w:val="00D3036A"/>
    <w:rsid w:val="00D30864"/>
    <w:rsid w:val="00D309BE"/>
    <w:rsid w:val="00D30E69"/>
    <w:rsid w:val="00D30EB0"/>
    <w:rsid w:val="00D318B4"/>
    <w:rsid w:val="00D31C83"/>
    <w:rsid w:val="00D31CA6"/>
    <w:rsid w:val="00D31DE5"/>
    <w:rsid w:val="00D31FAE"/>
    <w:rsid w:val="00D32046"/>
    <w:rsid w:val="00D3241A"/>
    <w:rsid w:val="00D32C3A"/>
    <w:rsid w:val="00D32CC4"/>
    <w:rsid w:val="00D33281"/>
    <w:rsid w:val="00D33525"/>
    <w:rsid w:val="00D33747"/>
    <w:rsid w:val="00D33782"/>
    <w:rsid w:val="00D33C85"/>
    <w:rsid w:val="00D33CCB"/>
    <w:rsid w:val="00D33D2B"/>
    <w:rsid w:val="00D33F93"/>
    <w:rsid w:val="00D342E0"/>
    <w:rsid w:val="00D346B5"/>
    <w:rsid w:val="00D346D9"/>
    <w:rsid w:val="00D348AD"/>
    <w:rsid w:val="00D34C71"/>
    <w:rsid w:val="00D34CE8"/>
    <w:rsid w:val="00D34FFA"/>
    <w:rsid w:val="00D35020"/>
    <w:rsid w:val="00D35179"/>
    <w:rsid w:val="00D35348"/>
    <w:rsid w:val="00D35CE8"/>
    <w:rsid w:val="00D3654A"/>
    <w:rsid w:val="00D367B6"/>
    <w:rsid w:val="00D368C5"/>
    <w:rsid w:val="00D36933"/>
    <w:rsid w:val="00D36951"/>
    <w:rsid w:val="00D3696A"/>
    <w:rsid w:val="00D36C3A"/>
    <w:rsid w:val="00D37755"/>
    <w:rsid w:val="00D37D67"/>
    <w:rsid w:val="00D37DD6"/>
    <w:rsid w:val="00D40275"/>
    <w:rsid w:val="00D40BB2"/>
    <w:rsid w:val="00D423F1"/>
    <w:rsid w:val="00D42464"/>
    <w:rsid w:val="00D4265E"/>
    <w:rsid w:val="00D42AF0"/>
    <w:rsid w:val="00D42E5E"/>
    <w:rsid w:val="00D42F2C"/>
    <w:rsid w:val="00D4317A"/>
    <w:rsid w:val="00D43485"/>
    <w:rsid w:val="00D43619"/>
    <w:rsid w:val="00D4380F"/>
    <w:rsid w:val="00D43888"/>
    <w:rsid w:val="00D43D85"/>
    <w:rsid w:val="00D43E8D"/>
    <w:rsid w:val="00D44A1A"/>
    <w:rsid w:val="00D44C3F"/>
    <w:rsid w:val="00D45168"/>
    <w:rsid w:val="00D45779"/>
    <w:rsid w:val="00D45899"/>
    <w:rsid w:val="00D459CD"/>
    <w:rsid w:val="00D45BD5"/>
    <w:rsid w:val="00D46016"/>
    <w:rsid w:val="00D46216"/>
    <w:rsid w:val="00D466BE"/>
    <w:rsid w:val="00D46D38"/>
    <w:rsid w:val="00D4763D"/>
    <w:rsid w:val="00D4764B"/>
    <w:rsid w:val="00D479BE"/>
    <w:rsid w:val="00D47A6C"/>
    <w:rsid w:val="00D47AA4"/>
    <w:rsid w:val="00D47F6C"/>
    <w:rsid w:val="00D50142"/>
    <w:rsid w:val="00D5067E"/>
    <w:rsid w:val="00D50866"/>
    <w:rsid w:val="00D509B4"/>
    <w:rsid w:val="00D51200"/>
    <w:rsid w:val="00D516CB"/>
    <w:rsid w:val="00D518B0"/>
    <w:rsid w:val="00D51ACC"/>
    <w:rsid w:val="00D51E59"/>
    <w:rsid w:val="00D51E91"/>
    <w:rsid w:val="00D52466"/>
    <w:rsid w:val="00D52A71"/>
    <w:rsid w:val="00D52B52"/>
    <w:rsid w:val="00D52BB6"/>
    <w:rsid w:val="00D52ED9"/>
    <w:rsid w:val="00D5312B"/>
    <w:rsid w:val="00D538B6"/>
    <w:rsid w:val="00D53DE7"/>
    <w:rsid w:val="00D548DD"/>
    <w:rsid w:val="00D54C2F"/>
    <w:rsid w:val="00D54D7F"/>
    <w:rsid w:val="00D55AAF"/>
    <w:rsid w:val="00D55B97"/>
    <w:rsid w:val="00D561FE"/>
    <w:rsid w:val="00D56675"/>
    <w:rsid w:val="00D566BF"/>
    <w:rsid w:val="00D57276"/>
    <w:rsid w:val="00D5737C"/>
    <w:rsid w:val="00D57391"/>
    <w:rsid w:val="00D578A6"/>
    <w:rsid w:val="00D57912"/>
    <w:rsid w:val="00D57A84"/>
    <w:rsid w:val="00D61072"/>
    <w:rsid w:val="00D613D0"/>
    <w:rsid w:val="00D6170A"/>
    <w:rsid w:val="00D619C3"/>
    <w:rsid w:val="00D61A4D"/>
    <w:rsid w:val="00D61AAE"/>
    <w:rsid w:val="00D61FD1"/>
    <w:rsid w:val="00D62062"/>
    <w:rsid w:val="00D62198"/>
    <w:rsid w:val="00D623C9"/>
    <w:rsid w:val="00D62BC1"/>
    <w:rsid w:val="00D62EDC"/>
    <w:rsid w:val="00D63598"/>
    <w:rsid w:val="00D63B34"/>
    <w:rsid w:val="00D63DD2"/>
    <w:rsid w:val="00D63DEA"/>
    <w:rsid w:val="00D63EC9"/>
    <w:rsid w:val="00D63F3B"/>
    <w:rsid w:val="00D64007"/>
    <w:rsid w:val="00D6427A"/>
    <w:rsid w:val="00D64800"/>
    <w:rsid w:val="00D64AE1"/>
    <w:rsid w:val="00D64AEE"/>
    <w:rsid w:val="00D64B36"/>
    <w:rsid w:val="00D64E4E"/>
    <w:rsid w:val="00D65852"/>
    <w:rsid w:val="00D65BB2"/>
    <w:rsid w:val="00D66120"/>
    <w:rsid w:val="00D66124"/>
    <w:rsid w:val="00D661BB"/>
    <w:rsid w:val="00D662B0"/>
    <w:rsid w:val="00D66E2D"/>
    <w:rsid w:val="00D67B75"/>
    <w:rsid w:val="00D67F2D"/>
    <w:rsid w:val="00D67F5B"/>
    <w:rsid w:val="00D7070B"/>
    <w:rsid w:val="00D70726"/>
    <w:rsid w:val="00D70859"/>
    <w:rsid w:val="00D70B6E"/>
    <w:rsid w:val="00D70D3F"/>
    <w:rsid w:val="00D70DB6"/>
    <w:rsid w:val="00D710F1"/>
    <w:rsid w:val="00D7110A"/>
    <w:rsid w:val="00D71930"/>
    <w:rsid w:val="00D71DE7"/>
    <w:rsid w:val="00D7260C"/>
    <w:rsid w:val="00D7279A"/>
    <w:rsid w:val="00D72853"/>
    <w:rsid w:val="00D7287F"/>
    <w:rsid w:val="00D72B84"/>
    <w:rsid w:val="00D72E97"/>
    <w:rsid w:val="00D73453"/>
    <w:rsid w:val="00D73664"/>
    <w:rsid w:val="00D73EB7"/>
    <w:rsid w:val="00D73F39"/>
    <w:rsid w:val="00D7400B"/>
    <w:rsid w:val="00D741FE"/>
    <w:rsid w:val="00D74935"/>
    <w:rsid w:val="00D74ED9"/>
    <w:rsid w:val="00D75010"/>
    <w:rsid w:val="00D75C93"/>
    <w:rsid w:val="00D75D5D"/>
    <w:rsid w:val="00D7601F"/>
    <w:rsid w:val="00D7646B"/>
    <w:rsid w:val="00D764D5"/>
    <w:rsid w:val="00D76536"/>
    <w:rsid w:val="00D76F65"/>
    <w:rsid w:val="00D77BA9"/>
    <w:rsid w:val="00D77CD4"/>
    <w:rsid w:val="00D77E95"/>
    <w:rsid w:val="00D80243"/>
    <w:rsid w:val="00D80385"/>
    <w:rsid w:val="00D8045F"/>
    <w:rsid w:val="00D805CF"/>
    <w:rsid w:val="00D8113C"/>
    <w:rsid w:val="00D812AC"/>
    <w:rsid w:val="00D81C33"/>
    <w:rsid w:val="00D81FB2"/>
    <w:rsid w:val="00D8200F"/>
    <w:rsid w:val="00D82189"/>
    <w:rsid w:val="00D82691"/>
    <w:rsid w:val="00D82810"/>
    <w:rsid w:val="00D82A8F"/>
    <w:rsid w:val="00D82BAB"/>
    <w:rsid w:val="00D8342B"/>
    <w:rsid w:val="00D83687"/>
    <w:rsid w:val="00D83D3E"/>
    <w:rsid w:val="00D842EB"/>
    <w:rsid w:val="00D84D1A"/>
    <w:rsid w:val="00D85696"/>
    <w:rsid w:val="00D8655B"/>
    <w:rsid w:val="00D866E6"/>
    <w:rsid w:val="00D86BB6"/>
    <w:rsid w:val="00D86C16"/>
    <w:rsid w:val="00D8702A"/>
    <w:rsid w:val="00D874EF"/>
    <w:rsid w:val="00D87562"/>
    <w:rsid w:val="00D87AD4"/>
    <w:rsid w:val="00D87C85"/>
    <w:rsid w:val="00D87D40"/>
    <w:rsid w:val="00D87F00"/>
    <w:rsid w:val="00D90056"/>
    <w:rsid w:val="00D900BB"/>
    <w:rsid w:val="00D902CC"/>
    <w:rsid w:val="00D909F2"/>
    <w:rsid w:val="00D9115B"/>
    <w:rsid w:val="00D91EDB"/>
    <w:rsid w:val="00D923BE"/>
    <w:rsid w:val="00D924B4"/>
    <w:rsid w:val="00D92ABB"/>
    <w:rsid w:val="00D92BBD"/>
    <w:rsid w:val="00D92FF4"/>
    <w:rsid w:val="00D93111"/>
    <w:rsid w:val="00D93130"/>
    <w:rsid w:val="00D93436"/>
    <w:rsid w:val="00D9393A"/>
    <w:rsid w:val="00D94201"/>
    <w:rsid w:val="00D94403"/>
    <w:rsid w:val="00D9474A"/>
    <w:rsid w:val="00D94D13"/>
    <w:rsid w:val="00D9501F"/>
    <w:rsid w:val="00D9502C"/>
    <w:rsid w:val="00D95396"/>
    <w:rsid w:val="00D95E42"/>
    <w:rsid w:val="00D9602F"/>
    <w:rsid w:val="00D96093"/>
    <w:rsid w:val="00D968AA"/>
    <w:rsid w:val="00D96A74"/>
    <w:rsid w:val="00D9718D"/>
    <w:rsid w:val="00D9728C"/>
    <w:rsid w:val="00DA0141"/>
    <w:rsid w:val="00DA01C1"/>
    <w:rsid w:val="00DA09FF"/>
    <w:rsid w:val="00DA0B3E"/>
    <w:rsid w:val="00DA0EB8"/>
    <w:rsid w:val="00DA1D95"/>
    <w:rsid w:val="00DA201E"/>
    <w:rsid w:val="00DA2274"/>
    <w:rsid w:val="00DA2413"/>
    <w:rsid w:val="00DA2489"/>
    <w:rsid w:val="00DA27A6"/>
    <w:rsid w:val="00DA29CB"/>
    <w:rsid w:val="00DA2CEF"/>
    <w:rsid w:val="00DA2F16"/>
    <w:rsid w:val="00DA3020"/>
    <w:rsid w:val="00DA3229"/>
    <w:rsid w:val="00DA35BB"/>
    <w:rsid w:val="00DA3C7C"/>
    <w:rsid w:val="00DA404B"/>
    <w:rsid w:val="00DA4444"/>
    <w:rsid w:val="00DA44A7"/>
    <w:rsid w:val="00DA49D0"/>
    <w:rsid w:val="00DA52DA"/>
    <w:rsid w:val="00DA52FA"/>
    <w:rsid w:val="00DA5526"/>
    <w:rsid w:val="00DA57BF"/>
    <w:rsid w:val="00DA5A56"/>
    <w:rsid w:val="00DA5E54"/>
    <w:rsid w:val="00DA631E"/>
    <w:rsid w:val="00DA6C44"/>
    <w:rsid w:val="00DA6E66"/>
    <w:rsid w:val="00DB0509"/>
    <w:rsid w:val="00DB0568"/>
    <w:rsid w:val="00DB0816"/>
    <w:rsid w:val="00DB10E2"/>
    <w:rsid w:val="00DB1ED8"/>
    <w:rsid w:val="00DB231A"/>
    <w:rsid w:val="00DB247E"/>
    <w:rsid w:val="00DB254D"/>
    <w:rsid w:val="00DB284D"/>
    <w:rsid w:val="00DB2A8F"/>
    <w:rsid w:val="00DB2A95"/>
    <w:rsid w:val="00DB3020"/>
    <w:rsid w:val="00DB3097"/>
    <w:rsid w:val="00DB318E"/>
    <w:rsid w:val="00DB32B3"/>
    <w:rsid w:val="00DB33A2"/>
    <w:rsid w:val="00DB3404"/>
    <w:rsid w:val="00DB386D"/>
    <w:rsid w:val="00DB3E79"/>
    <w:rsid w:val="00DB43A4"/>
    <w:rsid w:val="00DB46DD"/>
    <w:rsid w:val="00DB46FD"/>
    <w:rsid w:val="00DB4B79"/>
    <w:rsid w:val="00DB4E5E"/>
    <w:rsid w:val="00DB52BB"/>
    <w:rsid w:val="00DB57E8"/>
    <w:rsid w:val="00DB599B"/>
    <w:rsid w:val="00DB5BAB"/>
    <w:rsid w:val="00DB5BD8"/>
    <w:rsid w:val="00DB5BED"/>
    <w:rsid w:val="00DB5C76"/>
    <w:rsid w:val="00DB615C"/>
    <w:rsid w:val="00DB6627"/>
    <w:rsid w:val="00DB670A"/>
    <w:rsid w:val="00DB68F5"/>
    <w:rsid w:val="00DB72B1"/>
    <w:rsid w:val="00DC0568"/>
    <w:rsid w:val="00DC06C2"/>
    <w:rsid w:val="00DC0850"/>
    <w:rsid w:val="00DC0E13"/>
    <w:rsid w:val="00DC1566"/>
    <w:rsid w:val="00DC1919"/>
    <w:rsid w:val="00DC1B0A"/>
    <w:rsid w:val="00DC2442"/>
    <w:rsid w:val="00DC2474"/>
    <w:rsid w:val="00DC26DA"/>
    <w:rsid w:val="00DC2742"/>
    <w:rsid w:val="00DC2C2C"/>
    <w:rsid w:val="00DC3412"/>
    <w:rsid w:val="00DC35AF"/>
    <w:rsid w:val="00DC3F9D"/>
    <w:rsid w:val="00DC42F0"/>
    <w:rsid w:val="00DC49E3"/>
    <w:rsid w:val="00DC4DA7"/>
    <w:rsid w:val="00DC5003"/>
    <w:rsid w:val="00DC512F"/>
    <w:rsid w:val="00DC54BB"/>
    <w:rsid w:val="00DC5679"/>
    <w:rsid w:val="00DC5AA9"/>
    <w:rsid w:val="00DC5E45"/>
    <w:rsid w:val="00DC5F11"/>
    <w:rsid w:val="00DC6188"/>
    <w:rsid w:val="00DC6A98"/>
    <w:rsid w:val="00DC6D55"/>
    <w:rsid w:val="00DC70F8"/>
    <w:rsid w:val="00DC73ED"/>
    <w:rsid w:val="00DC7462"/>
    <w:rsid w:val="00DC7A75"/>
    <w:rsid w:val="00DC7CAF"/>
    <w:rsid w:val="00DD0E60"/>
    <w:rsid w:val="00DD1781"/>
    <w:rsid w:val="00DD1814"/>
    <w:rsid w:val="00DD1C62"/>
    <w:rsid w:val="00DD1C67"/>
    <w:rsid w:val="00DD2355"/>
    <w:rsid w:val="00DD2682"/>
    <w:rsid w:val="00DD28B6"/>
    <w:rsid w:val="00DD2962"/>
    <w:rsid w:val="00DD2C2D"/>
    <w:rsid w:val="00DD35F0"/>
    <w:rsid w:val="00DD3A62"/>
    <w:rsid w:val="00DD3D16"/>
    <w:rsid w:val="00DD3FF5"/>
    <w:rsid w:val="00DD40D5"/>
    <w:rsid w:val="00DD4161"/>
    <w:rsid w:val="00DD4281"/>
    <w:rsid w:val="00DD42DA"/>
    <w:rsid w:val="00DD460E"/>
    <w:rsid w:val="00DD4D5B"/>
    <w:rsid w:val="00DD4EF9"/>
    <w:rsid w:val="00DD5652"/>
    <w:rsid w:val="00DD6559"/>
    <w:rsid w:val="00DD6BBF"/>
    <w:rsid w:val="00DD7868"/>
    <w:rsid w:val="00DD787E"/>
    <w:rsid w:val="00DD78DF"/>
    <w:rsid w:val="00DD79AC"/>
    <w:rsid w:val="00DD7EAB"/>
    <w:rsid w:val="00DE0000"/>
    <w:rsid w:val="00DE0007"/>
    <w:rsid w:val="00DE012A"/>
    <w:rsid w:val="00DE09C6"/>
    <w:rsid w:val="00DE0A8C"/>
    <w:rsid w:val="00DE0A94"/>
    <w:rsid w:val="00DE0AAA"/>
    <w:rsid w:val="00DE0BC3"/>
    <w:rsid w:val="00DE0C23"/>
    <w:rsid w:val="00DE0D59"/>
    <w:rsid w:val="00DE133C"/>
    <w:rsid w:val="00DE1622"/>
    <w:rsid w:val="00DE220A"/>
    <w:rsid w:val="00DE3632"/>
    <w:rsid w:val="00DE3E73"/>
    <w:rsid w:val="00DE44F6"/>
    <w:rsid w:val="00DE4764"/>
    <w:rsid w:val="00DE4C4C"/>
    <w:rsid w:val="00DE53C3"/>
    <w:rsid w:val="00DE5743"/>
    <w:rsid w:val="00DE60BB"/>
    <w:rsid w:val="00DE6312"/>
    <w:rsid w:val="00DE7100"/>
    <w:rsid w:val="00DE722D"/>
    <w:rsid w:val="00DE7BF7"/>
    <w:rsid w:val="00DF04B0"/>
    <w:rsid w:val="00DF073A"/>
    <w:rsid w:val="00DF0985"/>
    <w:rsid w:val="00DF0F9B"/>
    <w:rsid w:val="00DF1337"/>
    <w:rsid w:val="00DF1A15"/>
    <w:rsid w:val="00DF1BD5"/>
    <w:rsid w:val="00DF1E23"/>
    <w:rsid w:val="00DF21EF"/>
    <w:rsid w:val="00DF23A2"/>
    <w:rsid w:val="00DF2620"/>
    <w:rsid w:val="00DF2820"/>
    <w:rsid w:val="00DF28B0"/>
    <w:rsid w:val="00DF2B6D"/>
    <w:rsid w:val="00DF2EE4"/>
    <w:rsid w:val="00DF330C"/>
    <w:rsid w:val="00DF39AC"/>
    <w:rsid w:val="00DF3A16"/>
    <w:rsid w:val="00DF44D4"/>
    <w:rsid w:val="00DF4DA7"/>
    <w:rsid w:val="00DF53E2"/>
    <w:rsid w:val="00DF56E8"/>
    <w:rsid w:val="00DF5D97"/>
    <w:rsid w:val="00DF5DE3"/>
    <w:rsid w:val="00DF5ED4"/>
    <w:rsid w:val="00DF6401"/>
    <w:rsid w:val="00DF685E"/>
    <w:rsid w:val="00DF6E59"/>
    <w:rsid w:val="00DF6EBF"/>
    <w:rsid w:val="00DF6FCD"/>
    <w:rsid w:val="00DF724F"/>
    <w:rsid w:val="00DF725A"/>
    <w:rsid w:val="00DF7483"/>
    <w:rsid w:val="00DF76DA"/>
    <w:rsid w:val="00DF7772"/>
    <w:rsid w:val="00DF788E"/>
    <w:rsid w:val="00DF792A"/>
    <w:rsid w:val="00DF7C3B"/>
    <w:rsid w:val="00E00234"/>
    <w:rsid w:val="00E00534"/>
    <w:rsid w:val="00E0068D"/>
    <w:rsid w:val="00E00976"/>
    <w:rsid w:val="00E00CAB"/>
    <w:rsid w:val="00E014BE"/>
    <w:rsid w:val="00E01948"/>
    <w:rsid w:val="00E01A84"/>
    <w:rsid w:val="00E01D04"/>
    <w:rsid w:val="00E01DE3"/>
    <w:rsid w:val="00E01F50"/>
    <w:rsid w:val="00E0205B"/>
    <w:rsid w:val="00E0243B"/>
    <w:rsid w:val="00E02763"/>
    <w:rsid w:val="00E0329F"/>
    <w:rsid w:val="00E032C8"/>
    <w:rsid w:val="00E03590"/>
    <w:rsid w:val="00E03613"/>
    <w:rsid w:val="00E038CE"/>
    <w:rsid w:val="00E0393A"/>
    <w:rsid w:val="00E03970"/>
    <w:rsid w:val="00E0416F"/>
    <w:rsid w:val="00E0457E"/>
    <w:rsid w:val="00E049C9"/>
    <w:rsid w:val="00E04CCC"/>
    <w:rsid w:val="00E04F7A"/>
    <w:rsid w:val="00E050FD"/>
    <w:rsid w:val="00E06254"/>
    <w:rsid w:val="00E066FC"/>
    <w:rsid w:val="00E06786"/>
    <w:rsid w:val="00E06801"/>
    <w:rsid w:val="00E06962"/>
    <w:rsid w:val="00E0699E"/>
    <w:rsid w:val="00E0792D"/>
    <w:rsid w:val="00E07CFE"/>
    <w:rsid w:val="00E07D6D"/>
    <w:rsid w:val="00E102E4"/>
    <w:rsid w:val="00E102F2"/>
    <w:rsid w:val="00E10C27"/>
    <w:rsid w:val="00E11139"/>
    <w:rsid w:val="00E11AFB"/>
    <w:rsid w:val="00E11BD0"/>
    <w:rsid w:val="00E11F1F"/>
    <w:rsid w:val="00E12522"/>
    <w:rsid w:val="00E12AD1"/>
    <w:rsid w:val="00E12F43"/>
    <w:rsid w:val="00E12FF1"/>
    <w:rsid w:val="00E1348D"/>
    <w:rsid w:val="00E13524"/>
    <w:rsid w:val="00E1384D"/>
    <w:rsid w:val="00E13964"/>
    <w:rsid w:val="00E13ACA"/>
    <w:rsid w:val="00E13EF8"/>
    <w:rsid w:val="00E1409F"/>
    <w:rsid w:val="00E141B2"/>
    <w:rsid w:val="00E14251"/>
    <w:rsid w:val="00E142DA"/>
    <w:rsid w:val="00E145A6"/>
    <w:rsid w:val="00E146B8"/>
    <w:rsid w:val="00E14B0B"/>
    <w:rsid w:val="00E14D2D"/>
    <w:rsid w:val="00E1533C"/>
    <w:rsid w:val="00E15C56"/>
    <w:rsid w:val="00E160F4"/>
    <w:rsid w:val="00E1647D"/>
    <w:rsid w:val="00E16510"/>
    <w:rsid w:val="00E1670C"/>
    <w:rsid w:val="00E16BB6"/>
    <w:rsid w:val="00E16E8D"/>
    <w:rsid w:val="00E174BF"/>
    <w:rsid w:val="00E2016A"/>
    <w:rsid w:val="00E208A7"/>
    <w:rsid w:val="00E20C50"/>
    <w:rsid w:val="00E20DBA"/>
    <w:rsid w:val="00E20E39"/>
    <w:rsid w:val="00E20E74"/>
    <w:rsid w:val="00E20E8B"/>
    <w:rsid w:val="00E2122D"/>
    <w:rsid w:val="00E21CF9"/>
    <w:rsid w:val="00E21FB4"/>
    <w:rsid w:val="00E22686"/>
    <w:rsid w:val="00E2287C"/>
    <w:rsid w:val="00E22B7C"/>
    <w:rsid w:val="00E22CB6"/>
    <w:rsid w:val="00E2301E"/>
    <w:rsid w:val="00E23464"/>
    <w:rsid w:val="00E2356F"/>
    <w:rsid w:val="00E23700"/>
    <w:rsid w:val="00E23C25"/>
    <w:rsid w:val="00E24222"/>
    <w:rsid w:val="00E2427A"/>
    <w:rsid w:val="00E2435E"/>
    <w:rsid w:val="00E24536"/>
    <w:rsid w:val="00E2453A"/>
    <w:rsid w:val="00E24A9C"/>
    <w:rsid w:val="00E24ABE"/>
    <w:rsid w:val="00E252C9"/>
    <w:rsid w:val="00E26250"/>
    <w:rsid w:val="00E26BD8"/>
    <w:rsid w:val="00E26DC7"/>
    <w:rsid w:val="00E27625"/>
    <w:rsid w:val="00E276FD"/>
    <w:rsid w:val="00E27D91"/>
    <w:rsid w:val="00E30C97"/>
    <w:rsid w:val="00E31332"/>
    <w:rsid w:val="00E313C2"/>
    <w:rsid w:val="00E31A76"/>
    <w:rsid w:val="00E31FC5"/>
    <w:rsid w:val="00E32168"/>
    <w:rsid w:val="00E322E0"/>
    <w:rsid w:val="00E32309"/>
    <w:rsid w:val="00E324E9"/>
    <w:rsid w:val="00E3329B"/>
    <w:rsid w:val="00E333D1"/>
    <w:rsid w:val="00E335B7"/>
    <w:rsid w:val="00E338EE"/>
    <w:rsid w:val="00E33A3C"/>
    <w:rsid w:val="00E33C44"/>
    <w:rsid w:val="00E33C7E"/>
    <w:rsid w:val="00E3402A"/>
    <w:rsid w:val="00E34282"/>
    <w:rsid w:val="00E34BFD"/>
    <w:rsid w:val="00E35D27"/>
    <w:rsid w:val="00E366AC"/>
    <w:rsid w:val="00E36D83"/>
    <w:rsid w:val="00E37137"/>
    <w:rsid w:val="00E37E5D"/>
    <w:rsid w:val="00E40847"/>
    <w:rsid w:val="00E408B3"/>
    <w:rsid w:val="00E4139F"/>
    <w:rsid w:val="00E414A7"/>
    <w:rsid w:val="00E41583"/>
    <w:rsid w:val="00E419A2"/>
    <w:rsid w:val="00E42240"/>
    <w:rsid w:val="00E43267"/>
    <w:rsid w:val="00E435F3"/>
    <w:rsid w:val="00E43C50"/>
    <w:rsid w:val="00E44104"/>
    <w:rsid w:val="00E442D5"/>
    <w:rsid w:val="00E44353"/>
    <w:rsid w:val="00E4448C"/>
    <w:rsid w:val="00E44CEA"/>
    <w:rsid w:val="00E44EB8"/>
    <w:rsid w:val="00E455E5"/>
    <w:rsid w:val="00E457AB"/>
    <w:rsid w:val="00E45999"/>
    <w:rsid w:val="00E465A0"/>
    <w:rsid w:val="00E467F0"/>
    <w:rsid w:val="00E46EEA"/>
    <w:rsid w:val="00E47321"/>
    <w:rsid w:val="00E4764B"/>
    <w:rsid w:val="00E47690"/>
    <w:rsid w:val="00E47A8D"/>
    <w:rsid w:val="00E47B49"/>
    <w:rsid w:val="00E47BB4"/>
    <w:rsid w:val="00E5011B"/>
    <w:rsid w:val="00E5014E"/>
    <w:rsid w:val="00E5079B"/>
    <w:rsid w:val="00E50DBD"/>
    <w:rsid w:val="00E50FBB"/>
    <w:rsid w:val="00E5136F"/>
    <w:rsid w:val="00E51406"/>
    <w:rsid w:val="00E51B40"/>
    <w:rsid w:val="00E5206E"/>
    <w:rsid w:val="00E52428"/>
    <w:rsid w:val="00E5284C"/>
    <w:rsid w:val="00E52948"/>
    <w:rsid w:val="00E52A1E"/>
    <w:rsid w:val="00E5319E"/>
    <w:rsid w:val="00E533CE"/>
    <w:rsid w:val="00E53794"/>
    <w:rsid w:val="00E53846"/>
    <w:rsid w:val="00E53BF7"/>
    <w:rsid w:val="00E53DA5"/>
    <w:rsid w:val="00E53F0A"/>
    <w:rsid w:val="00E5494D"/>
    <w:rsid w:val="00E5558F"/>
    <w:rsid w:val="00E55733"/>
    <w:rsid w:val="00E55CB4"/>
    <w:rsid w:val="00E55D64"/>
    <w:rsid w:val="00E5622B"/>
    <w:rsid w:val="00E564F5"/>
    <w:rsid w:val="00E56D80"/>
    <w:rsid w:val="00E57241"/>
    <w:rsid w:val="00E57500"/>
    <w:rsid w:val="00E57A71"/>
    <w:rsid w:val="00E57D31"/>
    <w:rsid w:val="00E606C5"/>
    <w:rsid w:val="00E60827"/>
    <w:rsid w:val="00E60E0A"/>
    <w:rsid w:val="00E61024"/>
    <w:rsid w:val="00E61E9E"/>
    <w:rsid w:val="00E626E4"/>
    <w:rsid w:val="00E62D23"/>
    <w:rsid w:val="00E6310F"/>
    <w:rsid w:val="00E632DF"/>
    <w:rsid w:val="00E63894"/>
    <w:rsid w:val="00E63985"/>
    <w:rsid w:val="00E63994"/>
    <w:rsid w:val="00E639F1"/>
    <w:rsid w:val="00E63F53"/>
    <w:rsid w:val="00E6432E"/>
    <w:rsid w:val="00E64508"/>
    <w:rsid w:val="00E645CF"/>
    <w:rsid w:val="00E64D25"/>
    <w:rsid w:val="00E64F62"/>
    <w:rsid w:val="00E650AF"/>
    <w:rsid w:val="00E650D4"/>
    <w:rsid w:val="00E6530F"/>
    <w:rsid w:val="00E65564"/>
    <w:rsid w:val="00E6565F"/>
    <w:rsid w:val="00E659E4"/>
    <w:rsid w:val="00E65C66"/>
    <w:rsid w:val="00E65F5E"/>
    <w:rsid w:val="00E6621C"/>
    <w:rsid w:val="00E66526"/>
    <w:rsid w:val="00E66B04"/>
    <w:rsid w:val="00E66D0B"/>
    <w:rsid w:val="00E677C2"/>
    <w:rsid w:val="00E67859"/>
    <w:rsid w:val="00E678CB"/>
    <w:rsid w:val="00E678DB"/>
    <w:rsid w:val="00E67A97"/>
    <w:rsid w:val="00E67EAF"/>
    <w:rsid w:val="00E702F1"/>
    <w:rsid w:val="00E7068E"/>
    <w:rsid w:val="00E7071C"/>
    <w:rsid w:val="00E709AB"/>
    <w:rsid w:val="00E71187"/>
    <w:rsid w:val="00E7147D"/>
    <w:rsid w:val="00E71E43"/>
    <w:rsid w:val="00E72449"/>
    <w:rsid w:val="00E724D7"/>
    <w:rsid w:val="00E72822"/>
    <w:rsid w:val="00E728FE"/>
    <w:rsid w:val="00E730D3"/>
    <w:rsid w:val="00E73512"/>
    <w:rsid w:val="00E74169"/>
    <w:rsid w:val="00E74378"/>
    <w:rsid w:val="00E74696"/>
    <w:rsid w:val="00E746ED"/>
    <w:rsid w:val="00E75466"/>
    <w:rsid w:val="00E75643"/>
    <w:rsid w:val="00E759EC"/>
    <w:rsid w:val="00E75B2B"/>
    <w:rsid w:val="00E75C69"/>
    <w:rsid w:val="00E76415"/>
    <w:rsid w:val="00E7669A"/>
    <w:rsid w:val="00E7692A"/>
    <w:rsid w:val="00E7713B"/>
    <w:rsid w:val="00E771AB"/>
    <w:rsid w:val="00E77A3E"/>
    <w:rsid w:val="00E77CA8"/>
    <w:rsid w:val="00E77D95"/>
    <w:rsid w:val="00E8062D"/>
    <w:rsid w:val="00E8070B"/>
    <w:rsid w:val="00E8094D"/>
    <w:rsid w:val="00E80A21"/>
    <w:rsid w:val="00E80B47"/>
    <w:rsid w:val="00E80C2A"/>
    <w:rsid w:val="00E810E5"/>
    <w:rsid w:val="00E8112F"/>
    <w:rsid w:val="00E81BE1"/>
    <w:rsid w:val="00E827A4"/>
    <w:rsid w:val="00E82991"/>
    <w:rsid w:val="00E82AC3"/>
    <w:rsid w:val="00E82F1F"/>
    <w:rsid w:val="00E8365B"/>
    <w:rsid w:val="00E83813"/>
    <w:rsid w:val="00E83BA5"/>
    <w:rsid w:val="00E84134"/>
    <w:rsid w:val="00E843B5"/>
    <w:rsid w:val="00E84785"/>
    <w:rsid w:val="00E85C0A"/>
    <w:rsid w:val="00E85F24"/>
    <w:rsid w:val="00E861BE"/>
    <w:rsid w:val="00E8684B"/>
    <w:rsid w:val="00E86E5B"/>
    <w:rsid w:val="00E86E68"/>
    <w:rsid w:val="00E86E6A"/>
    <w:rsid w:val="00E8776F"/>
    <w:rsid w:val="00E90239"/>
    <w:rsid w:val="00E90540"/>
    <w:rsid w:val="00E907B8"/>
    <w:rsid w:val="00E90815"/>
    <w:rsid w:val="00E90C2C"/>
    <w:rsid w:val="00E90E36"/>
    <w:rsid w:val="00E90F7B"/>
    <w:rsid w:val="00E91688"/>
    <w:rsid w:val="00E9219A"/>
    <w:rsid w:val="00E92736"/>
    <w:rsid w:val="00E92F2D"/>
    <w:rsid w:val="00E9349C"/>
    <w:rsid w:val="00E9367B"/>
    <w:rsid w:val="00E9368B"/>
    <w:rsid w:val="00E9383F"/>
    <w:rsid w:val="00E93DD8"/>
    <w:rsid w:val="00E94351"/>
    <w:rsid w:val="00E94FF5"/>
    <w:rsid w:val="00E9550E"/>
    <w:rsid w:val="00E95AB9"/>
    <w:rsid w:val="00E95D0F"/>
    <w:rsid w:val="00E9617C"/>
    <w:rsid w:val="00E965EB"/>
    <w:rsid w:val="00E976C2"/>
    <w:rsid w:val="00EA0376"/>
    <w:rsid w:val="00EA0513"/>
    <w:rsid w:val="00EA0C6D"/>
    <w:rsid w:val="00EA0F4D"/>
    <w:rsid w:val="00EA161C"/>
    <w:rsid w:val="00EA167F"/>
    <w:rsid w:val="00EA1ED5"/>
    <w:rsid w:val="00EA2407"/>
    <w:rsid w:val="00EA24D3"/>
    <w:rsid w:val="00EA28AF"/>
    <w:rsid w:val="00EA2D8D"/>
    <w:rsid w:val="00EA39BD"/>
    <w:rsid w:val="00EA3C19"/>
    <w:rsid w:val="00EA3C49"/>
    <w:rsid w:val="00EA3F3C"/>
    <w:rsid w:val="00EA3F47"/>
    <w:rsid w:val="00EA4271"/>
    <w:rsid w:val="00EA489C"/>
    <w:rsid w:val="00EA4ECA"/>
    <w:rsid w:val="00EA5492"/>
    <w:rsid w:val="00EA602C"/>
    <w:rsid w:val="00EA62E7"/>
    <w:rsid w:val="00EA63DB"/>
    <w:rsid w:val="00EA64D3"/>
    <w:rsid w:val="00EA74E7"/>
    <w:rsid w:val="00EA774E"/>
    <w:rsid w:val="00EB046C"/>
    <w:rsid w:val="00EB0BD8"/>
    <w:rsid w:val="00EB0F96"/>
    <w:rsid w:val="00EB14AA"/>
    <w:rsid w:val="00EB1554"/>
    <w:rsid w:val="00EB2576"/>
    <w:rsid w:val="00EB278B"/>
    <w:rsid w:val="00EB2F6C"/>
    <w:rsid w:val="00EB33BE"/>
    <w:rsid w:val="00EB3CD0"/>
    <w:rsid w:val="00EB413C"/>
    <w:rsid w:val="00EB4318"/>
    <w:rsid w:val="00EB4645"/>
    <w:rsid w:val="00EB4F9D"/>
    <w:rsid w:val="00EB5189"/>
    <w:rsid w:val="00EB5D51"/>
    <w:rsid w:val="00EB5E08"/>
    <w:rsid w:val="00EB607F"/>
    <w:rsid w:val="00EB62B2"/>
    <w:rsid w:val="00EB6579"/>
    <w:rsid w:val="00EB6646"/>
    <w:rsid w:val="00EB67D8"/>
    <w:rsid w:val="00EB6885"/>
    <w:rsid w:val="00EB6B16"/>
    <w:rsid w:val="00EB6C28"/>
    <w:rsid w:val="00EB6F2F"/>
    <w:rsid w:val="00EB70D1"/>
    <w:rsid w:val="00EB7160"/>
    <w:rsid w:val="00EB7656"/>
    <w:rsid w:val="00EB7904"/>
    <w:rsid w:val="00EB7C95"/>
    <w:rsid w:val="00EB7D53"/>
    <w:rsid w:val="00EB7E95"/>
    <w:rsid w:val="00EC0844"/>
    <w:rsid w:val="00EC1187"/>
    <w:rsid w:val="00EC1646"/>
    <w:rsid w:val="00EC265B"/>
    <w:rsid w:val="00EC2D89"/>
    <w:rsid w:val="00EC3049"/>
    <w:rsid w:val="00EC317D"/>
    <w:rsid w:val="00EC3187"/>
    <w:rsid w:val="00EC3869"/>
    <w:rsid w:val="00EC392D"/>
    <w:rsid w:val="00EC3E01"/>
    <w:rsid w:val="00EC3E2A"/>
    <w:rsid w:val="00EC46AF"/>
    <w:rsid w:val="00EC49AE"/>
    <w:rsid w:val="00EC5A68"/>
    <w:rsid w:val="00EC5C5C"/>
    <w:rsid w:val="00EC6133"/>
    <w:rsid w:val="00EC6136"/>
    <w:rsid w:val="00EC63E5"/>
    <w:rsid w:val="00EC650B"/>
    <w:rsid w:val="00EC6A67"/>
    <w:rsid w:val="00EC7169"/>
    <w:rsid w:val="00EC71CC"/>
    <w:rsid w:val="00EC731F"/>
    <w:rsid w:val="00EC776E"/>
    <w:rsid w:val="00EC7825"/>
    <w:rsid w:val="00EC784B"/>
    <w:rsid w:val="00EC7A1C"/>
    <w:rsid w:val="00EC7D6F"/>
    <w:rsid w:val="00ED002E"/>
    <w:rsid w:val="00ED0A4E"/>
    <w:rsid w:val="00ED0AB8"/>
    <w:rsid w:val="00ED0D5A"/>
    <w:rsid w:val="00ED0E41"/>
    <w:rsid w:val="00ED0F56"/>
    <w:rsid w:val="00ED1049"/>
    <w:rsid w:val="00ED1379"/>
    <w:rsid w:val="00ED13F5"/>
    <w:rsid w:val="00ED1440"/>
    <w:rsid w:val="00ED2502"/>
    <w:rsid w:val="00ED2716"/>
    <w:rsid w:val="00ED282B"/>
    <w:rsid w:val="00ED2DD6"/>
    <w:rsid w:val="00ED3003"/>
    <w:rsid w:val="00ED32D9"/>
    <w:rsid w:val="00ED35D9"/>
    <w:rsid w:val="00ED3B9D"/>
    <w:rsid w:val="00ED3EA9"/>
    <w:rsid w:val="00ED45C5"/>
    <w:rsid w:val="00ED4E60"/>
    <w:rsid w:val="00ED538A"/>
    <w:rsid w:val="00ED5AEF"/>
    <w:rsid w:val="00ED5CB5"/>
    <w:rsid w:val="00ED5EE9"/>
    <w:rsid w:val="00ED68EC"/>
    <w:rsid w:val="00ED6AB2"/>
    <w:rsid w:val="00ED6B55"/>
    <w:rsid w:val="00ED6D21"/>
    <w:rsid w:val="00ED7690"/>
    <w:rsid w:val="00ED79D3"/>
    <w:rsid w:val="00EE01EC"/>
    <w:rsid w:val="00EE0464"/>
    <w:rsid w:val="00EE047A"/>
    <w:rsid w:val="00EE0554"/>
    <w:rsid w:val="00EE086B"/>
    <w:rsid w:val="00EE0A5E"/>
    <w:rsid w:val="00EE0E0E"/>
    <w:rsid w:val="00EE0E44"/>
    <w:rsid w:val="00EE0E63"/>
    <w:rsid w:val="00EE1909"/>
    <w:rsid w:val="00EE1AD1"/>
    <w:rsid w:val="00EE1E54"/>
    <w:rsid w:val="00EE2251"/>
    <w:rsid w:val="00EE2AEE"/>
    <w:rsid w:val="00EE2DD5"/>
    <w:rsid w:val="00EE38A2"/>
    <w:rsid w:val="00EE39AA"/>
    <w:rsid w:val="00EE3BC1"/>
    <w:rsid w:val="00EE4531"/>
    <w:rsid w:val="00EE4ACA"/>
    <w:rsid w:val="00EE4FC5"/>
    <w:rsid w:val="00EE567F"/>
    <w:rsid w:val="00EE5EFE"/>
    <w:rsid w:val="00EE6216"/>
    <w:rsid w:val="00EE6280"/>
    <w:rsid w:val="00EE6687"/>
    <w:rsid w:val="00EE691F"/>
    <w:rsid w:val="00EE6B33"/>
    <w:rsid w:val="00EE77B8"/>
    <w:rsid w:val="00EE7ED1"/>
    <w:rsid w:val="00EE7FDF"/>
    <w:rsid w:val="00EF0806"/>
    <w:rsid w:val="00EF084F"/>
    <w:rsid w:val="00EF0AB0"/>
    <w:rsid w:val="00EF1099"/>
    <w:rsid w:val="00EF1645"/>
    <w:rsid w:val="00EF195A"/>
    <w:rsid w:val="00EF2021"/>
    <w:rsid w:val="00EF2668"/>
    <w:rsid w:val="00EF29D7"/>
    <w:rsid w:val="00EF2A71"/>
    <w:rsid w:val="00EF2F91"/>
    <w:rsid w:val="00EF332E"/>
    <w:rsid w:val="00EF3A2E"/>
    <w:rsid w:val="00EF3C03"/>
    <w:rsid w:val="00EF3CED"/>
    <w:rsid w:val="00EF3EEE"/>
    <w:rsid w:val="00EF46F6"/>
    <w:rsid w:val="00EF4854"/>
    <w:rsid w:val="00EF4B13"/>
    <w:rsid w:val="00EF4DD7"/>
    <w:rsid w:val="00EF4FC0"/>
    <w:rsid w:val="00EF535A"/>
    <w:rsid w:val="00EF53D9"/>
    <w:rsid w:val="00EF5572"/>
    <w:rsid w:val="00EF61BD"/>
    <w:rsid w:val="00EF641C"/>
    <w:rsid w:val="00EF64EE"/>
    <w:rsid w:val="00EF66C5"/>
    <w:rsid w:val="00EF6D1A"/>
    <w:rsid w:val="00EF7121"/>
    <w:rsid w:val="00EF7174"/>
    <w:rsid w:val="00EF7190"/>
    <w:rsid w:val="00EF71AF"/>
    <w:rsid w:val="00EF7421"/>
    <w:rsid w:val="00EF75C7"/>
    <w:rsid w:val="00EF7704"/>
    <w:rsid w:val="00EF77BF"/>
    <w:rsid w:val="00EF7869"/>
    <w:rsid w:val="00EF7AD9"/>
    <w:rsid w:val="00EF7BBE"/>
    <w:rsid w:val="00EF7F5E"/>
    <w:rsid w:val="00F00057"/>
    <w:rsid w:val="00F001DC"/>
    <w:rsid w:val="00F0046B"/>
    <w:rsid w:val="00F00625"/>
    <w:rsid w:val="00F00B02"/>
    <w:rsid w:val="00F00DAE"/>
    <w:rsid w:val="00F01C01"/>
    <w:rsid w:val="00F01F26"/>
    <w:rsid w:val="00F0209C"/>
    <w:rsid w:val="00F0240E"/>
    <w:rsid w:val="00F02A1B"/>
    <w:rsid w:val="00F02B92"/>
    <w:rsid w:val="00F02C0D"/>
    <w:rsid w:val="00F02F08"/>
    <w:rsid w:val="00F0325D"/>
    <w:rsid w:val="00F034A1"/>
    <w:rsid w:val="00F035CD"/>
    <w:rsid w:val="00F03914"/>
    <w:rsid w:val="00F0393A"/>
    <w:rsid w:val="00F03DC1"/>
    <w:rsid w:val="00F03E21"/>
    <w:rsid w:val="00F03F0F"/>
    <w:rsid w:val="00F0402A"/>
    <w:rsid w:val="00F0429D"/>
    <w:rsid w:val="00F04651"/>
    <w:rsid w:val="00F048CC"/>
    <w:rsid w:val="00F05342"/>
    <w:rsid w:val="00F0562D"/>
    <w:rsid w:val="00F0597D"/>
    <w:rsid w:val="00F0641E"/>
    <w:rsid w:val="00F068B0"/>
    <w:rsid w:val="00F06BD5"/>
    <w:rsid w:val="00F06BD8"/>
    <w:rsid w:val="00F06C2B"/>
    <w:rsid w:val="00F06F69"/>
    <w:rsid w:val="00F072C3"/>
    <w:rsid w:val="00F07495"/>
    <w:rsid w:val="00F07C6B"/>
    <w:rsid w:val="00F07E8F"/>
    <w:rsid w:val="00F106AF"/>
    <w:rsid w:val="00F10F62"/>
    <w:rsid w:val="00F118F7"/>
    <w:rsid w:val="00F11C8E"/>
    <w:rsid w:val="00F11DA2"/>
    <w:rsid w:val="00F11E49"/>
    <w:rsid w:val="00F12047"/>
    <w:rsid w:val="00F12395"/>
    <w:rsid w:val="00F123E7"/>
    <w:rsid w:val="00F127C5"/>
    <w:rsid w:val="00F1301D"/>
    <w:rsid w:val="00F13245"/>
    <w:rsid w:val="00F13293"/>
    <w:rsid w:val="00F1352B"/>
    <w:rsid w:val="00F136FC"/>
    <w:rsid w:val="00F13B88"/>
    <w:rsid w:val="00F1419A"/>
    <w:rsid w:val="00F14344"/>
    <w:rsid w:val="00F1457F"/>
    <w:rsid w:val="00F14790"/>
    <w:rsid w:val="00F14A23"/>
    <w:rsid w:val="00F14C7F"/>
    <w:rsid w:val="00F1517D"/>
    <w:rsid w:val="00F15DAA"/>
    <w:rsid w:val="00F16450"/>
    <w:rsid w:val="00F16608"/>
    <w:rsid w:val="00F16712"/>
    <w:rsid w:val="00F167C4"/>
    <w:rsid w:val="00F16A16"/>
    <w:rsid w:val="00F173C2"/>
    <w:rsid w:val="00F1764F"/>
    <w:rsid w:val="00F1779A"/>
    <w:rsid w:val="00F177BD"/>
    <w:rsid w:val="00F17D6D"/>
    <w:rsid w:val="00F20580"/>
    <w:rsid w:val="00F20D7B"/>
    <w:rsid w:val="00F21325"/>
    <w:rsid w:val="00F21AEE"/>
    <w:rsid w:val="00F21F1C"/>
    <w:rsid w:val="00F227DB"/>
    <w:rsid w:val="00F2325B"/>
    <w:rsid w:val="00F23495"/>
    <w:rsid w:val="00F234BD"/>
    <w:rsid w:val="00F235EB"/>
    <w:rsid w:val="00F23A9D"/>
    <w:rsid w:val="00F23EBF"/>
    <w:rsid w:val="00F24397"/>
    <w:rsid w:val="00F2444A"/>
    <w:rsid w:val="00F24EE2"/>
    <w:rsid w:val="00F24FA0"/>
    <w:rsid w:val="00F25620"/>
    <w:rsid w:val="00F25A7A"/>
    <w:rsid w:val="00F2611B"/>
    <w:rsid w:val="00F2624B"/>
    <w:rsid w:val="00F26471"/>
    <w:rsid w:val="00F2661F"/>
    <w:rsid w:val="00F26B22"/>
    <w:rsid w:val="00F26EDC"/>
    <w:rsid w:val="00F2719B"/>
    <w:rsid w:val="00F271A5"/>
    <w:rsid w:val="00F272DD"/>
    <w:rsid w:val="00F272F5"/>
    <w:rsid w:val="00F27320"/>
    <w:rsid w:val="00F27B69"/>
    <w:rsid w:val="00F27E7D"/>
    <w:rsid w:val="00F27EA4"/>
    <w:rsid w:val="00F3004B"/>
    <w:rsid w:val="00F30576"/>
    <w:rsid w:val="00F30701"/>
    <w:rsid w:val="00F30BDC"/>
    <w:rsid w:val="00F30CFC"/>
    <w:rsid w:val="00F314A9"/>
    <w:rsid w:val="00F31812"/>
    <w:rsid w:val="00F31F32"/>
    <w:rsid w:val="00F31F64"/>
    <w:rsid w:val="00F320BF"/>
    <w:rsid w:val="00F3243E"/>
    <w:rsid w:val="00F325EC"/>
    <w:rsid w:val="00F32FE1"/>
    <w:rsid w:val="00F33D09"/>
    <w:rsid w:val="00F3414E"/>
    <w:rsid w:val="00F347DE"/>
    <w:rsid w:val="00F35392"/>
    <w:rsid w:val="00F3566E"/>
    <w:rsid w:val="00F35CDF"/>
    <w:rsid w:val="00F35CE8"/>
    <w:rsid w:val="00F3601B"/>
    <w:rsid w:val="00F3645A"/>
    <w:rsid w:val="00F36733"/>
    <w:rsid w:val="00F36852"/>
    <w:rsid w:val="00F36879"/>
    <w:rsid w:val="00F36A60"/>
    <w:rsid w:val="00F36CD6"/>
    <w:rsid w:val="00F36E54"/>
    <w:rsid w:val="00F370A1"/>
    <w:rsid w:val="00F401AA"/>
    <w:rsid w:val="00F402AD"/>
    <w:rsid w:val="00F4050A"/>
    <w:rsid w:val="00F405ED"/>
    <w:rsid w:val="00F4090A"/>
    <w:rsid w:val="00F4101D"/>
    <w:rsid w:val="00F41ACD"/>
    <w:rsid w:val="00F41D39"/>
    <w:rsid w:val="00F4222C"/>
    <w:rsid w:val="00F42DEA"/>
    <w:rsid w:val="00F4351B"/>
    <w:rsid w:val="00F43E63"/>
    <w:rsid w:val="00F44941"/>
    <w:rsid w:val="00F4507C"/>
    <w:rsid w:val="00F45362"/>
    <w:rsid w:val="00F45D8D"/>
    <w:rsid w:val="00F45E7B"/>
    <w:rsid w:val="00F46C62"/>
    <w:rsid w:val="00F46D15"/>
    <w:rsid w:val="00F47147"/>
    <w:rsid w:val="00F471D8"/>
    <w:rsid w:val="00F4734F"/>
    <w:rsid w:val="00F47401"/>
    <w:rsid w:val="00F47BBA"/>
    <w:rsid w:val="00F47CC5"/>
    <w:rsid w:val="00F47D13"/>
    <w:rsid w:val="00F50206"/>
    <w:rsid w:val="00F5028B"/>
    <w:rsid w:val="00F5067D"/>
    <w:rsid w:val="00F51536"/>
    <w:rsid w:val="00F51A21"/>
    <w:rsid w:val="00F52671"/>
    <w:rsid w:val="00F52853"/>
    <w:rsid w:val="00F52878"/>
    <w:rsid w:val="00F52C6B"/>
    <w:rsid w:val="00F52CFB"/>
    <w:rsid w:val="00F52E69"/>
    <w:rsid w:val="00F53FC5"/>
    <w:rsid w:val="00F54172"/>
    <w:rsid w:val="00F54414"/>
    <w:rsid w:val="00F54A67"/>
    <w:rsid w:val="00F55356"/>
    <w:rsid w:val="00F55D52"/>
    <w:rsid w:val="00F560F8"/>
    <w:rsid w:val="00F56276"/>
    <w:rsid w:val="00F563B5"/>
    <w:rsid w:val="00F5698C"/>
    <w:rsid w:val="00F56CDB"/>
    <w:rsid w:val="00F572BC"/>
    <w:rsid w:val="00F574F4"/>
    <w:rsid w:val="00F5760D"/>
    <w:rsid w:val="00F5789B"/>
    <w:rsid w:val="00F57BB6"/>
    <w:rsid w:val="00F60728"/>
    <w:rsid w:val="00F60AEE"/>
    <w:rsid w:val="00F610EF"/>
    <w:rsid w:val="00F617ED"/>
    <w:rsid w:val="00F61A08"/>
    <w:rsid w:val="00F61D3F"/>
    <w:rsid w:val="00F620E2"/>
    <w:rsid w:val="00F62D5E"/>
    <w:rsid w:val="00F62F7B"/>
    <w:rsid w:val="00F63074"/>
    <w:rsid w:val="00F63BAD"/>
    <w:rsid w:val="00F64094"/>
    <w:rsid w:val="00F649C5"/>
    <w:rsid w:val="00F64B21"/>
    <w:rsid w:val="00F64B3E"/>
    <w:rsid w:val="00F64DB4"/>
    <w:rsid w:val="00F650D6"/>
    <w:rsid w:val="00F655BA"/>
    <w:rsid w:val="00F659A3"/>
    <w:rsid w:val="00F65B13"/>
    <w:rsid w:val="00F65E86"/>
    <w:rsid w:val="00F660D8"/>
    <w:rsid w:val="00F663CA"/>
    <w:rsid w:val="00F665B8"/>
    <w:rsid w:val="00F66756"/>
    <w:rsid w:val="00F66F31"/>
    <w:rsid w:val="00F67010"/>
    <w:rsid w:val="00F67241"/>
    <w:rsid w:val="00F67E09"/>
    <w:rsid w:val="00F67E99"/>
    <w:rsid w:val="00F70041"/>
    <w:rsid w:val="00F7084C"/>
    <w:rsid w:val="00F715EE"/>
    <w:rsid w:val="00F716A2"/>
    <w:rsid w:val="00F71CB0"/>
    <w:rsid w:val="00F72019"/>
    <w:rsid w:val="00F720D1"/>
    <w:rsid w:val="00F72848"/>
    <w:rsid w:val="00F72871"/>
    <w:rsid w:val="00F7297F"/>
    <w:rsid w:val="00F72B34"/>
    <w:rsid w:val="00F73447"/>
    <w:rsid w:val="00F73474"/>
    <w:rsid w:val="00F7390A"/>
    <w:rsid w:val="00F73E3A"/>
    <w:rsid w:val="00F73F1F"/>
    <w:rsid w:val="00F74180"/>
    <w:rsid w:val="00F743E1"/>
    <w:rsid w:val="00F744D6"/>
    <w:rsid w:val="00F74512"/>
    <w:rsid w:val="00F7461D"/>
    <w:rsid w:val="00F7475F"/>
    <w:rsid w:val="00F7506E"/>
    <w:rsid w:val="00F7524A"/>
    <w:rsid w:val="00F75457"/>
    <w:rsid w:val="00F75694"/>
    <w:rsid w:val="00F757A5"/>
    <w:rsid w:val="00F75904"/>
    <w:rsid w:val="00F7673E"/>
    <w:rsid w:val="00F76ADC"/>
    <w:rsid w:val="00F7729C"/>
    <w:rsid w:val="00F77371"/>
    <w:rsid w:val="00F77761"/>
    <w:rsid w:val="00F779B3"/>
    <w:rsid w:val="00F77A78"/>
    <w:rsid w:val="00F77B4E"/>
    <w:rsid w:val="00F80070"/>
    <w:rsid w:val="00F80297"/>
    <w:rsid w:val="00F802B6"/>
    <w:rsid w:val="00F805CC"/>
    <w:rsid w:val="00F80614"/>
    <w:rsid w:val="00F80658"/>
    <w:rsid w:val="00F808C4"/>
    <w:rsid w:val="00F810EB"/>
    <w:rsid w:val="00F81981"/>
    <w:rsid w:val="00F81B0B"/>
    <w:rsid w:val="00F81BF1"/>
    <w:rsid w:val="00F81DAB"/>
    <w:rsid w:val="00F81E6D"/>
    <w:rsid w:val="00F81EA4"/>
    <w:rsid w:val="00F81ECB"/>
    <w:rsid w:val="00F820D9"/>
    <w:rsid w:val="00F82B64"/>
    <w:rsid w:val="00F82CF6"/>
    <w:rsid w:val="00F82FA8"/>
    <w:rsid w:val="00F8329D"/>
    <w:rsid w:val="00F83507"/>
    <w:rsid w:val="00F83B72"/>
    <w:rsid w:val="00F83F0C"/>
    <w:rsid w:val="00F84162"/>
    <w:rsid w:val="00F8444E"/>
    <w:rsid w:val="00F8445A"/>
    <w:rsid w:val="00F845AF"/>
    <w:rsid w:val="00F84655"/>
    <w:rsid w:val="00F84A04"/>
    <w:rsid w:val="00F85539"/>
    <w:rsid w:val="00F85550"/>
    <w:rsid w:val="00F86085"/>
    <w:rsid w:val="00F86B40"/>
    <w:rsid w:val="00F86B69"/>
    <w:rsid w:val="00F871F5"/>
    <w:rsid w:val="00F87559"/>
    <w:rsid w:val="00F9053D"/>
    <w:rsid w:val="00F90A3F"/>
    <w:rsid w:val="00F90EAD"/>
    <w:rsid w:val="00F90F8E"/>
    <w:rsid w:val="00F914ED"/>
    <w:rsid w:val="00F9151E"/>
    <w:rsid w:val="00F91521"/>
    <w:rsid w:val="00F91624"/>
    <w:rsid w:val="00F918B7"/>
    <w:rsid w:val="00F91B2A"/>
    <w:rsid w:val="00F91EDF"/>
    <w:rsid w:val="00F91F6A"/>
    <w:rsid w:val="00F92074"/>
    <w:rsid w:val="00F92B4A"/>
    <w:rsid w:val="00F93404"/>
    <w:rsid w:val="00F93654"/>
    <w:rsid w:val="00F9380B"/>
    <w:rsid w:val="00F93BA8"/>
    <w:rsid w:val="00F940FB"/>
    <w:rsid w:val="00F9472E"/>
    <w:rsid w:val="00F9497C"/>
    <w:rsid w:val="00F95554"/>
    <w:rsid w:val="00F95F41"/>
    <w:rsid w:val="00F96069"/>
    <w:rsid w:val="00F96070"/>
    <w:rsid w:val="00F96A2A"/>
    <w:rsid w:val="00F96D9C"/>
    <w:rsid w:val="00F97394"/>
    <w:rsid w:val="00F97672"/>
    <w:rsid w:val="00F977FC"/>
    <w:rsid w:val="00F97878"/>
    <w:rsid w:val="00F97B5A"/>
    <w:rsid w:val="00F97CD2"/>
    <w:rsid w:val="00F97D9A"/>
    <w:rsid w:val="00FA03C0"/>
    <w:rsid w:val="00FA0895"/>
    <w:rsid w:val="00FA09BD"/>
    <w:rsid w:val="00FA0F49"/>
    <w:rsid w:val="00FA1228"/>
    <w:rsid w:val="00FA137D"/>
    <w:rsid w:val="00FA148C"/>
    <w:rsid w:val="00FA17B0"/>
    <w:rsid w:val="00FA18A3"/>
    <w:rsid w:val="00FA1AA2"/>
    <w:rsid w:val="00FA1D0F"/>
    <w:rsid w:val="00FA1F62"/>
    <w:rsid w:val="00FA2157"/>
    <w:rsid w:val="00FA2329"/>
    <w:rsid w:val="00FA2759"/>
    <w:rsid w:val="00FA32F6"/>
    <w:rsid w:val="00FA3853"/>
    <w:rsid w:val="00FA3867"/>
    <w:rsid w:val="00FA4167"/>
    <w:rsid w:val="00FA463B"/>
    <w:rsid w:val="00FA496F"/>
    <w:rsid w:val="00FA49F0"/>
    <w:rsid w:val="00FA4A34"/>
    <w:rsid w:val="00FA4A78"/>
    <w:rsid w:val="00FA5227"/>
    <w:rsid w:val="00FA5229"/>
    <w:rsid w:val="00FA544C"/>
    <w:rsid w:val="00FA5901"/>
    <w:rsid w:val="00FA6242"/>
    <w:rsid w:val="00FA6683"/>
    <w:rsid w:val="00FA6A47"/>
    <w:rsid w:val="00FA70BB"/>
    <w:rsid w:val="00FA7AF8"/>
    <w:rsid w:val="00FA7DD5"/>
    <w:rsid w:val="00FB0017"/>
    <w:rsid w:val="00FB02DD"/>
    <w:rsid w:val="00FB0EF3"/>
    <w:rsid w:val="00FB0FD3"/>
    <w:rsid w:val="00FB138B"/>
    <w:rsid w:val="00FB1960"/>
    <w:rsid w:val="00FB1CDD"/>
    <w:rsid w:val="00FB1E46"/>
    <w:rsid w:val="00FB2325"/>
    <w:rsid w:val="00FB26C0"/>
    <w:rsid w:val="00FB2C53"/>
    <w:rsid w:val="00FB2D84"/>
    <w:rsid w:val="00FB3306"/>
    <w:rsid w:val="00FB369D"/>
    <w:rsid w:val="00FB3841"/>
    <w:rsid w:val="00FB3A59"/>
    <w:rsid w:val="00FB3D05"/>
    <w:rsid w:val="00FB3F18"/>
    <w:rsid w:val="00FB3FA1"/>
    <w:rsid w:val="00FB4067"/>
    <w:rsid w:val="00FB41B2"/>
    <w:rsid w:val="00FB4247"/>
    <w:rsid w:val="00FB452D"/>
    <w:rsid w:val="00FB48D4"/>
    <w:rsid w:val="00FB48FC"/>
    <w:rsid w:val="00FB4931"/>
    <w:rsid w:val="00FB4C77"/>
    <w:rsid w:val="00FB4E68"/>
    <w:rsid w:val="00FB4EA8"/>
    <w:rsid w:val="00FB51AB"/>
    <w:rsid w:val="00FB53ED"/>
    <w:rsid w:val="00FB5F08"/>
    <w:rsid w:val="00FB6030"/>
    <w:rsid w:val="00FB609B"/>
    <w:rsid w:val="00FB60EF"/>
    <w:rsid w:val="00FB6201"/>
    <w:rsid w:val="00FB62E0"/>
    <w:rsid w:val="00FB6382"/>
    <w:rsid w:val="00FB63B5"/>
    <w:rsid w:val="00FB6CF3"/>
    <w:rsid w:val="00FB6D4B"/>
    <w:rsid w:val="00FB724C"/>
    <w:rsid w:val="00FB76A5"/>
    <w:rsid w:val="00FB7756"/>
    <w:rsid w:val="00FB7AD9"/>
    <w:rsid w:val="00FC0556"/>
    <w:rsid w:val="00FC097C"/>
    <w:rsid w:val="00FC0A08"/>
    <w:rsid w:val="00FC12FF"/>
    <w:rsid w:val="00FC1620"/>
    <w:rsid w:val="00FC221A"/>
    <w:rsid w:val="00FC2525"/>
    <w:rsid w:val="00FC2C49"/>
    <w:rsid w:val="00FC383C"/>
    <w:rsid w:val="00FC389F"/>
    <w:rsid w:val="00FC3E3C"/>
    <w:rsid w:val="00FC404F"/>
    <w:rsid w:val="00FC412E"/>
    <w:rsid w:val="00FC4759"/>
    <w:rsid w:val="00FC4BBA"/>
    <w:rsid w:val="00FC4D74"/>
    <w:rsid w:val="00FC51D4"/>
    <w:rsid w:val="00FC5561"/>
    <w:rsid w:val="00FC5753"/>
    <w:rsid w:val="00FC5C97"/>
    <w:rsid w:val="00FC61D4"/>
    <w:rsid w:val="00FC6ADF"/>
    <w:rsid w:val="00FC7458"/>
    <w:rsid w:val="00FC78A9"/>
    <w:rsid w:val="00FC7E3F"/>
    <w:rsid w:val="00FD00FD"/>
    <w:rsid w:val="00FD0193"/>
    <w:rsid w:val="00FD0367"/>
    <w:rsid w:val="00FD04C8"/>
    <w:rsid w:val="00FD0652"/>
    <w:rsid w:val="00FD068A"/>
    <w:rsid w:val="00FD0985"/>
    <w:rsid w:val="00FD09EE"/>
    <w:rsid w:val="00FD113D"/>
    <w:rsid w:val="00FD1439"/>
    <w:rsid w:val="00FD1729"/>
    <w:rsid w:val="00FD252F"/>
    <w:rsid w:val="00FD25F0"/>
    <w:rsid w:val="00FD2752"/>
    <w:rsid w:val="00FD2F32"/>
    <w:rsid w:val="00FD3AC4"/>
    <w:rsid w:val="00FD3D67"/>
    <w:rsid w:val="00FD3F23"/>
    <w:rsid w:val="00FD4284"/>
    <w:rsid w:val="00FD461B"/>
    <w:rsid w:val="00FD464C"/>
    <w:rsid w:val="00FD509C"/>
    <w:rsid w:val="00FD50BA"/>
    <w:rsid w:val="00FD54F1"/>
    <w:rsid w:val="00FD6049"/>
    <w:rsid w:val="00FD6741"/>
    <w:rsid w:val="00FD6A12"/>
    <w:rsid w:val="00FD6B9E"/>
    <w:rsid w:val="00FD736E"/>
    <w:rsid w:val="00FD77D4"/>
    <w:rsid w:val="00FD7A4D"/>
    <w:rsid w:val="00FD7B24"/>
    <w:rsid w:val="00FE00ED"/>
    <w:rsid w:val="00FE1274"/>
    <w:rsid w:val="00FE1297"/>
    <w:rsid w:val="00FE14AD"/>
    <w:rsid w:val="00FE14D1"/>
    <w:rsid w:val="00FE1580"/>
    <w:rsid w:val="00FE19D0"/>
    <w:rsid w:val="00FE1DBC"/>
    <w:rsid w:val="00FE269E"/>
    <w:rsid w:val="00FE29C3"/>
    <w:rsid w:val="00FE29D1"/>
    <w:rsid w:val="00FE2B01"/>
    <w:rsid w:val="00FE2CAF"/>
    <w:rsid w:val="00FE2CF2"/>
    <w:rsid w:val="00FE2EC8"/>
    <w:rsid w:val="00FE32EF"/>
    <w:rsid w:val="00FE3527"/>
    <w:rsid w:val="00FE411F"/>
    <w:rsid w:val="00FE4545"/>
    <w:rsid w:val="00FE48DB"/>
    <w:rsid w:val="00FE54F0"/>
    <w:rsid w:val="00FE555E"/>
    <w:rsid w:val="00FE5812"/>
    <w:rsid w:val="00FE66BE"/>
    <w:rsid w:val="00FE6EC8"/>
    <w:rsid w:val="00FE7843"/>
    <w:rsid w:val="00FE7A44"/>
    <w:rsid w:val="00FE7DCC"/>
    <w:rsid w:val="00FE7F8F"/>
    <w:rsid w:val="00FF0462"/>
    <w:rsid w:val="00FF16EF"/>
    <w:rsid w:val="00FF1B5C"/>
    <w:rsid w:val="00FF20FD"/>
    <w:rsid w:val="00FF30AF"/>
    <w:rsid w:val="00FF36D8"/>
    <w:rsid w:val="00FF36FE"/>
    <w:rsid w:val="00FF3875"/>
    <w:rsid w:val="00FF38AA"/>
    <w:rsid w:val="00FF3D0A"/>
    <w:rsid w:val="00FF42F5"/>
    <w:rsid w:val="00FF46F3"/>
    <w:rsid w:val="00FF4F7D"/>
    <w:rsid w:val="00FF61D9"/>
    <w:rsid w:val="00FF68B2"/>
    <w:rsid w:val="00FF6F22"/>
    <w:rsid w:val="00FF7010"/>
    <w:rsid w:val="00FF72E1"/>
    <w:rsid w:val="00FF7510"/>
    <w:rsid w:val="00FF75AD"/>
    <w:rsid w:val="00FF797C"/>
    <w:rsid w:val="00FF7CFD"/>
    <w:rsid w:val="01040232"/>
    <w:rsid w:val="01072F48"/>
    <w:rsid w:val="01093F7D"/>
    <w:rsid w:val="010E5167"/>
    <w:rsid w:val="01110171"/>
    <w:rsid w:val="0112415B"/>
    <w:rsid w:val="011473B7"/>
    <w:rsid w:val="012313A8"/>
    <w:rsid w:val="012873DD"/>
    <w:rsid w:val="01296CCE"/>
    <w:rsid w:val="01297CA0"/>
    <w:rsid w:val="012D2227"/>
    <w:rsid w:val="012D7AAC"/>
    <w:rsid w:val="012F41F1"/>
    <w:rsid w:val="01323CE1"/>
    <w:rsid w:val="01374C18"/>
    <w:rsid w:val="013A5455"/>
    <w:rsid w:val="013B2B96"/>
    <w:rsid w:val="013E4434"/>
    <w:rsid w:val="01400398"/>
    <w:rsid w:val="01422176"/>
    <w:rsid w:val="014452FA"/>
    <w:rsid w:val="014632E9"/>
    <w:rsid w:val="01476284"/>
    <w:rsid w:val="014852B3"/>
    <w:rsid w:val="014A3A81"/>
    <w:rsid w:val="014C6B51"/>
    <w:rsid w:val="014F219D"/>
    <w:rsid w:val="014F6463"/>
    <w:rsid w:val="01513954"/>
    <w:rsid w:val="01527C9C"/>
    <w:rsid w:val="015E4ACC"/>
    <w:rsid w:val="016120FE"/>
    <w:rsid w:val="01626374"/>
    <w:rsid w:val="016519C1"/>
    <w:rsid w:val="01655E65"/>
    <w:rsid w:val="0169685A"/>
    <w:rsid w:val="016B7C0E"/>
    <w:rsid w:val="016E583E"/>
    <w:rsid w:val="016F45ED"/>
    <w:rsid w:val="01703B2F"/>
    <w:rsid w:val="01710365"/>
    <w:rsid w:val="01714809"/>
    <w:rsid w:val="01730582"/>
    <w:rsid w:val="01747F55"/>
    <w:rsid w:val="01761E20"/>
    <w:rsid w:val="017A355E"/>
    <w:rsid w:val="017B11E4"/>
    <w:rsid w:val="017B429C"/>
    <w:rsid w:val="01830099"/>
    <w:rsid w:val="01864968"/>
    <w:rsid w:val="0187402D"/>
    <w:rsid w:val="018B1DB6"/>
    <w:rsid w:val="018C33F1"/>
    <w:rsid w:val="018D1303"/>
    <w:rsid w:val="018E53BB"/>
    <w:rsid w:val="0192652E"/>
    <w:rsid w:val="01933E6D"/>
    <w:rsid w:val="01970BC3"/>
    <w:rsid w:val="01980A92"/>
    <w:rsid w:val="019D55FE"/>
    <w:rsid w:val="019E1669"/>
    <w:rsid w:val="01A4698D"/>
    <w:rsid w:val="01A52705"/>
    <w:rsid w:val="01B44181"/>
    <w:rsid w:val="01B61672"/>
    <w:rsid w:val="01B91D0C"/>
    <w:rsid w:val="01BB7833"/>
    <w:rsid w:val="01C012ED"/>
    <w:rsid w:val="01C04E49"/>
    <w:rsid w:val="01C73C8F"/>
    <w:rsid w:val="01C761D7"/>
    <w:rsid w:val="01C861D8"/>
    <w:rsid w:val="01C901A1"/>
    <w:rsid w:val="01CB0861"/>
    <w:rsid w:val="01CB0F78"/>
    <w:rsid w:val="01CB2408"/>
    <w:rsid w:val="01CC7C92"/>
    <w:rsid w:val="01CD008B"/>
    <w:rsid w:val="01CE57B8"/>
    <w:rsid w:val="01CF32DE"/>
    <w:rsid w:val="01D05B9E"/>
    <w:rsid w:val="01D35D3E"/>
    <w:rsid w:val="01D442E3"/>
    <w:rsid w:val="01D56040"/>
    <w:rsid w:val="01D66A1A"/>
    <w:rsid w:val="01D86637"/>
    <w:rsid w:val="01E730A7"/>
    <w:rsid w:val="01F128CB"/>
    <w:rsid w:val="01F30A06"/>
    <w:rsid w:val="01F7008B"/>
    <w:rsid w:val="01F937FD"/>
    <w:rsid w:val="01FA166A"/>
    <w:rsid w:val="01FB2325"/>
    <w:rsid w:val="01FF3BC3"/>
    <w:rsid w:val="02001F35"/>
    <w:rsid w:val="02007BB7"/>
    <w:rsid w:val="020B07BA"/>
    <w:rsid w:val="020E6C8E"/>
    <w:rsid w:val="020E6E43"/>
    <w:rsid w:val="020F5B76"/>
    <w:rsid w:val="021052EA"/>
    <w:rsid w:val="021148A8"/>
    <w:rsid w:val="0212546F"/>
    <w:rsid w:val="021A27AB"/>
    <w:rsid w:val="021D146B"/>
    <w:rsid w:val="021D1B47"/>
    <w:rsid w:val="021D2D7C"/>
    <w:rsid w:val="02217A56"/>
    <w:rsid w:val="02220517"/>
    <w:rsid w:val="0224187C"/>
    <w:rsid w:val="022644A3"/>
    <w:rsid w:val="022A69A2"/>
    <w:rsid w:val="022B2C0A"/>
    <w:rsid w:val="023000CF"/>
    <w:rsid w:val="02333474"/>
    <w:rsid w:val="02340617"/>
    <w:rsid w:val="02380E83"/>
    <w:rsid w:val="0238253A"/>
    <w:rsid w:val="023B4716"/>
    <w:rsid w:val="023B6BC5"/>
    <w:rsid w:val="023C2195"/>
    <w:rsid w:val="023C41F5"/>
    <w:rsid w:val="023D220D"/>
    <w:rsid w:val="023D318D"/>
    <w:rsid w:val="023F7EE7"/>
    <w:rsid w:val="02445961"/>
    <w:rsid w:val="02447828"/>
    <w:rsid w:val="0244793D"/>
    <w:rsid w:val="02477318"/>
    <w:rsid w:val="024B505A"/>
    <w:rsid w:val="024C38F4"/>
    <w:rsid w:val="024C61BE"/>
    <w:rsid w:val="025114D9"/>
    <w:rsid w:val="02533F0F"/>
    <w:rsid w:val="02577065"/>
    <w:rsid w:val="02583232"/>
    <w:rsid w:val="025B3D7E"/>
    <w:rsid w:val="025E7A82"/>
    <w:rsid w:val="02622830"/>
    <w:rsid w:val="02661032"/>
    <w:rsid w:val="02694C83"/>
    <w:rsid w:val="026E02DD"/>
    <w:rsid w:val="026E6F9B"/>
    <w:rsid w:val="0270061D"/>
    <w:rsid w:val="027050DD"/>
    <w:rsid w:val="02714395"/>
    <w:rsid w:val="02755C49"/>
    <w:rsid w:val="02764CE6"/>
    <w:rsid w:val="02783976"/>
    <w:rsid w:val="02785724"/>
    <w:rsid w:val="027A1136"/>
    <w:rsid w:val="027A149C"/>
    <w:rsid w:val="027D71DE"/>
    <w:rsid w:val="028077D7"/>
    <w:rsid w:val="02814DBA"/>
    <w:rsid w:val="02820350"/>
    <w:rsid w:val="0284231A"/>
    <w:rsid w:val="028711AE"/>
    <w:rsid w:val="028916DF"/>
    <w:rsid w:val="028B70EE"/>
    <w:rsid w:val="028B75EF"/>
    <w:rsid w:val="028D4AE0"/>
    <w:rsid w:val="028D5BF3"/>
    <w:rsid w:val="028E5F70"/>
    <w:rsid w:val="028F7330"/>
    <w:rsid w:val="02913644"/>
    <w:rsid w:val="029167E5"/>
    <w:rsid w:val="029307AF"/>
    <w:rsid w:val="02931E22"/>
    <w:rsid w:val="02951F95"/>
    <w:rsid w:val="029702A0"/>
    <w:rsid w:val="029A7D90"/>
    <w:rsid w:val="029C7664"/>
    <w:rsid w:val="02A604E3"/>
    <w:rsid w:val="02A824AD"/>
    <w:rsid w:val="02AB14E6"/>
    <w:rsid w:val="02AD361F"/>
    <w:rsid w:val="02AD51D0"/>
    <w:rsid w:val="02B16219"/>
    <w:rsid w:val="02B6709D"/>
    <w:rsid w:val="02B75D12"/>
    <w:rsid w:val="02B76C7D"/>
    <w:rsid w:val="02B9266D"/>
    <w:rsid w:val="02BA5D3C"/>
    <w:rsid w:val="02BE247E"/>
    <w:rsid w:val="02BF2237"/>
    <w:rsid w:val="02C170CB"/>
    <w:rsid w:val="02C40AC2"/>
    <w:rsid w:val="02C458C8"/>
    <w:rsid w:val="02CB55B9"/>
    <w:rsid w:val="02CC42EB"/>
    <w:rsid w:val="02CD5A6F"/>
    <w:rsid w:val="02D23086"/>
    <w:rsid w:val="02D313B6"/>
    <w:rsid w:val="02D432A2"/>
    <w:rsid w:val="02D768EE"/>
    <w:rsid w:val="02D93965"/>
    <w:rsid w:val="02DA63DE"/>
    <w:rsid w:val="02DA7875"/>
    <w:rsid w:val="02DB114A"/>
    <w:rsid w:val="02DC050C"/>
    <w:rsid w:val="02DC5CB3"/>
    <w:rsid w:val="02DE2EF8"/>
    <w:rsid w:val="02EB7596"/>
    <w:rsid w:val="02F2136E"/>
    <w:rsid w:val="02FC6355"/>
    <w:rsid w:val="02FF7BF3"/>
    <w:rsid w:val="03002423"/>
    <w:rsid w:val="03004E02"/>
    <w:rsid w:val="03015719"/>
    <w:rsid w:val="03031491"/>
    <w:rsid w:val="030516AD"/>
    <w:rsid w:val="03056994"/>
    <w:rsid w:val="03084CFA"/>
    <w:rsid w:val="03094FF7"/>
    <w:rsid w:val="030A0A72"/>
    <w:rsid w:val="030E7406"/>
    <w:rsid w:val="030E7E36"/>
    <w:rsid w:val="03165668"/>
    <w:rsid w:val="03167028"/>
    <w:rsid w:val="03190CB5"/>
    <w:rsid w:val="03195159"/>
    <w:rsid w:val="031A4A2D"/>
    <w:rsid w:val="03220F3E"/>
    <w:rsid w:val="0323019C"/>
    <w:rsid w:val="03232CF9"/>
    <w:rsid w:val="03280EF8"/>
    <w:rsid w:val="032A06FB"/>
    <w:rsid w:val="032C25BC"/>
    <w:rsid w:val="032C4E8C"/>
    <w:rsid w:val="03305094"/>
    <w:rsid w:val="03324574"/>
    <w:rsid w:val="0334745E"/>
    <w:rsid w:val="033755DF"/>
    <w:rsid w:val="033E4BBF"/>
    <w:rsid w:val="0345528A"/>
    <w:rsid w:val="034D095E"/>
    <w:rsid w:val="034F45E8"/>
    <w:rsid w:val="034F46D6"/>
    <w:rsid w:val="034F484F"/>
    <w:rsid w:val="03507AEF"/>
    <w:rsid w:val="035241C7"/>
    <w:rsid w:val="03536BCC"/>
    <w:rsid w:val="03595555"/>
    <w:rsid w:val="035D39A0"/>
    <w:rsid w:val="03632E30"/>
    <w:rsid w:val="03655CA8"/>
    <w:rsid w:val="03664F47"/>
    <w:rsid w:val="03685798"/>
    <w:rsid w:val="036A7762"/>
    <w:rsid w:val="036D1000"/>
    <w:rsid w:val="036D7252"/>
    <w:rsid w:val="036F6B27"/>
    <w:rsid w:val="03724B36"/>
    <w:rsid w:val="03725D80"/>
    <w:rsid w:val="037410FE"/>
    <w:rsid w:val="037474BD"/>
    <w:rsid w:val="03750ED4"/>
    <w:rsid w:val="037615D4"/>
    <w:rsid w:val="03795BF7"/>
    <w:rsid w:val="037C5C8A"/>
    <w:rsid w:val="037C7496"/>
    <w:rsid w:val="037E4FBC"/>
    <w:rsid w:val="037E6BB8"/>
    <w:rsid w:val="0384413B"/>
    <w:rsid w:val="0385459C"/>
    <w:rsid w:val="0389238A"/>
    <w:rsid w:val="038A0108"/>
    <w:rsid w:val="038D51FF"/>
    <w:rsid w:val="038F265D"/>
    <w:rsid w:val="039220E8"/>
    <w:rsid w:val="039755A9"/>
    <w:rsid w:val="03975AC9"/>
    <w:rsid w:val="03993DBA"/>
    <w:rsid w:val="039C2B14"/>
    <w:rsid w:val="039D6C50"/>
    <w:rsid w:val="03A42634"/>
    <w:rsid w:val="03A859A0"/>
    <w:rsid w:val="03AB4F52"/>
    <w:rsid w:val="03AC0546"/>
    <w:rsid w:val="03AD58A1"/>
    <w:rsid w:val="03B44E81"/>
    <w:rsid w:val="03B50BBF"/>
    <w:rsid w:val="03B633AB"/>
    <w:rsid w:val="03B67FCA"/>
    <w:rsid w:val="03B70FA8"/>
    <w:rsid w:val="03B80955"/>
    <w:rsid w:val="03B95FF4"/>
    <w:rsid w:val="03BE185C"/>
    <w:rsid w:val="03CA0201"/>
    <w:rsid w:val="03CA6453"/>
    <w:rsid w:val="03CE43F0"/>
    <w:rsid w:val="03CE4D79"/>
    <w:rsid w:val="03D03378"/>
    <w:rsid w:val="03D16926"/>
    <w:rsid w:val="03D26DCE"/>
    <w:rsid w:val="03D64DF8"/>
    <w:rsid w:val="03D755EC"/>
    <w:rsid w:val="03E51E05"/>
    <w:rsid w:val="03E5503B"/>
    <w:rsid w:val="03E5590A"/>
    <w:rsid w:val="03E976DD"/>
    <w:rsid w:val="03EA08A3"/>
    <w:rsid w:val="03EF2B33"/>
    <w:rsid w:val="03EF7C67"/>
    <w:rsid w:val="03F139E0"/>
    <w:rsid w:val="03F35447"/>
    <w:rsid w:val="03F37758"/>
    <w:rsid w:val="03FA61DB"/>
    <w:rsid w:val="03FC2BCA"/>
    <w:rsid w:val="03FF3E8D"/>
    <w:rsid w:val="040B7E59"/>
    <w:rsid w:val="04101DB7"/>
    <w:rsid w:val="04137DFA"/>
    <w:rsid w:val="041476CE"/>
    <w:rsid w:val="04166B3C"/>
    <w:rsid w:val="041871BE"/>
    <w:rsid w:val="04190A8F"/>
    <w:rsid w:val="041A2F36"/>
    <w:rsid w:val="041F54FB"/>
    <w:rsid w:val="042518DB"/>
    <w:rsid w:val="042948F2"/>
    <w:rsid w:val="04294F58"/>
    <w:rsid w:val="042A0FA8"/>
    <w:rsid w:val="042E6715"/>
    <w:rsid w:val="042F1187"/>
    <w:rsid w:val="042F2C0C"/>
    <w:rsid w:val="04310E7B"/>
    <w:rsid w:val="04323463"/>
    <w:rsid w:val="04357D70"/>
    <w:rsid w:val="04365012"/>
    <w:rsid w:val="04365D91"/>
    <w:rsid w:val="04390EE3"/>
    <w:rsid w:val="0439572B"/>
    <w:rsid w:val="043B10FF"/>
    <w:rsid w:val="043F38B1"/>
    <w:rsid w:val="04446205"/>
    <w:rsid w:val="04461020"/>
    <w:rsid w:val="04473600"/>
    <w:rsid w:val="04477AA3"/>
    <w:rsid w:val="044B5C73"/>
    <w:rsid w:val="044C330C"/>
    <w:rsid w:val="044E17D6"/>
    <w:rsid w:val="04507501"/>
    <w:rsid w:val="0452341B"/>
    <w:rsid w:val="04531644"/>
    <w:rsid w:val="04536750"/>
    <w:rsid w:val="045621C5"/>
    <w:rsid w:val="045B6E70"/>
    <w:rsid w:val="045D72C7"/>
    <w:rsid w:val="046353E3"/>
    <w:rsid w:val="046442CB"/>
    <w:rsid w:val="046447EC"/>
    <w:rsid w:val="046B5540"/>
    <w:rsid w:val="046D5955"/>
    <w:rsid w:val="04710B23"/>
    <w:rsid w:val="047343F5"/>
    <w:rsid w:val="0475494B"/>
    <w:rsid w:val="04754C8F"/>
    <w:rsid w:val="04770A95"/>
    <w:rsid w:val="04781A0B"/>
    <w:rsid w:val="047B09B6"/>
    <w:rsid w:val="047B1719"/>
    <w:rsid w:val="047C20F3"/>
    <w:rsid w:val="047D389E"/>
    <w:rsid w:val="047E36A4"/>
    <w:rsid w:val="047F2DDF"/>
    <w:rsid w:val="047F420A"/>
    <w:rsid w:val="04802032"/>
    <w:rsid w:val="048209F9"/>
    <w:rsid w:val="04820ADC"/>
    <w:rsid w:val="04865AED"/>
    <w:rsid w:val="048760F2"/>
    <w:rsid w:val="048D2738"/>
    <w:rsid w:val="04936845"/>
    <w:rsid w:val="04956A61"/>
    <w:rsid w:val="049745E6"/>
    <w:rsid w:val="049820AD"/>
    <w:rsid w:val="049C7878"/>
    <w:rsid w:val="049E5612"/>
    <w:rsid w:val="04A942BA"/>
    <w:rsid w:val="04AB1614"/>
    <w:rsid w:val="04AB1EA0"/>
    <w:rsid w:val="04B15528"/>
    <w:rsid w:val="04B30C95"/>
    <w:rsid w:val="04B74C29"/>
    <w:rsid w:val="04BB3044"/>
    <w:rsid w:val="04BC1D1A"/>
    <w:rsid w:val="04BC3FEE"/>
    <w:rsid w:val="04BD7D66"/>
    <w:rsid w:val="04BF763A"/>
    <w:rsid w:val="04C07235"/>
    <w:rsid w:val="04C21411"/>
    <w:rsid w:val="04C34715"/>
    <w:rsid w:val="04C44478"/>
    <w:rsid w:val="04C47496"/>
    <w:rsid w:val="04C5686B"/>
    <w:rsid w:val="04C924C0"/>
    <w:rsid w:val="04C959D7"/>
    <w:rsid w:val="04CA4C2A"/>
    <w:rsid w:val="04CE2CC9"/>
    <w:rsid w:val="04D10807"/>
    <w:rsid w:val="04D83FE6"/>
    <w:rsid w:val="04DF5F2E"/>
    <w:rsid w:val="04E151E3"/>
    <w:rsid w:val="04E62105"/>
    <w:rsid w:val="04E70360"/>
    <w:rsid w:val="04E7150E"/>
    <w:rsid w:val="04E86B91"/>
    <w:rsid w:val="04E90C8B"/>
    <w:rsid w:val="04E92909"/>
    <w:rsid w:val="04E946B7"/>
    <w:rsid w:val="04EB5887"/>
    <w:rsid w:val="04EE32A9"/>
    <w:rsid w:val="04EE765A"/>
    <w:rsid w:val="04F27A0F"/>
    <w:rsid w:val="04F574FF"/>
    <w:rsid w:val="04F64013"/>
    <w:rsid w:val="04FC06E2"/>
    <w:rsid w:val="04FE17BB"/>
    <w:rsid w:val="05026FE8"/>
    <w:rsid w:val="05042DBC"/>
    <w:rsid w:val="05045825"/>
    <w:rsid w:val="05054488"/>
    <w:rsid w:val="050A25F3"/>
    <w:rsid w:val="050C39A8"/>
    <w:rsid w:val="050D5910"/>
    <w:rsid w:val="05107E95"/>
    <w:rsid w:val="051536FE"/>
    <w:rsid w:val="05154177"/>
    <w:rsid w:val="05184F9C"/>
    <w:rsid w:val="051A5F1D"/>
    <w:rsid w:val="051C278D"/>
    <w:rsid w:val="051F457C"/>
    <w:rsid w:val="052043E4"/>
    <w:rsid w:val="05212B27"/>
    <w:rsid w:val="0522236A"/>
    <w:rsid w:val="052851DF"/>
    <w:rsid w:val="052D3B24"/>
    <w:rsid w:val="052D6C99"/>
    <w:rsid w:val="052E66A1"/>
    <w:rsid w:val="05304CFD"/>
    <w:rsid w:val="0532605E"/>
    <w:rsid w:val="05375A47"/>
    <w:rsid w:val="053A3164"/>
    <w:rsid w:val="053C512E"/>
    <w:rsid w:val="053E0B8B"/>
    <w:rsid w:val="053F4959"/>
    <w:rsid w:val="053F716F"/>
    <w:rsid w:val="054364BD"/>
    <w:rsid w:val="05465378"/>
    <w:rsid w:val="0549044B"/>
    <w:rsid w:val="054D194C"/>
    <w:rsid w:val="054F6C10"/>
    <w:rsid w:val="05502AF6"/>
    <w:rsid w:val="055204AE"/>
    <w:rsid w:val="055629C0"/>
    <w:rsid w:val="0559114E"/>
    <w:rsid w:val="055B5E8C"/>
    <w:rsid w:val="055D26FA"/>
    <w:rsid w:val="055E6E53"/>
    <w:rsid w:val="055F06BF"/>
    <w:rsid w:val="05612280"/>
    <w:rsid w:val="056A607A"/>
    <w:rsid w:val="056B5B59"/>
    <w:rsid w:val="056D353A"/>
    <w:rsid w:val="056D7BA3"/>
    <w:rsid w:val="056F72B2"/>
    <w:rsid w:val="05747EB4"/>
    <w:rsid w:val="05761C29"/>
    <w:rsid w:val="057760FF"/>
    <w:rsid w:val="057C377D"/>
    <w:rsid w:val="058014BF"/>
    <w:rsid w:val="05810D93"/>
    <w:rsid w:val="05821F6E"/>
    <w:rsid w:val="05854D43"/>
    <w:rsid w:val="058638C0"/>
    <w:rsid w:val="0588403E"/>
    <w:rsid w:val="058F34B0"/>
    <w:rsid w:val="05926A54"/>
    <w:rsid w:val="05926AFC"/>
    <w:rsid w:val="05930833"/>
    <w:rsid w:val="059A3C03"/>
    <w:rsid w:val="059C797B"/>
    <w:rsid w:val="05A32BC9"/>
    <w:rsid w:val="05A32D8D"/>
    <w:rsid w:val="05A570A2"/>
    <w:rsid w:val="05AC1AAE"/>
    <w:rsid w:val="05AD779D"/>
    <w:rsid w:val="05AD7DDA"/>
    <w:rsid w:val="05AF5475"/>
    <w:rsid w:val="05B60993"/>
    <w:rsid w:val="05B60A3D"/>
    <w:rsid w:val="05B82AAB"/>
    <w:rsid w:val="05B9052D"/>
    <w:rsid w:val="05BB7389"/>
    <w:rsid w:val="05BC559D"/>
    <w:rsid w:val="05BE6B16"/>
    <w:rsid w:val="05BE78F1"/>
    <w:rsid w:val="05BF76B4"/>
    <w:rsid w:val="05C07074"/>
    <w:rsid w:val="05C14A88"/>
    <w:rsid w:val="05C23CDB"/>
    <w:rsid w:val="05C45142"/>
    <w:rsid w:val="05C66BB1"/>
    <w:rsid w:val="05C72C4A"/>
    <w:rsid w:val="05C95532"/>
    <w:rsid w:val="05CA794E"/>
    <w:rsid w:val="05CF1AFF"/>
    <w:rsid w:val="05D11D1B"/>
    <w:rsid w:val="05D14557"/>
    <w:rsid w:val="05D2339D"/>
    <w:rsid w:val="05D37841"/>
    <w:rsid w:val="05D45367"/>
    <w:rsid w:val="05DD06BF"/>
    <w:rsid w:val="05DF6ACD"/>
    <w:rsid w:val="05E34F2E"/>
    <w:rsid w:val="05E355AA"/>
    <w:rsid w:val="05E51322"/>
    <w:rsid w:val="05EA06E6"/>
    <w:rsid w:val="05EB4559"/>
    <w:rsid w:val="05ED2D9C"/>
    <w:rsid w:val="05ED3628"/>
    <w:rsid w:val="05F17CC7"/>
    <w:rsid w:val="05F36622"/>
    <w:rsid w:val="05F67F28"/>
    <w:rsid w:val="05F70902"/>
    <w:rsid w:val="05F9510C"/>
    <w:rsid w:val="05FA4F12"/>
    <w:rsid w:val="05FB28F4"/>
    <w:rsid w:val="05FB6326"/>
    <w:rsid w:val="060356C3"/>
    <w:rsid w:val="060A00C1"/>
    <w:rsid w:val="060A6EE3"/>
    <w:rsid w:val="060B1EB5"/>
    <w:rsid w:val="060E407E"/>
    <w:rsid w:val="06111F34"/>
    <w:rsid w:val="06112117"/>
    <w:rsid w:val="061225E7"/>
    <w:rsid w:val="0612369E"/>
    <w:rsid w:val="061439A6"/>
    <w:rsid w:val="06145C04"/>
    <w:rsid w:val="061708BA"/>
    <w:rsid w:val="06184D91"/>
    <w:rsid w:val="0619193C"/>
    <w:rsid w:val="061D4316"/>
    <w:rsid w:val="06206A3C"/>
    <w:rsid w:val="06233BF8"/>
    <w:rsid w:val="06256193"/>
    <w:rsid w:val="06265752"/>
    <w:rsid w:val="062A31D9"/>
    <w:rsid w:val="062A4F87"/>
    <w:rsid w:val="062E2CC9"/>
    <w:rsid w:val="0630252B"/>
    <w:rsid w:val="063302DF"/>
    <w:rsid w:val="06367DD0"/>
    <w:rsid w:val="06383B48"/>
    <w:rsid w:val="0639166E"/>
    <w:rsid w:val="063A1DEA"/>
    <w:rsid w:val="063A78C0"/>
    <w:rsid w:val="063C6E90"/>
    <w:rsid w:val="063D4CBA"/>
    <w:rsid w:val="06411DC3"/>
    <w:rsid w:val="06417756"/>
    <w:rsid w:val="06422A77"/>
    <w:rsid w:val="06426774"/>
    <w:rsid w:val="06440D68"/>
    <w:rsid w:val="06450013"/>
    <w:rsid w:val="06475B39"/>
    <w:rsid w:val="06497B03"/>
    <w:rsid w:val="064A7E58"/>
    <w:rsid w:val="064D59E4"/>
    <w:rsid w:val="06500874"/>
    <w:rsid w:val="06510766"/>
    <w:rsid w:val="06514B7E"/>
    <w:rsid w:val="065169B7"/>
    <w:rsid w:val="06530982"/>
    <w:rsid w:val="0653338F"/>
    <w:rsid w:val="0654239A"/>
    <w:rsid w:val="06581AF4"/>
    <w:rsid w:val="065B0A0F"/>
    <w:rsid w:val="06606BFB"/>
    <w:rsid w:val="066163F9"/>
    <w:rsid w:val="06622C7D"/>
    <w:rsid w:val="06671F51"/>
    <w:rsid w:val="06683779"/>
    <w:rsid w:val="066C6FCD"/>
    <w:rsid w:val="066F6E3E"/>
    <w:rsid w:val="06744454"/>
    <w:rsid w:val="06744775"/>
    <w:rsid w:val="067601CC"/>
    <w:rsid w:val="067803E8"/>
    <w:rsid w:val="067846F6"/>
    <w:rsid w:val="067C5D2F"/>
    <w:rsid w:val="067D155B"/>
    <w:rsid w:val="067D365B"/>
    <w:rsid w:val="067D3DF4"/>
    <w:rsid w:val="067E5607"/>
    <w:rsid w:val="0680167F"/>
    <w:rsid w:val="06863D99"/>
    <w:rsid w:val="0687687D"/>
    <w:rsid w:val="068C79F0"/>
    <w:rsid w:val="068D312B"/>
    <w:rsid w:val="068E5516"/>
    <w:rsid w:val="0697142C"/>
    <w:rsid w:val="069A3EBB"/>
    <w:rsid w:val="069B7C96"/>
    <w:rsid w:val="069D6258"/>
    <w:rsid w:val="06A2612A"/>
    <w:rsid w:val="06A411DD"/>
    <w:rsid w:val="06A64F55"/>
    <w:rsid w:val="06AB4FE9"/>
    <w:rsid w:val="06B06071"/>
    <w:rsid w:val="06B22DB6"/>
    <w:rsid w:val="06B34CED"/>
    <w:rsid w:val="06B46E17"/>
    <w:rsid w:val="06B55198"/>
    <w:rsid w:val="06B70F10"/>
    <w:rsid w:val="06B75E22"/>
    <w:rsid w:val="06B847BC"/>
    <w:rsid w:val="06B93618"/>
    <w:rsid w:val="06BC4F91"/>
    <w:rsid w:val="06BC55A9"/>
    <w:rsid w:val="06C54CB0"/>
    <w:rsid w:val="06C66BA2"/>
    <w:rsid w:val="06CB3C0E"/>
    <w:rsid w:val="06D46031"/>
    <w:rsid w:val="06D867B3"/>
    <w:rsid w:val="06DA69AD"/>
    <w:rsid w:val="06DD1E85"/>
    <w:rsid w:val="06E3247E"/>
    <w:rsid w:val="06E5236E"/>
    <w:rsid w:val="06E96BF0"/>
    <w:rsid w:val="06EB39CE"/>
    <w:rsid w:val="06EE06AA"/>
    <w:rsid w:val="06EE4206"/>
    <w:rsid w:val="06F141E7"/>
    <w:rsid w:val="06F15AA5"/>
    <w:rsid w:val="06F37A6F"/>
    <w:rsid w:val="06FC0A47"/>
    <w:rsid w:val="07015EB8"/>
    <w:rsid w:val="07034950"/>
    <w:rsid w:val="070457D8"/>
    <w:rsid w:val="07047ECE"/>
    <w:rsid w:val="070A5DE6"/>
    <w:rsid w:val="070B300A"/>
    <w:rsid w:val="070D0B30"/>
    <w:rsid w:val="071015E4"/>
    <w:rsid w:val="071874D5"/>
    <w:rsid w:val="071C0D73"/>
    <w:rsid w:val="071E412C"/>
    <w:rsid w:val="071E42E2"/>
    <w:rsid w:val="07227327"/>
    <w:rsid w:val="07245E7A"/>
    <w:rsid w:val="072D11D3"/>
    <w:rsid w:val="072D5D12"/>
    <w:rsid w:val="07300CC3"/>
    <w:rsid w:val="073065CD"/>
    <w:rsid w:val="07306FDE"/>
    <w:rsid w:val="07341AD0"/>
    <w:rsid w:val="07351E35"/>
    <w:rsid w:val="07391925"/>
    <w:rsid w:val="0739256A"/>
    <w:rsid w:val="073C0370"/>
    <w:rsid w:val="073F6FD8"/>
    <w:rsid w:val="07445783"/>
    <w:rsid w:val="074667DB"/>
    <w:rsid w:val="074C22BB"/>
    <w:rsid w:val="074E5043"/>
    <w:rsid w:val="075445D5"/>
    <w:rsid w:val="075D06A6"/>
    <w:rsid w:val="075F5104"/>
    <w:rsid w:val="076241C2"/>
    <w:rsid w:val="07634BF4"/>
    <w:rsid w:val="076646E5"/>
    <w:rsid w:val="07666493"/>
    <w:rsid w:val="07686EDA"/>
    <w:rsid w:val="076C2EE3"/>
    <w:rsid w:val="07741065"/>
    <w:rsid w:val="0778460A"/>
    <w:rsid w:val="07794418"/>
    <w:rsid w:val="077946F5"/>
    <w:rsid w:val="07797F74"/>
    <w:rsid w:val="077D6BC9"/>
    <w:rsid w:val="077E5BEF"/>
    <w:rsid w:val="077F1C30"/>
    <w:rsid w:val="07807554"/>
    <w:rsid w:val="07834C6A"/>
    <w:rsid w:val="07866B35"/>
    <w:rsid w:val="07886409"/>
    <w:rsid w:val="0790350F"/>
    <w:rsid w:val="079052BE"/>
    <w:rsid w:val="0790598C"/>
    <w:rsid w:val="0793107B"/>
    <w:rsid w:val="07961D7F"/>
    <w:rsid w:val="0797664C"/>
    <w:rsid w:val="07A27B7D"/>
    <w:rsid w:val="07A34FF1"/>
    <w:rsid w:val="07A479E1"/>
    <w:rsid w:val="07A74273"/>
    <w:rsid w:val="07A87985"/>
    <w:rsid w:val="07AA45D1"/>
    <w:rsid w:val="07AB20F7"/>
    <w:rsid w:val="07AD5E6F"/>
    <w:rsid w:val="07AF1680"/>
    <w:rsid w:val="07B175AD"/>
    <w:rsid w:val="07B2792A"/>
    <w:rsid w:val="07B40FAC"/>
    <w:rsid w:val="07B436A2"/>
    <w:rsid w:val="07B45450"/>
    <w:rsid w:val="07B611C8"/>
    <w:rsid w:val="07B65949"/>
    <w:rsid w:val="07B70A9C"/>
    <w:rsid w:val="07BC1D2C"/>
    <w:rsid w:val="07BE53C7"/>
    <w:rsid w:val="07C22DAF"/>
    <w:rsid w:val="07C75183"/>
    <w:rsid w:val="07CB0157"/>
    <w:rsid w:val="07CB13E7"/>
    <w:rsid w:val="07CC0430"/>
    <w:rsid w:val="07CC5CDA"/>
    <w:rsid w:val="07CD02C0"/>
    <w:rsid w:val="07CF39A8"/>
    <w:rsid w:val="07D050E5"/>
    <w:rsid w:val="07D1358A"/>
    <w:rsid w:val="07D21289"/>
    <w:rsid w:val="07D57174"/>
    <w:rsid w:val="07D85409"/>
    <w:rsid w:val="07DD6ABC"/>
    <w:rsid w:val="07DF0035"/>
    <w:rsid w:val="07E1193E"/>
    <w:rsid w:val="07E27A1E"/>
    <w:rsid w:val="07E37AE3"/>
    <w:rsid w:val="07E467C8"/>
    <w:rsid w:val="07E51AAD"/>
    <w:rsid w:val="07E55609"/>
    <w:rsid w:val="07E850FA"/>
    <w:rsid w:val="07E861B7"/>
    <w:rsid w:val="07EC71DC"/>
    <w:rsid w:val="07EF3B23"/>
    <w:rsid w:val="07F46FEF"/>
    <w:rsid w:val="07F633A7"/>
    <w:rsid w:val="07F645C9"/>
    <w:rsid w:val="07F817E1"/>
    <w:rsid w:val="07F9658E"/>
    <w:rsid w:val="07FB4E2D"/>
    <w:rsid w:val="07FC49BB"/>
    <w:rsid w:val="07FE68E4"/>
    <w:rsid w:val="08000695"/>
    <w:rsid w:val="080041F1"/>
    <w:rsid w:val="080106B7"/>
    <w:rsid w:val="08017F69"/>
    <w:rsid w:val="080203D9"/>
    <w:rsid w:val="08021565"/>
    <w:rsid w:val="08024FA9"/>
    <w:rsid w:val="08026597"/>
    <w:rsid w:val="08033848"/>
    <w:rsid w:val="08071442"/>
    <w:rsid w:val="0808754A"/>
    <w:rsid w:val="080B044A"/>
    <w:rsid w:val="081128A2"/>
    <w:rsid w:val="08114679"/>
    <w:rsid w:val="081303C8"/>
    <w:rsid w:val="08153DD4"/>
    <w:rsid w:val="081859DF"/>
    <w:rsid w:val="081A3210"/>
    <w:rsid w:val="081B59EF"/>
    <w:rsid w:val="08212777"/>
    <w:rsid w:val="0823691D"/>
    <w:rsid w:val="082425D6"/>
    <w:rsid w:val="082617B3"/>
    <w:rsid w:val="082D6FB0"/>
    <w:rsid w:val="08311CF1"/>
    <w:rsid w:val="08320F44"/>
    <w:rsid w:val="08391DD9"/>
    <w:rsid w:val="08393BA7"/>
    <w:rsid w:val="083A104D"/>
    <w:rsid w:val="083A4A47"/>
    <w:rsid w:val="08412B2A"/>
    <w:rsid w:val="08452C11"/>
    <w:rsid w:val="08485B98"/>
    <w:rsid w:val="084C24A9"/>
    <w:rsid w:val="084D31AF"/>
    <w:rsid w:val="084E4169"/>
    <w:rsid w:val="084F33CB"/>
    <w:rsid w:val="08504DE6"/>
    <w:rsid w:val="08550057"/>
    <w:rsid w:val="085602B5"/>
    <w:rsid w:val="08562D76"/>
    <w:rsid w:val="08591B53"/>
    <w:rsid w:val="085B2499"/>
    <w:rsid w:val="08607386"/>
    <w:rsid w:val="08624EAC"/>
    <w:rsid w:val="08632809"/>
    <w:rsid w:val="086831D9"/>
    <w:rsid w:val="086B2D03"/>
    <w:rsid w:val="086B33D9"/>
    <w:rsid w:val="086C426F"/>
    <w:rsid w:val="086C5D2B"/>
    <w:rsid w:val="08720602"/>
    <w:rsid w:val="087345A0"/>
    <w:rsid w:val="0874552C"/>
    <w:rsid w:val="087552AA"/>
    <w:rsid w:val="087A0447"/>
    <w:rsid w:val="087A4FBF"/>
    <w:rsid w:val="087A5175"/>
    <w:rsid w:val="087C3466"/>
    <w:rsid w:val="08805962"/>
    <w:rsid w:val="0882008E"/>
    <w:rsid w:val="08844E22"/>
    <w:rsid w:val="08854027"/>
    <w:rsid w:val="08887B07"/>
    <w:rsid w:val="088C1544"/>
    <w:rsid w:val="089450F6"/>
    <w:rsid w:val="08966904"/>
    <w:rsid w:val="08974B03"/>
    <w:rsid w:val="08986F03"/>
    <w:rsid w:val="08990786"/>
    <w:rsid w:val="089963F4"/>
    <w:rsid w:val="089B43F4"/>
    <w:rsid w:val="089D18D7"/>
    <w:rsid w:val="089D4136"/>
    <w:rsid w:val="08A41020"/>
    <w:rsid w:val="08A454C4"/>
    <w:rsid w:val="08A54D99"/>
    <w:rsid w:val="08A72527"/>
    <w:rsid w:val="08A94889"/>
    <w:rsid w:val="08AD7905"/>
    <w:rsid w:val="08AE351D"/>
    <w:rsid w:val="08AF79C5"/>
    <w:rsid w:val="08B558FB"/>
    <w:rsid w:val="08B84ACC"/>
    <w:rsid w:val="08B91211"/>
    <w:rsid w:val="08C10CE0"/>
    <w:rsid w:val="08C44A90"/>
    <w:rsid w:val="08CB0DD5"/>
    <w:rsid w:val="08D5567E"/>
    <w:rsid w:val="08D830BA"/>
    <w:rsid w:val="08DF3F4A"/>
    <w:rsid w:val="08E02B28"/>
    <w:rsid w:val="08E61C8C"/>
    <w:rsid w:val="08E65ADD"/>
    <w:rsid w:val="08E6788B"/>
    <w:rsid w:val="08E67C87"/>
    <w:rsid w:val="08E9737B"/>
    <w:rsid w:val="08F04266"/>
    <w:rsid w:val="08F24234"/>
    <w:rsid w:val="08F55D20"/>
    <w:rsid w:val="08FD4BD5"/>
    <w:rsid w:val="08FE0F34"/>
    <w:rsid w:val="08FF26FB"/>
    <w:rsid w:val="09011381"/>
    <w:rsid w:val="0902626A"/>
    <w:rsid w:val="09061CDB"/>
    <w:rsid w:val="09067F2D"/>
    <w:rsid w:val="09072AAD"/>
    <w:rsid w:val="09077801"/>
    <w:rsid w:val="0908065C"/>
    <w:rsid w:val="090B10A0"/>
    <w:rsid w:val="090B294F"/>
    <w:rsid w:val="090B7225"/>
    <w:rsid w:val="09112EB6"/>
    <w:rsid w:val="091343F8"/>
    <w:rsid w:val="09146C53"/>
    <w:rsid w:val="09173E2B"/>
    <w:rsid w:val="091A7E4E"/>
    <w:rsid w:val="091D0DD3"/>
    <w:rsid w:val="09242161"/>
    <w:rsid w:val="09247351"/>
    <w:rsid w:val="092951B8"/>
    <w:rsid w:val="092C7268"/>
    <w:rsid w:val="092F32CF"/>
    <w:rsid w:val="09300B06"/>
    <w:rsid w:val="093305F6"/>
    <w:rsid w:val="093323A4"/>
    <w:rsid w:val="0934265E"/>
    <w:rsid w:val="093478C1"/>
    <w:rsid w:val="093525C0"/>
    <w:rsid w:val="0937305E"/>
    <w:rsid w:val="093738EA"/>
    <w:rsid w:val="0937514F"/>
    <w:rsid w:val="09381F46"/>
    <w:rsid w:val="09383E5F"/>
    <w:rsid w:val="093C3C83"/>
    <w:rsid w:val="09412D13"/>
    <w:rsid w:val="0944714A"/>
    <w:rsid w:val="09465686"/>
    <w:rsid w:val="09470C3E"/>
    <w:rsid w:val="09475E50"/>
    <w:rsid w:val="094E3682"/>
    <w:rsid w:val="094F6F85"/>
    <w:rsid w:val="095215C0"/>
    <w:rsid w:val="09522E4A"/>
    <w:rsid w:val="09523172"/>
    <w:rsid w:val="09542B03"/>
    <w:rsid w:val="095567BF"/>
    <w:rsid w:val="095624EB"/>
    <w:rsid w:val="09571347"/>
    <w:rsid w:val="0957376C"/>
    <w:rsid w:val="095962AF"/>
    <w:rsid w:val="095C7DBD"/>
    <w:rsid w:val="095F3199"/>
    <w:rsid w:val="096249C6"/>
    <w:rsid w:val="09652EA6"/>
    <w:rsid w:val="096802A0"/>
    <w:rsid w:val="096864F2"/>
    <w:rsid w:val="096B5FE2"/>
    <w:rsid w:val="096D1D5A"/>
    <w:rsid w:val="096D562F"/>
    <w:rsid w:val="096E0EE2"/>
    <w:rsid w:val="09704F43"/>
    <w:rsid w:val="09722ECD"/>
    <w:rsid w:val="097657B3"/>
    <w:rsid w:val="097C01EF"/>
    <w:rsid w:val="09802A2B"/>
    <w:rsid w:val="098047A9"/>
    <w:rsid w:val="09810A99"/>
    <w:rsid w:val="098224D5"/>
    <w:rsid w:val="098552F6"/>
    <w:rsid w:val="0987034F"/>
    <w:rsid w:val="098A2126"/>
    <w:rsid w:val="098A22EA"/>
    <w:rsid w:val="098F0B0A"/>
    <w:rsid w:val="098F7F23"/>
    <w:rsid w:val="09916EF4"/>
    <w:rsid w:val="099217C1"/>
    <w:rsid w:val="09972933"/>
    <w:rsid w:val="099C619C"/>
    <w:rsid w:val="099F7A3A"/>
    <w:rsid w:val="09A3577C"/>
    <w:rsid w:val="09A664D0"/>
    <w:rsid w:val="09A727B4"/>
    <w:rsid w:val="09A777B0"/>
    <w:rsid w:val="09AC440E"/>
    <w:rsid w:val="09B253B3"/>
    <w:rsid w:val="09B87074"/>
    <w:rsid w:val="09B90977"/>
    <w:rsid w:val="09B94653"/>
    <w:rsid w:val="09B94817"/>
    <w:rsid w:val="09C13E54"/>
    <w:rsid w:val="09C320CE"/>
    <w:rsid w:val="09C6592B"/>
    <w:rsid w:val="09C91E87"/>
    <w:rsid w:val="09CD3C8B"/>
    <w:rsid w:val="09D30340"/>
    <w:rsid w:val="09D77460"/>
    <w:rsid w:val="09DA7C04"/>
    <w:rsid w:val="09DB5D48"/>
    <w:rsid w:val="09E0077E"/>
    <w:rsid w:val="09E0252C"/>
    <w:rsid w:val="09E334F0"/>
    <w:rsid w:val="09E66920"/>
    <w:rsid w:val="09E759BE"/>
    <w:rsid w:val="09E97995"/>
    <w:rsid w:val="09EC7A57"/>
    <w:rsid w:val="09ED61F3"/>
    <w:rsid w:val="09F138C9"/>
    <w:rsid w:val="09F26440"/>
    <w:rsid w:val="09F4190F"/>
    <w:rsid w:val="09F50557"/>
    <w:rsid w:val="09F50BDC"/>
    <w:rsid w:val="09F74B6A"/>
    <w:rsid w:val="09F75FDB"/>
    <w:rsid w:val="09F935EE"/>
    <w:rsid w:val="0A051860"/>
    <w:rsid w:val="0A051D81"/>
    <w:rsid w:val="0A0631CF"/>
    <w:rsid w:val="0A075D0B"/>
    <w:rsid w:val="0A0E2F2B"/>
    <w:rsid w:val="0A0F16B0"/>
    <w:rsid w:val="0A0F43A2"/>
    <w:rsid w:val="0A110882"/>
    <w:rsid w:val="0A125676"/>
    <w:rsid w:val="0A165F4E"/>
    <w:rsid w:val="0A1B17B6"/>
    <w:rsid w:val="0A200B7B"/>
    <w:rsid w:val="0A2166A1"/>
    <w:rsid w:val="0A256191"/>
    <w:rsid w:val="0A261F09"/>
    <w:rsid w:val="0A2763AD"/>
    <w:rsid w:val="0A2935B9"/>
    <w:rsid w:val="0A2E4A30"/>
    <w:rsid w:val="0A2E773B"/>
    <w:rsid w:val="0A304297"/>
    <w:rsid w:val="0A314B36"/>
    <w:rsid w:val="0A320E90"/>
    <w:rsid w:val="0A333646"/>
    <w:rsid w:val="0A352BA5"/>
    <w:rsid w:val="0A366D09"/>
    <w:rsid w:val="0A38067D"/>
    <w:rsid w:val="0A391C3C"/>
    <w:rsid w:val="0A3948CE"/>
    <w:rsid w:val="0A3A3B0C"/>
    <w:rsid w:val="0A3A5566"/>
    <w:rsid w:val="0A3E54A5"/>
    <w:rsid w:val="0A40121D"/>
    <w:rsid w:val="0A410AF1"/>
    <w:rsid w:val="0A453416"/>
    <w:rsid w:val="0A47106E"/>
    <w:rsid w:val="0A482F82"/>
    <w:rsid w:val="0A4A3E4A"/>
    <w:rsid w:val="0A4C380D"/>
    <w:rsid w:val="0A4C5E14"/>
    <w:rsid w:val="0A503BA8"/>
    <w:rsid w:val="0A51342A"/>
    <w:rsid w:val="0A581BBB"/>
    <w:rsid w:val="0A595397"/>
    <w:rsid w:val="0A5E5C25"/>
    <w:rsid w:val="0A6937F7"/>
    <w:rsid w:val="0A6E5D8A"/>
    <w:rsid w:val="0A71587A"/>
    <w:rsid w:val="0A7228E6"/>
    <w:rsid w:val="0A724DA4"/>
    <w:rsid w:val="0A724F69"/>
    <w:rsid w:val="0A775E1F"/>
    <w:rsid w:val="0A782765"/>
    <w:rsid w:val="0A7D5FCD"/>
    <w:rsid w:val="0A7E3AF3"/>
    <w:rsid w:val="0A850E88"/>
    <w:rsid w:val="0A8511F3"/>
    <w:rsid w:val="0A854E82"/>
    <w:rsid w:val="0A872CA1"/>
    <w:rsid w:val="0A873F23"/>
    <w:rsid w:val="0A894080"/>
    <w:rsid w:val="0A8C6210"/>
    <w:rsid w:val="0A8D0153"/>
    <w:rsid w:val="0A9040FB"/>
    <w:rsid w:val="0A911639"/>
    <w:rsid w:val="0A915F9D"/>
    <w:rsid w:val="0A93759F"/>
    <w:rsid w:val="0A951569"/>
    <w:rsid w:val="0A974F8C"/>
    <w:rsid w:val="0A9927E2"/>
    <w:rsid w:val="0A9B1EDA"/>
    <w:rsid w:val="0A9F23E7"/>
    <w:rsid w:val="0A9F4195"/>
    <w:rsid w:val="0AA169BC"/>
    <w:rsid w:val="0AA25A34"/>
    <w:rsid w:val="0AA34EE0"/>
    <w:rsid w:val="0AAE0E6D"/>
    <w:rsid w:val="0AB15C77"/>
    <w:rsid w:val="0AB30AED"/>
    <w:rsid w:val="0AB66451"/>
    <w:rsid w:val="0AB74424"/>
    <w:rsid w:val="0AB74823"/>
    <w:rsid w:val="0AB94693"/>
    <w:rsid w:val="0ABD286D"/>
    <w:rsid w:val="0AC01458"/>
    <w:rsid w:val="0AC21C32"/>
    <w:rsid w:val="0AC37758"/>
    <w:rsid w:val="0AC57974"/>
    <w:rsid w:val="0AC7549A"/>
    <w:rsid w:val="0AD81455"/>
    <w:rsid w:val="0AD87B45"/>
    <w:rsid w:val="0ADD60A7"/>
    <w:rsid w:val="0AE222D4"/>
    <w:rsid w:val="0AE844D7"/>
    <w:rsid w:val="0AE93662"/>
    <w:rsid w:val="0AEA1189"/>
    <w:rsid w:val="0AEA3A23"/>
    <w:rsid w:val="0AEC7E43"/>
    <w:rsid w:val="0AED769F"/>
    <w:rsid w:val="0AEF3662"/>
    <w:rsid w:val="0AF3003D"/>
    <w:rsid w:val="0AFC119D"/>
    <w:rsid w:val="0AFD6B95"/>
    <w:rsid w:val="0AFD710E"/>
    <w:rsid w:val="0B0009AC"/>
    <w:rsid w:val="0B005469"/>
    <w:rsid w:val="0B041581"/>
    <w:rsid w:val="0B050935"/>
    <w:rsid w:val="0B064109"/>
    <w:rsid w:val="0B085BAA"/>
    <w:rsid w:val="0B093D05"/>
    <w:rsid w:val="0B0C7351"/>
    <w:rsid w:val="0B0F318F"/>
    <w:rsid w:val="0B10295D"/>
    <w:rsid w:val="0B112BB9"/>
    <w:rsid w:val="0B1269BE"/>
    <w:rsid w:val="0B186B99"/>
    <w:rsid w:val="0B1968C4"/>
    <w:rsid w:val="0B1A7C2B"/>
    <w:rsid w:val="0B207881"/>
    <w:rsid w:val="0B210D11"/>
    <w:rsid w:val="0B21104E"/>
    <w:rsid w:val="0B26148B"/>
    <w:rsid w:val="0B261650"/>
    <w:rsid w:val="0B264B83"/>
    <w:rsid w:val="0B28656E"/>
    <w:rsid w:val="0B2D3352"/>
    <w:rsid w:val="0B2D726D"/>
    <w:rsid w:val="0B2E6C33"/>
    <w:rsid w:val="0B3643CE"/>
    <w:rsid w:val="0B381347"/>
    <w:rsid w:val="0B3C643A"/>
    <w:rsid w:val="0B416FFB"/>
    <w:rsid w:val="0B420FC5"/>
    <w:rsid w:val="0B4357EB"/>
    <w:rsid w:val="0B436951"/>
    <w:rsid w:val="0B442B68"/>
    <w:rsid w:val="0B446AEB"/>
    <w:rsid w:val="0B4C599F"/>
    <w:rsid w:val="0B4D1E43"/>
    <w:rsid w:val="0B510D02"/>
    <w:rsid w:val="0B5221AF"/>
    <w:rsid w:val="0B5903B4"/>
    <w:rsid w:val="0B5C3E34"/>
    <w:rsid w:val="0B5F05A3"/>
    <w:rsid w:val="0B640F3B"/>
    <w:rsid w:val="0B645117"/>
    <w:rsid w:val="0B6615AF"/>
    <w:rsid w:val="0B664CB3"/>
    <w:rsid w:val="0B6651BB"/>
    <w:rsid w:val="0B6A36D6"/>
    <w:rsid w:val="0B6D36CA"/>
    <w:rsid w:val="0B6F49AF"/>
    <w:rsid w:val="0B7001CC"/>
    <w:rsid w:val="0B732F2C"/>
    <w:rsid w:val="0B7373D0"/>
    <w:rsid w:val="0B745622"/>
    <w:rsid w:val="0B7C44D7"/>
    <w:rsid w:val="0B81389B"/>
    <w:rsid w:val="0B8415DD"/>
    <w:rsid w:val="0B863458"/>
    <w:rsid w:val="0B884C29"/>
    <w:rsid w:val="0B8C03F9"/>
    <w:rsid w:val="0B8D04E6"/>
    <w:rsid w:val="0B8E420A"/>
    <w:rsid w:val="0B903ADE"/>
    <w:rsid w:val="0B925AA8"/>
    <w:rsid w:val="0B927856"/>
    <w:rsid w:val="0B934B3C"/>
    <w:rsid w:val="0B941820"/>
    <w:rsid w:val="0B955598"/>
    <w:rsid w:val="0B983A14"/>
    <w:rsid w:val="0B9C2483"/>
    <w:rsid w:val="0B9E10CF"/>
    <w:rsid w:val="0B9E269F"/>
    <w:rsid w:val="0B9F01C5"/>
    <w:rsid w:val="0B9F6417"/>
    <w:rsid w:val="0BA17A99"/>
    <w:rsid w:val="0BA23811"/>
    <w:rsid w:val="0BA47589"/>
    <w:rsid w:val="0BA53A2D"/>
    <w:rsid w:val="0BAA5B77"/>
    <w:rsid w:val="0BB06E9A"/>
    <w:rsid w:val="0BB35A1E"/>
    <w:rsid w:val="0BB52F3C"/>
    <w:rsid w:val="0BB73761"/>
    <w:rsid w:val="0BB772BD"/>
    <w:rsid w:val="0BB8447D"/>
    <w:rsid w:val="0BB91287"/>
    <w:rsid w:val="0BBA0474"/>
    <w:rsid w:val="0BBE3CB1"/>
    <w:rsid w:val="0BC1013B"/>
    <w:rsid w:val="0BC61904"/>
    <w:rsid w:val="0BC814CA"/>
    <w:rsid w:val="0BC8771C"/>
    <w:rsid w:val="0BC934F5"/>
    <w:rsid w:val="0BCD6AE0"/>
    <w:rsid w:val="0BCD7821"/>
    <w:rsid w:val="0BD63CD5"/>
    <w:rsid w:val="0BD7795F"/>
    <w:rsid w:val="0BDB1BAC"/>
    <w:rsid w:val="0BE131C2"/>
    <w:rsid w:val="0BE24B2A"/>
    <w:rsid w:val="0BE300B2"/>
    <w:rsid w:val="0BE360C6"/>
    <w:rsid w:val="0BE74194"/>
    <w:rsid w:val="0BE906EB"/>
    <w:rsid w:val="0BE90AC2"/>
    <w:rsid w:val="0BEB51B8"/>
    <w:rsid w:val="0BEB6F66"/>
    <w:rsid w:val="0BEF62B7"/>
    <w:rsid w:val="0BF12353"/>
    <w:rsid w:val="0BF40511"/>
    <w:rsid w:val="0BF40F20"/>
    <w:rsid w:val="0BF6609E"/>
    <w:rsid w:val="0BFB0017"/>
    <w:rsid w:val="0BFF729B"/>
    <w:rsid w:val="0C006EB6"/>
    <w:rsid w:val="0C01398D"/>
    <w:rsid w:val="0C040028"/>
    <w:rsid w:val="0C0F0EA7"/>
    <w:rsid w:val="0C0F4CA9"/>
    <w:rsid w:val="0C0F6841"/>
    <w:rsid w:val="0C0F7A1D"/>
    <w:rsid w:val="0C151740"/>
    <w:rsid w:val="0C193B8E"/>
    <w:rsid w:val="0C1A784C"/>
    <w:rsid w:val="0C1B2FEA"/>
    <w:rsid w:val="0C1B5A9E"/>
    <w:rsid w:val="0C1D0E68"/>
    <w:rsid w:val="0C1E0271"/>
    <w:rsid w:val="0C1E558E"/>
    <w:rsid w:val="0C263DD7"/>
    <w:rsid w:val="0C2801BA"/>
    <w:rsid w:val="0C2B3ED1"/>
    <w:rsid w:val="0C2C2DB9"/>
    <w:rsid w:val="0C2C7CAB"/>
    <w:rsid w:val="0C302E80"/>
    <w:rsid w:val="0C30706F"/>
    <w:rsid w:val="0C3721AC"/>
    <w:rsid w:val="0C396A19"/>
    <w:rsid w:val="0C396BCF"/>
    <w:rsid w:val="0C3B7AE8"/>
    <w:rsid w:val="0C415546"/>
    <w:rsid w:val="0C430B50"/>
    <w:rsid w:val="0C434FF4"/>
    <w:rsid w:val="0C4C174B"/>
    <w:rsid w:val="0C4E4424"/>
    <w:rsid w:val="0C514C17"/>
    <w:rsid w:val="0C536000"/>
    <w:rsid w:val="0C545E07"/>
    <w:rsid w:val="0C56381E"/>
    <w:rsid w:val="0C564D28"/>
    <w:rsid w:val="0C5732FD"/>
    <w:rsid w:val="0C590E71"/>
    <w:rsid w:val="0C5C1C12"/>
    <w:rsid w:val="0C676F35"/>
    <w:rsid w:val="0C747355"/>
    <w:rsid w:val="0C7659B1"/>
    <w:rsid w:val="0C766088"/>
    <w:rsid w:val="0C770FC2"/>
    <w:rsid w:val="0C796C68"/>
    <w:rsid w:val="0C7B4653"/>
    <w:rsid w:val="0C7D22B4"/>
    <w:rsid w:val="0C7E427E"/>
    <w:rsid w:val="0C7F7309"/>
    <w:rsid w:val="0C822209"/>
    <w:rsid w:val="0C831B32"/>
    <w:rsid w:val="0C840A6A"/>
    <w:rsid w:val="0C842999"/>
    <w:rsid w:val="0C886EAB"/>
    <w:rsid w:val="0C8B2651"/>
    <w:rsid w:val="0C8C24F7"/>
    <w:rsid w:val="0C8C2717"/>
    <w:rsid w:val="0C8C5121"/>
    <w:rsid w:val="0C912F72"/>
    <w:rsid w:val="0C917B0E"/>
    <w:rsid w:val="0C970F7A"/>
    <w:rsid w:val="0C9870EE"/>
    <w:rsid w:val="0C9B6BDE"/>
    <w:rsid w:val="0C9F1CD9"/>
    <w:rsid w:val="0CA072C0"/>
    <w:rsid w:val="0CA154B4"/>
    <w:rsid w:val="0CA25435"/>
    <w:rsid w:val="0CA31213"/>
    <w:rsid w:val="0CA5155E"/>
    <w:rsid w:val="0CA710DF"/>
    <w:rsid w:val="0CA87953"/>
    <w:rsid w:val="0CA91FDA"/>
    <w:rsid w:val="0CAA6B80"/>
    <w:rsid w:val="0CAD06C0"/>
    <w:rsid w:val="0CAF06D2"/>
    <w:rsid w:val="0CB11F5E"/>
    <w:rsid w:val="0CB35867"/>
    <w:rsid w:val="0CB56A46"/>
    <w:rsid w:val="0CB8153E"/>
    <w:rsid w:val="0CBF16C1"/>
    <w:rsid w:val="0CBF7754"/>
    <w:rsid w:val="0CC003F3"/>
    <w:rsid w:val="0CC5653B"/>
    <w:rsid w:val="0CC77727"/>
    <w:rsid w:val="0CCC400A"/>
    <w:rsid w:val="0CCC6D98"/>
    <w:rsid w:val="0CCD48BE"/>
    <w:rsid w:val="0CCE17EE"/>
    <w:rsid w:val="0CD257C8"/>
    <w:rsid w:val="0CD450B2"/>
    <w:rsid w:val="0CD53D4C"/>
    <w:rsid w:val="0CDA7707"/>
    <w:rsid w:val="0CDB522D"/>
    <w:rsid w:val="0CDB69E6"/>
    <w:rsid w:val="0CDD5F03"/>
    <w:rsid w:val="0CDF4D1D"/>
    <w:rsid w:val="0CE02843"/>
    <w:rsid w:val="0CE045F1"/>
    <w:rsid w:val="0CE13385"/>
    <w:rsid w:val="0CE70445"/>
    <w:rsid w:val="0CEA0E58"/>
    <w:rsid w:val="0CEA1990"/>
    <w:rsid w:val="0CEA4179"/>
    <w:rsid w:val="0CEB5FAD"/>
    <w:rsid w:val="0CEE6D0E"/>
    <w:rsid w:val="0CF064DB"/>
    <w:rsid w:val="0CF17548"/>
    <w:rsid w:val="0CF62067"/>
    <w:rsid w:val="0CF83D0C"/>
    <w:rsid w:val="0CF956B1"/>
    <w:rsid w:val="0CFC6BE7"/>
    <w:rsid w:val="0CFF0F1B"/>
    <w:rsid w:val="0D013842"/>
    <w:rsid w:val="0D044784"/>
    <w:rsid w:val="0D0522AA"/>
    <w:rsid w:val="0D066333"/>
    <w:rsid w:val="0D083DF0"/>
    <w:rsid w:val="0D097FEC"/>
    <w:rsid w:val="0D0B5B12"/>
    <w:rsid w:val="0D0C105B"/>
    <w:rsid w:val="0D0C3007"/>
    <w:rsid w:val="0D0F0BBE"/>
    <w:rsid w:val="0D112E31"/>
    <w:rsid w:val="0D143B10"/>
    <w:rsid w:val="0D183D8B"/>
    <w:rsid w:val="0D1D3A97"/>
    <w:rsid w:val="0D1F15BD"/>
    <w:rsid w:val="0D224C0A"/>
    <w:rsid w:val="0D2546FA"/>
    <w:rsid w:val="0D2564A8"/>
    <w:rsid w:val="0D2B61B4"/>
    <w:rsid w:val="0D325089"/>
    <w:rsid w:val="0D3A01A5"/>
    <w:rsid w:val="0D3A0435"/>
    <w:rsid w:val="0D3A1109"/>
    <w:rsid w:val="0D3B51DE"/>
    <w:rsid w:val="0D496892"/>
    <w:rsid w:val="0D4A48FD"/>
    <w:rsid w:val="0D4A4AC2"/>
    <w:rsid w:val="0D4B59D5"/>
    <w:rsid w:val="0D4E2A85"/>
    <w:rsid w:val="0D4E57B8"/>
    <w:rsid w:val="0D4F1E8D"/>
    <w:rsid w:val="0D500855"/>
    <w:rsid w:val="0D531267"/>
    <w:rsid w:val="0D5B011C"/>
    <w:rsid w:val="0D5C5FEA"/>
    <w:rsid w:val="0D5D47A1"/>
    <w:rsid w:val="0D5D4B8B"/>
    <w:rsid w:val="0D5E50DF"/>
    <w:rsid w:val="0D613984"/>
    <w:rsid w:val="0D6151BA"/>
    <w:rsid w:val="0D662D48"/>
    <w:rsid w:val="0D6C5454"/>
    <w:rsid w:val="0D6C6406"/>
    <w:rsid w:val="0D6C65BC"/>
    <w:rsid w:val="0D6C6771"/>
    <w:rsid w:val="0D6D580F"/>
    <w:rsid w:val="0D6E759D"/>
    <w:rsid w:val="0D701E19"/>
    <w:rsid w:val="0D70748A"/>
    <w:rsid w:val="0D74379A"/>
    <w:rsid w:val="0D7A0D99"/>
    <w:rsid w:val="0D7A67F4"/>
    <w:rsid w:val="0D7D0092"/>
    <w:rsid w:val="0D7D60EE"/>
    <w:rsid w:val="0D814026"/>
    <w:rsid w:val="0D821B4C"/>
    <w:rsid w:val="0D860802"/>
    <w:rsid w:val="0D8B0A01"/>
    <w:rsid w:val="0D8B151B"/>
    <w:rsid w:val="0D8E6743"/>
    <w:rsid w:val="0D946F68"/>
    <w:rsid w:val="0D992765"/>
    <w:rsid w:val="0D996408"/>
    <w:rsid w:val="0D9A50E8"/>
    <w:rsid w:val="0D9E6986"/>
    <w:rsid w:val="0DA27AF9"/>
    <w:rsid w:val="0DB02216"/>
    <w:rsid w:val="0DB066B9"/>
    <w:rsid w:val="0DB17D41"/>
    <w:rsid w:val="0DB25F8E"/>
    <w:rsid w:val="0DB333E3"/>
    <w:rsid w:val="0DB5188A"/>
    <w:rsid w:val="0DB937C0"/>
    <w:rsid w:val="0DBF06AB"/>
    <w:rsid w:val="0DC932D7"/>
    <w:rsid w:val="0DCC386E"/>
    <w:rsid w:val="0DD203DE"/>
    <w:rsid w:val="0DD266E5"/>
    <w:rsid w:val="0DD30BCF"/>
    <w:rsid w:val="0DD42148"/>
    <w:rsid w:val="0DD52EAB"/>
    <w:rsid w:val="0DDA653B"/>
    <w:rsid w:val="0DDB57DE"/>
    <w:rsid w:val="0DDC125D"/>
    <w:rsid w:val="0DE45C36"/>
    <w:rsid w:val="0DE819AF"/>
    <w:rsid w:val="0DE97FB1"/>
    <w:rsid w:val="0DEA03BD"/>
    <w:rsid w:val="0DED7A1A"/>
    <w:rsid w:val="0DEF3128"/>
    <w:rsid w:val="0DEF3649"/>
    <w:rsid w:val="0DF071A5"/>
    <w:rsid w:val="0DF07E84"/>
    <w:rsid w:val="0DF3438B"/>
    <w:rsid w:val="0DF447F8"/>
    <w:rsid w:val="0DF93BBD"/>
    <w:rsid w:val="0DFA2CC1"/>
    <w:rsid w:val="0DFE43F6"/>
    <w:rsid w:val="0DFF4117"/>
    <w:rsid w:val="0DFF4482"/>
    <w:rsid w:val="0E01735C"/>
    <w:rsid w:val="0E053AB5"/>
    <w:rsid w:val="0E0B0B24"/>
    <w:rsid w:val="0E0D63A5"/>
    <w:rsid w:val="0E0D7668"/>
    <w:rsid w:val="0E0E518E"/>
    <w:rsid w:val="0E100F06"/>
    <w:rsid w:val="0E15651D"/>
    <w:rsid w:val="0E163AA6"/>
    <w:rsid w:val="0E16450B"/>
    <w:rsid w:val="0E1A2A75"/>
    <w:rsid w:val="0E1A3B33"/>
    <w:rsid w:val="0E1A590B"/>
    <w:rsid w:val="0E2A1FC8"/>
    <w:rsid w:val="0E325320"/>
    <w:rsid w:val="0E370B89"/>
    <w:rsid w:val="0E3E1F17"/>
    <w:rsid w:val="0E3E791A"/>
    <w:rsid w:val="0E417312"/>
    <w:rsid w:val="0E4312DC"/>
    <w:rsid w:val="0E460D89"/>
    <w:rsid w:val="0E482055"/>
    <w:rsid w:val="0E4B1576"/>
    <w:rsid w:val="0E4D4AA5"/>
    <w:rsid w:val="0E561B86"/>
    <w:rsid w:val="0E572FD9"/>
    <w:rsid w:val="0E5E4367"/>
    <w:rsid w:val="0E611762"/>
    <w:rsid w:val="0E6271C6"/>
    <w:rsid w:val="0E64514C"/>
    <w:rsid w:val="0E6E5360"/>
    <w:rsid w:val="0E701638"/>
    <w:rsid w:val="0E701718"/>
    <w:rsid w:val="0E707BF7"/>
    <w:rsid w:val="0E745939"/>
    <w:rsid w:val="0E7C112B"/>
    <w:rsid w:val="0E7D2A40"/>
    <w:rsid w:val="0E7E0566"/>
    <w:rsid w:val="0E7E2314"/>
    <w:rsid w:val="0E8012D9"/>
    <w:rsid w:val="0E8027DC"/>
    <w:rsid w:val="0E8611C8"/>
    <w:rsid w:val="0E875E5F"/>
    <w:rsid w:val="0E884F40"/>
    <w:rsid w:val="0E8D69FB"/>
    <w:rsid w:val="0E8F2773"/>
    <w:rsid w:val="0E96024B"/>
    <w:rsid w:val="0E9B4C74"/>
    <w:rsid w:val="0E9D7796"/>
    <w:rsid w:val="0E9D7CB7"/>
    <w:rsid w:val="0E9E654C"/>
    <w:rsid w:val="0EA07C89"/>
    <w:rsid w:val="0EA20B9C"/>
    <w:rsid w:val="0EA25910"/>
    <w:rsid w:val="0EA3743E"/>
    <w:rsid w:val="0EA37FCC"/>
    <w:rsid w:val="0EA63619"/>
    <w:rsid w:val="0EA855E3"/>
    <w:rsid w:val="0EA969AA"/>
    <w:rsid w:val="0EAE0E4B"/>
    <w:rsid w:val="0EB360A5"/>
    <w:rsid w:val="0EB560BF"/>
    <w:rsid w:val="0EB86D83"/>
    <w:rsid w:val="0EB9159E"/>
    <w:rsid w:val="0EBA4ABC"/>
    <w:rsid w:val="0EBB45B0"/>
    <w:rsid w:val="0EBC2BF7"/>
    <w:rsid w:val="0EBD108E"/>
    <w:rsid w:val="0EC0292C"/>
    <w:rsid w:val="0EC248F6"/>
    <w:rsid w:val="0EC32D5E"/>
    <w:rsid w:val="0EC602D5"/>
    <w:rsid w:val="0ECA37AB"/>
    <w:rsid w:val="0ECC4B2E"/>
    <w:rsid w:val="0ECD6DF7"/>
    <w:rsid w:val="0ECF31C5"/>
    <w:rsid w:val="0ED174EF"/>
    <w:rsid w:val="0ED308B1"/>
    <w:rsid w:val="0ED57A37"/>
    <w:rsid w:val="0ED77A52"/>
    <w:rsid w:val="0ED9228C"/>
    <w:rsid w:val="0EDB408E"/>
    <w:rsid w:val="0EE02FCE"/>
    <w:rsid w:val="0EE06B2A"/>
    <w:rsid w:val="0EE131DC"/>
    <w:rsid w:val="0EE24651"/>
    <w:rsid w:val="0EE54141"/>
    <w:rsid w:val="0EE6313B"/>
    <w:rsid w:val="0EE721D9"/>
    <w:rsid w:val="0EEA1757"/>
    <w:rsid w:val="0EEB72F3"/>
    <w:rsid w:val="0EEE140B"/>
    <w:rsid w:val="0EF600FC"/>
    <w:rsid w:val="0EF80318"/>
    <w:rsid w:val="0EF85937"/>
    <w:rsid w:val="0EF951F1"/>
    <w:rsid w:val="0EFA47F7"/>
    <w:rsid w:val="0EFD1D28"/>
    <w:rsid w:val="0EFD750F"/>
    <w:rsid w:val="0F015B30"/>
    <w:rsid w:val="0F0200F5"/>
    <w:rsid w:val="0F023DFE"/>
    <w:rsid w:val="0F037349"/>
    <w:rsid w:val="0F0C746F"/>
    <w:rsid w:val="0F102FA9"/>
    <w:rsid w:val="0F1134DA"/>
    <w:rsid w:val="0F130D79"/>
    <w:rsid w:val="0F1310E2"/>
    <w:rsid w:val="0F1A77C8"/>
    <w:rsid w:val="0F1D1B2D"/>
    <w:rsid w:val="0F1D38DB"/>
    <w:rsid w:val="0F1E5075"/>
    <w:rsid w:val="0F212A6D"/>
    <w:rsid w:val="0F276507"/>
    <w:rsid w:val="0F29268F"/>
    <w:rsid w:val="0F2B0274"/>
    <w:rsid w:val="0F2B249C"/>
    <w:rsid w:val="0F2B69B1"/>
    <w:rsid w:val="0F2B78DE"/>
    <w:rsid w:val="0F31382A"/>
    <w:rsid w:val="0F36499C"/>
    <w:rsid w:val="0F380424"/>
    <w:rsid w:val="0F3975B3"/>
    <w:rsid w:val="0F3A26DF"/>
    <w:rsid w:val="0F3C1EB4"/>
    <w:rsid w:val="0F3C2F15"/>
    <w:rsid w:val="0F44355D"/>
    <w:rsid w:val="0F474788"/>
    <w:rsid w:val="0F4A7074"/>
    <w:rsid w:val="0F503CB0"/>
    <w:rsid w:val="0F522C33"/>
    <w:rsid w:val="0F5372FC"/>
    <w:rsid w:val="0F5C420E"/>
    <w:rsid w:val="0F5D0B31"/>
    <w:rsid w:val="0F5D3091"/>
    <w:rsid w:val="0F60422C"/>
    <w:rsid w:val="0F604FE4"/>
    <w:rsid w:val="0F615EBD"/>
    <w:rsid w:val="0F616722"/>
    <w:rsid w:val="0F621C35"/>
    <w:rsid w:val="0F62260B"/>
    <w:rsid w:val="0F625791"/>
    <w:rsid w:val="0F6459AD"/>
    <w:rsid w:val="0F651E25"/>
    <w:rsid w:val="0F672631"/>
    <w:rsid w:val="0F6A666F"/>
    <w:rsid w:val="0F6E2388"/>
    <w:rsid w:val="0F7055DE"/>
    <w:rsid w:val="0F75276A"/>
    <w:rsid w:val="0F753717"/>
    <w:rsid w:val="0F76307C"/>
    <w:rsid w:val="0F7F5717"/>
    <w:rsid w:val="0F7F6343"/>
    <w:rsid w:val="0F8120BC"/>
    <w:rsid w:val="0F823E79"/>
    <w:rsid w:val="0F8572F3"/>
    <w:rsid w:val="0F861A45"/>
    <w:rsid w:val="0F86406A"/>
    <w:rsid w:val="0F864C61"/>
    <w:rsid w:val="0F88196A"/>
    <w:rsid w:val="0F8C6CB2"/>
    <w:rsid w:val="0F8F4AE0"/>
    <w:rsid w:val="0F916077"/>
    <w:rsid w:val="0F96520F"/>
    <w:rsid w:val="0F977B31"/>
    <w:rsid w:val="0FA22032"/>
    <w:rsid w:val="0FA40799"/>
    <w:rsid w:val="0FA67D74"/>
    <w:rsid w:val="0FA85BC5"/>
    <w:rsid w:val="0FB16C4C"/>
    <w:rsid w:val="0FB471A8"/>
    <w:rsid w:val="0FB56209"/>
    <w:rsid w:val="0FB751D8"/>
    <w:rsid w:val="0FBC7598"/>
    <w:rsid w:val="0FBD342A"/>
    <w:rsid w:val="0FBF686B"/>
    <w:rsid w:val="0FC14BAE"/>
    <w:rsid w:val="0FC3072C"/>
    <w:rsid w:val="0FCC0FF0"/>
    <w:rsid w:val="0FCE72CB"/>
    <w:rsid w:val="0FCF6AA6"/>
    <w:rsid w:val="0FD06AAD"/>
    <w:rsid w:val="0FD26AC7"/>
    <w:rsid w:val="0FDA347C"/>
    <w:rsid w:val="0FDC047D"/>
    <w:rsid w:val="0FDC5544"/>
    <w:rsid w:val="0FDF0BB3"/>
    <w:rsid w:val="0FDF3286"/>
    <w:rsid w:val="0FDF49E8"/>
    <w:rsid w:val="0FDF5034"/>
    <w:rsid w:val="0FDF7C36"/>
    <w:rsid w:val="0FE04659"/>
    <w:rsid w:val="0FE54F4F"/>
    <w:rsid w:val="0FE64614"/>
    <w:rsid w:val="0FED7751"/>
    <w:rsid w:val="0FEE3025"/>
    <w:rsid w:val="0FEE51C5"/>
    <w:rsid w:val="0FF2359E"/>
    <w:rsid w:val="0FF509EA"/>
    <w:rsid w:val="0FF54858"/>
    <w:rsid w:val="0FFC1742"/>
    <w:rsid w:val="0FFE19AD"/>
    <w:rsid w:val="0FFF1232"/>
    <w:rsid w:val="10024664"/>
    <w:rsid w:val="10044A9B"/>
    <w:rsid w:val="10055D26"/>
    <w:rsid w:val="10057395"/>
    <w:rsid w:val="100870AA"/>
    <w:rsid w:val="10091618"/>
    <w:rsid w:val="100B407B"/>
    <w:rsid w:val="10142F30"/>
    <w:rsid w:val="10143F73"/>
    <w:rsid w:val="10146139"/>
    <w:rsid w:val="10173A8A"/>
    <w:rsid w:val="10190546"/>
    <w:rsid w:val="10192607"/>
    <w:rsid w:val="101A2510"/>
    <w:rsid w:val="101C1DE4"/>
    <w:rsid w:val="10207B26"/>
    <w:rsid w:val="10213565"/>
    <w:rsid w:val="10227A07"/>
    <w:rsid w:val="10257014"/>
    <w:rsid w:val="102660B1"/>
    <w:rsid w:val="1029043F"/>
    <w:rsid w:val="102D3FF1"/>
    <w:rsid w:val="102E38C6"/>
    <w:rsid w:val="10303AE2"/>
    <w:rsid w:val="10326DF8"/>
    <w:rsid w:val="10327F45"/>
    <w:rsid w:val="10357C97"/>
    <w:rsid w:val="10367256"/>
    <w:rsid w:val="103709CC"/>
    <w:rsid w:val="10371EDE"/>
    <w:rsid w:val="103947FE"/>
    <w:rsid w:val="103F39BB"/>
    <w:rsid w:val="10414420"/>
    <w:rsid w:val="10417A9D"/>
    <w:rsid w:val="10437371"/>
    <w:rsid w:val="10457972"/>
    <w:rsid w:val="104650B3"/>
    <w:rsid w:val="104770C4"/>
    <w:rsid w:val="10484987"/>
    <w:rsid w:val="10533B3A"/>
    <w:rsid w:val="105A7DCC"/>
    <w:rsid w:val="105B0B5E"/>
    <w:rsid w:val="105F6A7E"/>
    <w:rsid w:val="10615A49"/>
    <w:rsid w:val="106579D7"/>
    <w:rsid w:val="1066305F"/>
    <w:rsid w:val="10675755"/>
    <w:rsid w:val="10676AB0"/>
    <w:rsid w:val="1068327B"/>
    <w:rsid w:val="10693290"/>
    <w:rsid w:val="106B691D"/>
    <w:rsid w:val="10700DD5"/>
    <w:rsid w:val="10741C20"/>
    <w:rsid w:val="107437F2"/>
    <w:rsid w:val="107734BE"/>
    <w:rsid w:val="10795489"/>
    <w:rsid w:val="107A4E46"/>
    <w:rsid w:val="107A696A"/>
    <w:rsid w:val="107F0597"/>
    <w:rsid w:val="107F6D0B"/>
    <w:rsid w:val="108005C5"/>
    <w:rsid w:val="10815A77"/>
    <w:rsid w:val="10843731"/>
    <w:rsid w:val="108552A4"/>
    <w:rsid w:val="108616C4"/>
    <w:rsid w:val="10862F4B"/>
    <w:rsid w:val="10886BB5"/>
    <w:rsid w:val="108C51BC"/>
    <w:rsid w:val="108D0FE0"/>
    <w:rsid w:val="108F3E01"/>
    <w:rsid w:val="1092654A"/>
    <w:rsid w:val="10935409"/>
    <w:rsid w:val="10991687"/>
    <w:rsid w:val="109B7849"/>
    <w:rsid w:val="109E6C9D"/>
    <w:rsid w:val="109F048E"/>
    <w:rsid w:val="10A122E9"/>
    <w:rsid w:val="10A307B1"/>
    <w:rsid w:val="10A47A29"/>
    <w:rsid w:val="10A5627E"/>
    <w:rsid w:val="10AA1950"/>
    <w:rsid w:val="10AA1E71"/>
    <w:rsid w:val="10AA3894"/>
    <w:rsid w:val="10AB4F16"/>
    <w:rsid w:val="10AF2C58"/>
    <w:rsid w:val="10B13BD2"/>
    <w:rsid w:val="10B464C1"/>
    <w:rsid w:val="10B62C05"/>
    <w:rsid w:val="10B657AF"/>
    <w:rsid w:val="10B72A0C"/>
    <w:rsid w:val="10B84B6F"/>
    <w:rsid w:val="10BA71CC"/>
    <w:rsid w:val="10BB26D1"/>
    <w:rsid w:val="10BB33AB"/>
    <w:rsid w:val="10BC0829"/>
    <w:rsid w:val="10BE2E9B"/>
    <w:rsid w:val="10C00446"/>
    <w:rsid w:val="10C009C2"/>
    <w:rsid w:val="10C36704"/>
    <w:rsid w:val="10C50464"/>
    <w:rsid w:val="10C611CC"/>
    <w:rsid w:val="10C761F4"/>
    <w:rsid w:val="10C85AC8"/>
    <w:rsid w:val="10CA00A9"/>
    <w:rsid w:val="10CF32FA"/>
    <w:rsid w:val="10D12BCF"/>
    <w:rsid w:val="10D6033B"/>
    <w:rsid w:val="10D66437"/>
    <w:rsid w:val="10DC4F10"/>
    <w:rsid w:val="10DE626E"/>
    <w:rsid w:val="10E02475"/>
    <w:rsid w:val="10E02E12"/>
    <w:rsid w:val="10E3110E"/>
    <w:rsid w:val="10E33C30"/>
    <w:rsid w:val="10E43A7A"/>
    <w:rsid w:val="10E741A0"/>
    <w:rsid w:val="10EA1EE2"/>
    <w:rsid w:val="10EC17B7"/>
    <w:rsid w:val="10EC670F"/>
    <w:rsid w:val="10EF574B"/>
    <w:rsid w:val="10F16DCD"/>
    <w:rsid w:val="10F176DA"/>
    <w:rsid w:val="10F35816"/>
    <w:rsid w:val="10F42BF2"/>
    <w:rsid w:val="10F5757C"/>
    <w:rsid w:val="10F57740"/>
    <w:rsid w:val="10FA5227"/>
    <w:rsid w:val="1100087F"/>
    <w:rsid w:val="11027767"/>
    <w:rsid w:val="11056D1C"/>
    <w:rsid w:val="110C7406"/>
    <w:rsid w:val="110F33C7"/>
    <w:rsid w:val="110F36F7"/>
    <w:rsid w:val="11101D8E"/>
    <w:rsid w:val="111317FD"/>
    <w:rsid w:val="11146F5F"/>
    <w:rsid w:val="11160F29"/>
    <w:rsid w:val="11162CD7"/>
    <w:rsid w:val="111C0DE0"/>
    <w:rsid w:val="111C71D8"/>
    <w:rsid w:val="111E5A3E"/>
    <w:rsid w:val="111F7DDE"/>
    <w:rsid w:val="11233511"/>
    <w:rsid w:val="11245B88"/>
    <w:rsid w:val="11280028"/>
    <w:rsid w:val="11292A0B"/>
    <w:rsid w:val="112D7194"/>
    <w:rsid w:val="112F78F5"/>
    <w:rsid w:val="113969C6"/>
    <w:rsid w:val="113A2B5E"/>
    <w:rsid w:val="113A2D14"/>
    <w:rsid w:val="113B2D40"/>
    <w:rsid w:val="11407D54"/>
    <w:rsid w:val="114160FF"/>
    <w:rsid w:val="1142587A"/>
    <w:rsid w:val="11481B52"/>
    <w:rsid w:val="114D7DA7"/>
    <w:rsid w:val="11515ABE"/>
    <w:rsid w:val="1152557B"/>
    <w:rsid w:val="1154735C"/>
    <w:rsid w:val="115A7068"/>
    <w:rsid w:val="116021A5"/>
    <w:rsid w:val="11621A79"/>
    <w:rsid w:val="11643F7C"/>
    <w:rsid w:val="11651569"/>
    <w:rsid w:val="11660E72"/>
    <w:rsid w:val="116E08FD"/>
    <w:rsid w:val="1173012A"/>
    <w:rsid w:val="11731929"/>
    <w:rsid w:val="11755C50"/>
    <w:rsid w:val="117619C8"/>
    <w:rsid w:val="117621CC"/>
    <w:rsid w:val="117E4227"/>
    <w:rsid w:val="118032B1"/>
    <w:rsid w:val="118063A3"/>
    <w:rsid w:val="1186727F"/>
    <w:rsid w:val="11873BFB"/>
    <w:rsid w:val="118934CC"/>
    <w:rsid w:val="118B5DC3"/>
    <w:rsid w:val="118C2F9A"/>
    <w:rsid w:val="118E02B9"/>
    <w:rsid w:val="11927D7E"/>
    <w:rsid w:val="11934D0B"/>
    <w:rsid w:val="119368FA"/>
    <w:rsid w:val="11937186"/>
    <w:rsid w:val="11943F45"/>
    <w:rsid w:val="11963E18"/>
    <w:rsid w:val="1197139E"/>
    <w:rsid w:val="11991213"/>
    <w:rsid w:val="119C142F"/>
    <w:rsid w:val="119F3673"/>
    <w:rsid w:val="11A13517"/>
    <w:rsid w:val="11B36778"/>
    <w:rsid w:val="11B76268"/>
    <w:rsid w:val="11BA3ADF"/>
    <w:rsid w:val="11BE691E"/>
    <w:rsid w:val="11C113C0"/>
    <w:rsid w:val="11C25421"/>
    <w:rsid w:val="11C5368A"/>
    <w:rsid w:val="11C97EA9"/>
    <w:rsid w:val="11CC783A"/>
    <w:rsid w:val="11D0732A"/>
    <w:rsid w:val="11D5779C"/>
    <w:rsid w:val="11D62156"/>
    <w:rsid w:val="11D64215"/>
    <w:rsid w:val="11D85FCC"/>
    <w:rsid w:val="11D96D2F"/>
    <w:rsid w:val="11DE5594"/>
    <w:rsid w:val="11E044D7"/>
    <w:rsid w:val="11E42DD6"/>
    <w:rsid w:val="11E61D28"/>
    <w:rsid w:val="11E626AA"/>
    <w:rsid w:val="11E64458"/>
    <w:rsid w:val="11E93F48"/>
    <w:rsid w:val="11EA4A7C"/>
    <w:rsid w:val="11EB462D"/>
    <w:rsid w:val="11EB4770"/>
    <w:rsid w:val="11EB7CC0"/>
    <w:rsid w:val="11F12DFD"/>
    <w:rsid w:val="11F269F6"/>
    <w:rsid w:val="11F31F18"/>
    <w:rsid w:val="11F71B6F"/>
    <w:rsid w:val="11F748B7"/>
    <w:rsid w:val="11F80006"/>
    <w:rsid w:val="11F862DC"/>
    <w:rsid w:val="11F87C9B"/>
    <w:rsid w:val="11FC1ECD"/>
    <w:rsid w:val="11FD34D9"/>
    <w:rsid w:val="11FE6E0B"/>
    <w:rsid w:val="11FE72EC"/>
    <w:rsid w:val="11FF376C"/>
    <w:rsid w:val="12007E57"/>
    <w:rsid w:val="12042B30"/>
    <w:rsid w:val="12086AC4"/>
    <w:rsid w:val="12103BCB"/>
    <w:rsid w:val="12144FC0"/>
    <w:rsid w:val="12154D3D"/>
    <w:rsid w:val="121834FD"/>
    <w:rsid w:val="1218482D"/>
    <w:rsid w:val="121B783C"/>
    <w:rsid w:val="121D493D"/>
    <w:rsid w:val="121E178F"/>
    <w:rsid w:val="12241424"/>
    <w:rsid w:val="12266F4A"/>
    <w:rsid w:val="122819FE"/>
    <w:rsid w:val="122D2087"/>
    <w:rsid w:val="12311F7A"/>
    <w:rsid w:val="123218A4"/>
    <w:rsid w:val="1232769D"/>
    <w:rsid w:val="12341E87"/>
    <w:rsid w:val="1235024B"/>
    <w:rsid w:val="123C676E"/>
    <w:rsid w:val="12404237"/>
    <w:rsid w:val="12437AFC"/>
    <w:rsid w:val="12463148"/>
    <w:rsid w:val="12495B9C"/>
    <w:rsid w:val="124A70DD"/>
    <w:rsid w:val="124B311E"/>
    <w:rsid w:val="12504B4F"/>
    <w:rsid w:val="12555A81"/>
    <w:rsid w:val="125A1DB2"/>
    <w:rsid w:val="125F09B3"/>
    <w:rsid w:val="12641821"/>
    <w:rsid w:val="126804C1"/>
    <w:rsid w:val="126A32DB"/>
    <w:rsid w:val="126D1954"/>
    <w:rsid w:val="126D376E"/>
    <w:rsid w:val="127001C5"/>
    <w:rsid w:val="12720E53"/>
    <w:rsid w:val="1273662A"/>
    <w:rsid w:val="12745F08"/>
    <w:rsid w:val="12791770"/>
    <w:rsid w:val="127A580F"/>
    <w:rsid w:val="127C3F7B"/>
    <w:rsid w:val="12833A99"/>
    <w:rsid w:val="12896E2E"/>
    <w:rsid w:val="1289734F"/>
    <w:rsid w:val="128B3251"/>
    <w:rsid w:val="128F15C7"/>
    <w:rsid w:val="12922832"/>
    <w:rsid w:val="12933991"/>
    <w:rsid w:val="12971BF6"/>
    <w:rsid w:val="129812A0"/>
    <w:rsid w:val="129836AF"/>
    <w:rsid w:val="129844CF"/>
    <w:rsid w:val="12992AB0"/>
    <w:rsid w:val="12993BC0"/>
    <w:rsid w:val="129A3460"/>
    <w:rsid w:val="129C720C"/>
    <w:rsid w:val="129E4D32"/>
    <w:rsid w:val="12A240FF"/>
    <w:rsid w:val="12A3059B"/>
    <w:rsid w:val="12A61E39"/>
    <w:rsid w:val="12A64154"/>
    <w:rsid w:val="12A7081C"/>
    <w:rsid w:val="12A72E86"/>
    <w:rsid w:val="12AD1419"/>
    <w:rsid w:val="12AF0CEE"/>
    <w:rsid w:val="12B04A66"/>
    <w:rsid w:val="12B0606E"/>
    <w:rsid w:val="12B10F0A"/>
    <w:rsid w:val="12B2432A"/>
    <w:rsid w:val="12B44556"/>
    <w:rsid w:val="12B91B6C"/>
    <w:rsid w:val="12B96010"/>
    <w:rsid w:val="12BE7183"/>
    <w:rsid w:val="12C02EFB"/>
    <w:rsid w:val="12C0739F"/>
    <w:rsid w:val="12C34799"/>
    <w:rsid w:val="12CD62EF"/>
    <w:rsid w:val="12CF30E1"/>
    <w:rsid w:val="12D322B2"/>
    <w:rsid w:val="12D90460"/>
    <w:rsid w:val="12DB0BB5"/>
    <w:rsid w:val="12DD44FB"/>
    <w:rsid w:val="12DE5A77"/>
    <w:rsid w:val="12E03D15"/>
    <w:rsid w:val="12E05BA7"/>
    <w:rsid w:val="12E84200"/>
    <w:rsid w:val="12E978C1"/>
    <w:rsid w:val="12EE0460"/>
    <w:rsid w:val="12EF70B7"/>
    <w:rsid w:val="12F0682B"/>
    <w:rsid w:val="12F12B40"/>
    <w:rsid w:val="12F232D0"/>
    <w:rsid w:val="12F26E2C"/>
    <w:rsid w:val="12F47048"/>
    <w:rsid w:val="12F4707A"/>
    <w:rsid w:val="12F5447C"/>
    <w:rsid w:val="12F60A4F"/>
    <w:rsid w:val="12F6543D"/>
    <w:rsid w:val="12F928B1"/>
    <w:rsid w:val="12FD414F"/>
    <w:rsid w:val="12FE1529"/>
    <w:rsid w:val="12FE1B36"/>
    <w:rsid w:val="12FE7EC7"/>
    <w:rsid w:val="13051255"/>
    <w:rsid w:val="130C3EBB"/>
    <w:rsid w:val="13135DE5"/>
    <w:rsid w:val="13182D37"/>
    <w:rsid w:val="13196AAF"/>
    <w:rsid w:val="131A1D32"/>
    <w:rsid w:val="131B5E0D"/>
    <w:rsid w:val="131B6383"/>
    <w:rsid w:val="13201BEB"/>
    <w:rsid w:val="13220EF9"/>
    <w:rsid w:val="132650F8"/>
    <w:rsid w:val="132711CC"/>
    <w:rsid w:val="13281DD8"/>
    <w:rsid w:val="132A4818"/>
    <w:rsid w:val="132C67E2"/>
    <w:rsid w:val="132C6A5A"/>
    <w:rsid w:val="132D5B55"/>
    <w:rsid w:val="133059E5"/>
    <w:rsid w:val="13345697"/>
    <w:rsid w:val="133833D9"/>
    <w:rsid w:val="13391CAF"/>
    <w:rsid w:val="133C4173"/>
    <w:rsid w:val="134107F0"/>
    <w:rsid w:val="134170F2"/>
    <w:rsid w:val="13427DB4"/>
    <w:rsid w:val="13460D42"/>
    <w:rsid w:val="134B4BB4"/>
    <w:rsid w:val="134F24D1"/>
    <w:rsid w:val="13517FF7"/>
    <w:rsid w:val="13557BCB"/>
    <w:rsid w:val="13566748"/>
    <w:rsid w:val="13580061"/>
    <w:rsid w:val="135A6CA4"/>
    <w:rsid w:val="135B1AD8"/>
    <w:rsid w:val="135B1F86"/>
    <w:rsid w:val="135E44C2"/>
    <w:rsid w:val="13622D22"/>
    <w:rsid w:val="136452DF"/>
    <w:rsid w:val="13645F7C"/>
    <w:rsid w:val="13661B1F"/>
    <w:rsid w:val="1366677C"/>
    <w:rsid w:val="13673FF9"/>
    <w:rsid w:val="13675A6C"/>
    <w:rsid w:val="13682F98"/>
    <w:rsid w:val="136C6BDF"/>
    <w:rsid w:val="136F4921"/>
    <w:rsid w:val="137141F5"/>
    <w:rsid w:val="1371577D"/>
    <w:rsid w:val="1371719D"/>
    <w:rsid w:val="13723DD9"/>
    <w:rsid w:val="137244AF"/>
    <w:rsid w:val="1372481A"/>
    <w:rsid w:val="137249D0"/>
    <w:rsid w:val="137361BF"/>
    <w:rsid w:val="1376180B"/>
    <w:rsid w:val="13777FE7"/>
    <w:rsid w:val="137B7981"/>
    <w:rsid w:val="137D5290"/>
    <w:rsid w:val="137F7E6F"/>
    <w:rsid w:val="13806B2E"/>
    <w:rsid w:val="1382348A"/>
    <w:rsid w:val="13855EF2"/>
    <w:rsid w:val="138C28E1"/>
    <w:rsid w:val="138C7166"/>
    <w:rsid w:val="138E37A0"/>
    <w:rsid w:val="138F0B1F"/>
    <w:rsid w:val="1390582B"/>
    <w:rsid w:val="13906D71"/>
    <w:rsid w:val="139323BD"/>
    <w:rsid w:val="139452E8"/>
    <w:rsid w:val="13946135"/>
    <w:rsid w:val="13953A2D"/>
    <w:rsid w:val="13963C5C"/>
    <w:rsid w:val="1399559B"/>
    <w:rsid w:val="139B74C4"/>
    <w:rsid w:val="139C4688"/>
    <w:rsid w:val="139D37F3"/>
    <w:rsid w:val="13A062E5"/>
    <w:rsid w:val="13A07610"/>
    <w:rsid w:val="13A3379E"/>
    <w:rsid w:val="13A520F1"/>
    <w:rsid w:val="13A62514"/>
    <w:rsid w:val="13AA1367"/>
    <w:rsid w:val="13AB6944"/>
    <w:rsid w:val="13B16CE7"/>
    <w:rsid w:val="13B54A2A"/>
    <w:rsid w:val="13B70D40"/>
    <w:rsid w:val="13B75070"/>
    <w:rsid w:val="13BB1914"/>
    <w:rsid w:val="13BB7B66"/>
    <w:rsid w:val="13BC70A7"/>
    <w:rsid w:val="13BD2305"/>
    <w:rsid w:val="13BD35E6"/>
    <w:rsid w:val="13BF28A4"/>
    <w:rsid w:val="13BF31B2"/>
    <w:rsid w:val="13C22CA3"/>
    <w:rsid w:val="13C92283"/>
    <w:rsid w:val="13C96C86"/>
    <w:rsid w:val="13CC1D73"/>
    <w:rsid w:val="13CE1647"/>
    <w:rsid w:val="13D013B1"/>
    <w:rsid w:val="13D2289B"/>
    <w:rsid w:val="13D32473"/>
    <w:rsid w:val="13D84AA3"/>
    <w:rsid w:val="13DB5B12"/>
    <w:rsid w:val="13E175CD"/>
    <w:rsid w:val="13E250F3"/>
    <w:rsid w:val="13E670CA"/>
    <w:rsid w:val="13E764D3"/>
    <w:rsid w:val="13E76BAD"/>
    <w:rsid w:val="13EB21F9"/>
    <w:rsid w:val="13EB5EC8"/>
    <w:rsid w:val="13EC0AED"/>
    <w:rsid w:val="13EE1CEA"/>
    <w:rsid w:val="13EF7C2B"/>
    <w:rsid w:val="13F333CD"/>
    <w:rsid w:val="13F45878"/>
    <w:rsid w:val="13FB0A64"/>
    <w:rsid w:val="13FB1AF3"/>
    <w:rsid w:val="13FD21A1"/>
    <w:rsid w:val="14060DE1"/>
    <w:rsid w:val="140D6256"/>
    <w:rsid w:val="140F7309"/>
    <w:rsid w:val="14100781"/>
    <w:rsid w:val="14100946"/>
    <w:rsid w:val="14107EB2"/>
    <w:rsid w:val="14196170"/>
    <w:rsid w:val="141C5989"/>
    <w:rsid w:val="14231B23"/>
    <w:rsid w:val="14263231"/>
    <w:rsid w:val="14272A04"/>
    <w:rsid w:val="14276FAA"/>
    <w:rsid w:val="142838F9"/>
    <w:rsid w:val="14294AD0"/>
    <w:rsid w:val="142E381C"/>
    <w:rsid w:val="14316687"/>
    <w:rsid w:val="143376FC"/>
    <w:rsid w:val="1434426F"/>
    <w:rsid w:val="143649AA"/>
    <w:rsid w:val="1436550F"/>
    <w:rsid w:val="143C0CA7"/>
    <w:rsid w:val="143C1A54"/>
    <w:rsid w:val="14411E19"/>
    <w:rsid w:val="14457A7C"/>
    <w:rsid w:val="14463554"/>
    <w:rsid w:val="14473D69"/>
    <w:rsid w:val="1448764C"/>
    <w:rsid w:val="144B0620"/>
    <w:rsid w:val="144D4F3E"/>
    <w:rsid w:val="144D6085"/>
    <w:rsid w:val="144E5BFE"/>
    <w:rsid w:val="145B0A18"/>
    <w:rsid w:val="145B1459"/>
    <w:rsid w:val="145C30F7"/>
    <w:rsid w:val="14691B4B"/>
    <w:rsid w:val="146C3C63"/>
    <w:rsid w:val="146D70B2"/>
    <w:rsid w:val="146E3278"/>
    <w:rsid w:val="146F7B6A"/>
    <w:rsid w:val="14700951"/>
    <w:rsid w:val="14714D0A"/>
    <w:rsid w:val="1473140B"/>
    <w:rsid w:val="14776AEA"/>
    <w:rsid w:val="147954B1"/>
    <w:rsid w:val="147D6C30"/>
    <w:rsid w:val="14832432"/>
    <w:rsid w:val="148443FC"/>
    <w:rsid w:val="148461AA"/>
    <w:rsid w:val="14860BF1"/>
    <w:rsid w:val="14891A12"/>
    <w:rsid w:val="14902DA1"/>
    <w:rsid w:val="14940DEA"/>
    <w:rsid w:val="14943062"/>
    <w:rsid w:val="14943218"/>
    <w:rsid w:val="14943739"/>
    <w:rsid w:val="149503B7"/>
    <w:rsid w:val="14952100"/>
    <w:rsid w:val="149523CB"/>
    <w:rsid w:val="14991C55"/>
    <w:rsid w:val="149955F1"/>
    <w:rsid w:val="149B393A"/>
    <w:rsid w:val="149C1746"/>
    <w:rsid w:val="149F3FC7"/>
    <w:rsid w:val="14A240CA"/>
    <w:rsid w:val="14A443BC"/>
    <w:rsid w:val="14A800EA"/>
    <w:rsid w:val="14B20EEC"/>
    <w:rsid w:val="14B275DB"/>
    <w:rsid w:val="14B44CE1"/>
    <w:rsid w:val="14B60A59"/>
    <w:rsid w:val="14B7657F"/>
    <w:rsid w:val="14B902B6"/>
    <w:rsid w:val="14BF5434"/>
    <w:rsid w:val="14C15ED1"/>
    <w:rsid w:val="14C41C81"/>
    <w:rsid w:val="14C52A4A"/>
    <w:rsid w:val="14C55CE2"/>
    <w:rsid w:val="14CB3F4E"/>
    <w:rsid w:val="14CD5DA3"/>
    <w:rsid w:val="14CD7B51"/>
    <w:rsid w:val="14CE1A25"/>
    <w:rsid w:val="14CF6D94"/>
    <w:rsid w:val="14D0319D"/>
    <w:rsid w:val="14D03259"/>
    <w:rsid w:val="14D26F15"/>
    <w:rsid w:val="14D871DD"/>
    <w:rsid w:val="14DC4983"/>
    <w:rsid w:val="14DC7D94"/>
    <w:rsid w:val="14E7655D"/>
    <w:rsid w:val="14E8498B"/>
    <w:rsid w:val="14EA775D"/>
    <w:rsid w:val="14EB139A"/>
    <w:rsid w:val="14EB1C26"/>
    <w:rsid w:val="14ED2FA2"/>
    <w:rsid w:val="14ED3D4F"/>
    <w:rsid w:val="14EF3F6B"/>
    <w:rsid w:val="14F25809"/>
    <w:rsid w:val="14F275B8"/>
    <w:rsid w:val="14F52C04"/>
    <w:rsid w:val="14F90946"/>
    <w:rsid w:val="14F92D31"/>
    <w:rsid w:val="14F944F9"/>
    <w:rsid w:val="14FA290F"/>
    <w:rsid w:val="14FA32EB"/>
    <w:rsid w:val="14FB21D3"/>
    <w:rsid w:val="14FB646C"/>
    <w:rsid w:val="150115A9"/>
    <w:rsid w:val="150257F3"/>
    <w:rsid w:val="150317C5"/>
    <w:rsid w:val="15037115"/>
    <w:rsid w:val="150B04AE"/>
    <w:rsid w:val="1514752E"/>
    <w:rsid w:val="15161464"/>
    <w:rsid w:val="151632A6"/>
    <w:rsid w:val="1516371C"/>
    <w:rsid w:val="15194B44"/>
    <w:rsid w:val="15197EAA"/>
    <w:rsid w:val="151C4A36"/>
    <w:rsid w:val="15211C4B"/>
    <w:rsid w:val="15227C14"/>
    <w:rsid w:val="152534E9"/>
    <w:rsid w:val="15264F53"/>
    <w:rsid w:val="152754B3"/>
    <w:rsid w:val="152A065F"/>
    <w:rsid w:val="152E30D5"/>
    <w:rsid w:val="15310B40"/>
    <w:rsid w:val="15363948"/>
    <w:rsid w:val="1537141C"/>
    <w:rsid w:val="15393438"/>
    <w:rsid w:val="153A3533"/>
    <w:rsid w:val="153B2D0D"/>
    <w:rsid w:val="153E27FD"/>
    <w:rsid w:val="153E45AB"/>
    <w:rsid w:val="154107F7"/>
    <w:rsid w:val="15455657"/>
    <w:rsid w:val="154753F4"/>
    <w:rsid w:val="15512530"/>
    <w:rsid w:val="155142DE"/>
    <w:rsid w:val="155344FA"/>
    <w:rsid w:val="155B6F0B"/>
    <w:rsid w:val="155F79C9"/>
    <w:rsid w:val="156009C5"/>
    <w:rsid w:val="156264EB"/>
    <w:rsid w:val="15657D89"/>
    <w:rsid w:val="15671D54"/>
    <w:rsid w:val="156B7752"/>
    <w:rsid w:val="156D10F1"/>
    <w:rsid w:val="156E5557"/>
    <w:rsid w:val="156F0CA4"/>
    <w:rsid w:val="15704562"/>
    <w:rsid w:val="157A53B4"/>
    <w:rsid w:val="157B276D"/>
    <w:rsid w:val="157D50D3"/>
    <w:rsid w:val="157E0E4B"/>
    <w:rsid w:val="157E1400"/>
    <w:rsid w:val="157E7260"/>
    <w:rsid w:val="157F69D4"/>
    <w:rsid w:val="157F7058"/>
    <w:rsid w:val="15806971"/>
    <w:rsid w:val="1582400F"/>
    <w:rsid w:val="15836462"/>
    <w:rsid w:val="158C17BA"/>
    <w:rsid w:val="158C299F"/>
    <w:rsid w:val="158D11B1"/>
    <w:rsid w:val="158F3058"/>
    <w:rsid w:val="1594066F"/>
    <w:rsid w:val="15952A39"/>
    <w:rsid w:val="159A3ED7"/>
    <w:rsid w:val="159D30A0"/>
    <w:rsid w:val="159D39C7"/>
    <w:rsid w:val="15A20FDE"/>
    <w:rsid w:val="15A41965"/>
    <w:rsid w:val="15A44D56"/>
    <w:rsid w:val="15A563D8"/>
    <w:rsid w:val="15A72150"/>
    <w:rsid w:val="15A738B8"/>
    <w:rsid w:val="15A96D43"/>
    <w:rsid w:val="15A96F18"/>
    <w:rsid w:val="15B17473"/>
    <w:rsid w:val="15B605E5"/>
    <w:rsid w:val="15B61CF7"/>
    <w:rsid w:val="15BB2A37"/>
    <w:rsid w:val="15C42D02"/>
    <w:rsid w:val="15C50828"/>
    <w:rsid w:val="15C56A7A"/>
    <w:rsid w:val="15CA0BBE"/>
    <w:rsid w:val="15CA22E2"/>
    <w:rsid w:val="15CC0A8F"/>
    <w:rsid w:val="15CD1B01"/>
    <w:rsid w:val="15CE304B"/>
    <w:rsid w:val="15CF2E52"/>
    <w:rsid w:val="15D0520D"/>
    <w:rsid w:val="15D07BCF"/>
    <w:rsid w:val="15D26D5F"/>
    <w:rsid w:val="15D46CBD"/>
    <w:rsid w:val="15D64B56"/>
    <w:rsid w:val="15DB44F0"/>
    <w:rsid w:val="15DF01E8"/>
    <w:rsid w:val="15E2762C"/>
    <w:rsid w:val="15E40FDC"/>
    <w:rsid w:val="15E433A4"/>
    <w:rsid w:val="15EE7A56"/>
    <w:rsid w:val="15F1786F"/>
    <w:rsid w:val="15F31839"/>
    <w:rsid w:val="15F330EF"/>
    <w:rsid w:val="15F4571E"/>
    <w:rsid w:val="15FD2F00"/>
    <w:rsid w:val="15FD6556"/>
    <w:rsid w:val="15FE04ED"/>
    <w:rsid w:val="15FF30BE"/>
    <w:rsid w:val="160550C9"/>
    <w:rsid w:val="16084170"/>
    <w:rsid w:val="160A55D3"/>
    <w:rsid w:val="160C28FB"/>
    <w:rsid w:val="160C6659"/>
    <w:rsid w:val="160E0107"/>
    <w:rsid w:val="16133262"/>
    <w:rsid w:val="161552E4"/>
    <w:rsid w:val="161731D1"/>
    <w:rsid w:val="161B48EC"/>
    <w:rsid w:val="161C6FA0"/>
    <w:rsid w:val="161D17C8"/>
    <w:rsid w:val="161E0F3C"/>
    <w:rsid w:val="161E6396"/>
    <w:rsid w:val="161F43DC"/>
    <w:rsid w:val="16236D50"/>
    <w:rsid w:val="162416A1"/>
    <w:rsid w:val="16254EA9"/>
    <w:rsid w:val="162639BD"/>
    <w:rsid w:val="16287735"/>
    <w:rsid w:val="162C08A7"/>
    <w:rsid w:val="162C415B"/>
    <w:rsid w:val="16315EBE"/>
    <w:rsid w:val="16321ADC"/>
    <w:rsid w:val="16331C36"/>
    <w:rsid w:val="16361539"/>
    <w:rsid w:val="16361B0A"/>
    <w:rsid w:val="163B0AEA"/>
    <w:rsid w:val="163C59BC"/>
    <w:rsid w:val="163F34B3"/>
    <w:rsid w:val="164107F7"/>
    <w:rsid w:val="16414353"/>
    <w:rsid w:val="1647748F"/>
    <w:rsid w:val="164A7E47"/>
    <w:rsid w:val="164C2CF7"/>
    <w:rsid w:val="164E4CC1"/>
    <w:rsid w:val="165215B9"/>
    <w:rsid w:val="165628A2"/>
    <w:rsid w:val="16563FC8"/>
    <w:rsid w:val="16573066"/>
    <w:rsid w:val="16573B76"/>
    <w:rsid w:val="16582624"/>
    <w:rsid w:val="16585B40"/>
    <w:rsid w:val="165F0C7D"/>
    <w:rsid w:val="165F6ECF"/>
    <w:rsid w:val="166603FD"/>
    <w:rsid w:val="166659F9"/>
    <w:rsid w:val="166743C0"/>
    <w:rsid w:val="166A3A8D"/>
    <w:rsid w:val="166B7621"/>
    <w:rsid w:val="166C4E41"/>
    <w:rsid w:val="166E2C6E"/>
    <w:rsid w:val="167069E6"/>
    <w:rsid w:val="167504A0"/>
    <w:rsid w:val="16756F08"/>
    <w:rsid w:val="16822B68"/>
    <w:rsid w:val="16840CA4"/>
    <w:rsid w:val="1684629D"/>
    <w:rsid w:val="168626AD"/>
    <w:rsid w:val="16895CFA"/>
    <w:rsid w:val="168A56C6"/>
    <w:rsid w:val="168B0377"/>
    <w:rsid w:val="168D7598"/>
    <w:rsid w:val="168E7020"/>
    <w:rsid w:val="16917DF9"/>
    <w:rsid w:val="16922E00"/>
    <w:rsid w:val="16924BAE"/>
    <w:rsid w:val="1694677A"/>
    <w:rsid w:val="16985F3D"/>
    <w:rsid w:val="169A0EAB"/>
    <w:rsid w:val="169B736F"/>
    <w:rsid w:val="169F77B7"/>
    <w:rsid w:val="16A070E1"/>
    <w:rsid w:val="16A91903"/>
    <w:rsid w:val="16AD19E8"/>
    <w:rsid w:val="16AE38DB"/>
    <w:rsid w:val="16B5089D"/>
    <w:rsid w:val="16B62681"/>
    <w:rsid w:val="16B632BB"/>
    <w:rsid w:val="16B73C96"/>
    <w:rsid w:val="16BC4771"/>
    <w:rsid w:val="16BD3139"/>
    <w:rsid w:val="16BE2DCD"/>
    <w:rsid w:val="16C136E5"/>
    <w:rsid w:val="16C32FBA"/>
    <w:rsid w:val="16CB0B4C"/>
    <w:rsid w:val="16CB5E37"/>
    <w:rsid w:val="16CC55AB"/>
    <w:rsid w:val="16CD49B3"/>
    <w:rsid w:val="16CE7D9B"/>
    <w:rsid w:val="16D52CED"/>
    <w:rsid w:val="16DB74FC"/>
    <w:rsid w:val="16E01F94"/>
    <w:rsid w:val="16E11692"/>
    <w:rsid w:val="16E507BE"/>
    <w:rsid w:val="16E605C5"/>
    <w:rsid w:val="16E6314C"/>
    <w:rsid w:val="16E923AF"/>
    <w:rsid w:val="16EA10E2"/>
    <w:rsid w:val="16ED44DA"/>
    <w:rsid w:val="16EF2001"/>
    <w:rsid w:val="16F245C5"/>
    <w:rsid w:val="16F86CF6"/>
    <w:rsid w:val="16F93AC7"/>
    <w:rsid w:val="16FA2753"/>
    <w:rsid w:val="16FB3A21"/>
    <w:rsid w:val="16FC79D1"/>
    <w:rsid w:val="16FE0496"/>
    <w:rsid w:val="16FF7D6A"/>
    <w:rsid w:val="17002738"/>
    <w:rsid w:val="17033CFE"/>
    <w:rsid w:val="17035549"/>
    <w:rsid w:val="1703785A"/>
    <w:rsid w:val="17057572"/>
    <w:rsid w:val="1705788A"/>
    <w:rsid w:val="170662DD"/>
    <w:rsid w:val="170665BD"/>
    <w:rsid w:val="170716DF"/>
    <w:rsid w:val="170B4961"/>
    <w:rsid w:val="170F4F00"/>
    <w:rsid w:val="170F61FF"/>
    <w:rsid w:val="1710689D"/>
    <w:rsid w:val="171338FD"/>
    <w:rsid w:val="17162E29"/>
    <w:rsid w:val="17180B22"/>
    <w:rsid w:val="171C1C63"/>
    <w:rsid w:val="1724750F"/>
    <w:rsid w:val="172503B8"/>
    <w:rsid w:val="17261D73"/>
    <w:rsid w:val="17283764"/>
    <w:rsid w:val="17291027"/>
    <w:rsid w:val="172D0D7B"/>
    <w:rsid w:val="172F463D"/>
    <w:rsid w:val="173114BF"/>
    <w:rsid w:val="173220AD"/>
    <w:rsid w:val="173914CE"/>
    <w:rsid w:val="173C2D6C"/>
    <w:rsid w:val="17400531"/>
    <w:rsid w:val="17424826"/>
    <w:rsid w:val="174560C4"/>
    <w:rsid w:val="174A36DB"/>
    <w:rsid w:val="174D0547"/>
    <w:rsid w:val="174E33E4"/>
    <w:rsid w:val="174F6496"/>
    <w:rsid w:val="1750136A"/>
    <w:rsid w:val="17504430"/>
    <w:rsid w:val="1755065F"/>
    <w:rsid w:val="17550AFC"/>
    <w:rsid w:val="17591B70"/>
    <w:rsid w:val="175A3EB4"/>
    <w:rsid w:val="175B711B"/>
    <w:rsid w:val="175E1B82"/>
    <w:rsid w:val="175E5E7D"/>
    <w:rsid w:val="17664CEC"/>
    <w:rsid w:val="1767603B"/>
    <w:rsid w:val="17681DB3"/>
    <w:rsid w:val="176D18F5"/>
    <w:rsid w:val="176D73C9"/>
    <w:rsid w:val="176E75FC"/>
    <w:rsid w:val="17734334"/>
    <w:rsid w:val="17740758"/>
    <w:rsid w:val="17742506"/>
    <w:rsid w:val="177475FB"/>
    <w:rsid w:val="177A1A64"/>
    <w:rsid w:val="177B7D38"/>
    <w:rsid w:val="177C13BA"/>
    <w:rsid w:val="177E15D6"/>
    <w:rsid w:val="17812DA9"/>
    <w:rsid w:val="178211BE"/>
    <w:rsid w:val="1785372B"/>
    <w:rsid w:val="17863588"/>
    <w:rsid w:val="178E2610"/>
    <w:rsid w:val="178F7340"/>
    <w:rsid w:val="17957219"/>
    <w:rsid w:val="17992095"/>
    <w:rsid w:val="179B2ECE"/>
    <w:rsid w:val="179B3E23"/>
    <w:rsid w:val="179B6473"/>
    <w:rsid w:val="179E57D5"/>
    <w:rsid w:val="17A032FB"/>
    <w:rsid w:val="17A16C54"/>
    <w:rsid w:val="17A32DEB"/>
    <w:rsid w:val="17A71097"/>
    <w:rsid w:val="17A871CC"/>
    <w:rsid w:val="17AC1248"/>
    <w:rsid w:val="17AC6144"/>
    <w:rsid w:val="17AE0C93"/>
    <w:rsid w:val="17B44838"/>
    <w:rsid w:val="17BB3400"/>
    <w:rsid w:val="17BE5517"/>
    <w:rsid w:val="17C0133A"/>
    <w:rsid w:val="17C25C94"/>
    <w:rsid w:val="17C3523B"/>
    <w:rsid w:val="17C36FE9"/>
    <w:rsid w:val="17CD5FB9"/>
    <w:rsid w:val="17CF3BE0"/>
    <w:rsid w:val="17D2246F"/>
    <w:rsid w:val="17D31922"/>
    <w:rsid w:val="17D631C0"/>
    <w:rsid w:val="17D808C5"/>
    <w:rsid w:val="17D912A0"/>
    <w:rsid w:val="17D9363D"/>
    <w:rsid w:val="17DF2578"/>
    <w:rsid w:val="17DF28E3"/>
    <w:rsid w:val="17E05CBA"/>
    <w:rsid w:val="17E106B3"/>
    <w:rsid w:val="17E5123B"/>
    <w:rsid w:val="17E72CD8"/>
    <w:rsid w:val="17E74A70"/>
    <w:rsid w:val="17EA4F8C"/>
    <w:rsid w:val="17EB083E"/>
    <w:rsid w:val="17F17FFA"/>
    <w:rsid w:val="17F23C73"/>
    <w:rsid w:val="17F66895"/>
    <w:rsid w:val="17F8087D"/>
    <w:rsid w:val="17FC737D"/>
    <w:rsid w:val="17FD24FB"/>
    <w:rsid w:val="17FF2717"/>
    <w:rsid w:val="18047D2E"/>
    <w:rsid w:val="18057602"/>
    <w:rsid w:val="18070E65"/>
    <w:rsid w:val="180B19A4"/>
    <w:rsid w:val="18155A97"/>
    <w:rsid w:val="18155D42"/>
    <w:rsid w:val="18176C7A"/>
    <w:rsid w:val="181B0BD3"/>
    <w:rsid w:val="181C16C5"/>
    <w:rsid w:val="1820314D"/>
    <w:rsid w:val="18227555"/>
    <w:rsid w:val="18251831"/>
    <w:rsid w:val="182F5406"/>
    <w:rsid w:val="18335F1D"/>
    <w:rsid w:val="18363C5F"/>
    <w:rsid w:val="183D032B"/>
    <w:rsid w:val="183D0B4A"/>
    <w:rsid w:val="183E144C"/>
    <w:rsid w:val="183F646C"/>
    <w:rsid w:val="18427B7F"/>
    <w:rsid w:val="1844012A"/>
    <w:rsid w:val="1845308C"/>
    <w:rsid w:val="184620F4"/>
    <w:rsid w:val="18463EA2"/>
    <w:rsid w:val="18466934"/>
    <w:rsid w:val="1847137D"/>
    <w:rsid w:val="18491BE4"/>
    <w:rsid w:val="185010A8"/>
    <w:rsid w:val="18502F73"/>
    <w:rsid w:val="185145F5"/>
    <w:rsid w:val="18540BAD"/>
    <w:rsid w:val="18567E5D"/>
    <w:rsid w:val="18593B8F"/>
    <w:rsid w:val="185A0A79"/>
    <w:rsid w:val="185D743E"/>
    <w:rsid w:val="185E6B47"/>
    <w:rsid w:val="18664544"/>
    <w:rsid w:val="18694035"/>
    <w:rsid w:val="186E51A7"/>
    <w:rsid w:val="18701F98"/>
    <w:rsid w:val="18722EE9"/>
    <w:rsid w:val="18737F1D"/>
    <w:rsid w:val="18743D16"/>
    <w:rsid w:val="18770500"/>
    <w:rsid w:val="187817E9"/>
    <w:rsid w:val="187A7FF0"/>
    <w:rsid w:val="187B075B"/>
    <w:rsid w:val="18802DD1"/>
    <w:rsid w:val="188624F1"/>
    <w:rsid w:val="188E09E6"/>
    <w:rsid w:val="188E66C6"/>
    <w:rsid w:val="189310B2"/>
    <w:rsid w:val="18932E60"/>
    <w:rsid w:val="1895095F"/>
    <w:rsid w:val="18954E2A"/>
    <w:rsid w:val="18972950"/>
    <w:rsid w:val="189A1846"/>
    <w:rsid w:val="189B3AC2"/>
    <w:rsid w:val="189C0B38"/>
    <w:rsid w:val="189E7349"/>
    <w:rsid w:val="189F766A"/>
    <w:rsid w:val="18A20392"/>
    <w:rsid w:val="18A312F5"/>
    <w:rsid w:val="18A55883"/>
    <w:rsid w:val="18A84B5D"/>
    <w:rsid w:val="18AA2E4C"/>
    <w:rsid w:val="18AB2FAA"/>
    <w:rsid w:val="18AF5EEB"/>
    <w:rsid w:val="18B41207"/>
    <w:rsid w:val="18B4646E"/>
    <w:rsid w:val="18B8174E"/>
    <w:rsid w:val="18B878CC"/>
    <w:rsid w:val="18BA1C85"/>
    <w:rsid w:val="18BC4164"/>
    <w:rsid w:val="18BD7EDC"/>
    <w:rsid w:val="18C013E0"/>
    <w:rsid w:val="18C15C1F"/>
    <w:rsid w:val="18C65D63"/>
    <w:rsid w:val="18C80D5B"/>
    <w:rsid w:val="18C82478"/>
    <w:rsid w:val="18CA609F"/>
    <w:rsid w:val="18CB39A2"/>
    <w:rsid w:val="18CE6C54"/>
    <w:rsid w:val="18D17A0D"/>
    <w:rsid w:val="18D23988"/>
    <w:rsid w:val="18D70F9E"/>
    <w:rsid w:val="18D71994"/>
    <w:rsid w:val="18D85379"/>
    <w:rsid w:val="18DA6CE0"/>
    <w:rsid w:val="18DC0363"/>
    <w:rsid w:val="18E02B21"/>
    <w:rsid w:val="18E055CE"/>
    <w:rsid w:val="18E1409A"/>
    <w:rsid w:val="18EA23E1"/>
    <w:rsid w:val="18EB67F8"/>
    <w:rsid w:val="18EF0B95"/>
    <w:rsid w:val="18F20563"/>
    <w:rsid w:val="18F66045"/>
    <w:rsid w:val="18F97167"/>
    <w:rsid w:val="18FD2D51"/>
    <w:rsid w:val="19045B0B"/>
    <w:rsid w:val="190A1374"/>
    <w:rsid w:val="190C7705"/>
    <w:rsid w:val="190D2C12"/>
    <w:rsid w:val="190D49C0"/>
    <w:rsid w:val="190E24E6"/>
    <w:rsid w:val="191016D4"/>
    <w:rsid w:val="19102702"/>
    <w:rsid w:val="19106403"/>
    <w:rsid w:val="19112D11"/>
    <w:rsid w:val="19131002"/>
    <w:rsid w:val="191311B8"/>
    <w:rsid w:val="19172FD4"/>
    <w:rsid w:val="191748E1"/>
    <w:rsid w:val="19187C36"/>
    <w:rsid w:val="19197D72"/>
    <w:rsid w:val="191A70DD"/>
    <w:rsid w:val="191D0975"/>
    <w:rsid w:val="191D7DDA"/>
    <w:rsid w:val="19240840"/>
    <w:rsid w:val="19255582"/>
    <w:rsid w:val="192D03A2"/>
    <w:rsid w:val="193006AE"/>
    <w:rsid w:val="19314B52"/>
    <w:rsid w:val="19320D92"/>
    <w:rsid w:val="19375EE1"/>
    <w:rsid w:val="193957B5"/>
    <w:rsid w:val="193B777F"/>
    <w:rsid w:val="193C7053"/>
    <w:rsid w:val="193D6FCC"/>
    <w:rsid w:val="193F08F1"/>
    <w:rsid w:val="1942407F"/>
    <w:rsid w:val="194C39B8"/>
    <w:rsid w:val="194D74B2"/>
    <w:rsid w:val="194F6D66"/>
    <w:rsid w:val="19516536"/>
    <w:rsid w:val="19516FA3"/>
    <w:rsid w:val="19565C94"/>
    <w:rsid w:val="19583304"/>
    <w:rsid w:val="195C4B5C"/>
    <w:rsid w:val="19604CF2"/>
    <w:rsid w:val="19606B74"/>
    <w:rsid w:val="196565AA"/>
    <w:rsid w:val="19662322"/>
    <w:rsid w:val="19670574"/>
    <w:rsid w:val="19683308"/>
    <w:rsid w:val="196C5B8A"/>
    <w:rsid w:val="196F11D7"/>
    <w:rsid w:val="19704F4F"/>
    <w:rsid w:val="197131A1"/>
    <w:rsid w:val="19723C10"/>
    <w:rsid w:val="1973048A"/>
    <w:rsid w:val="197639DB"/>
    <w:rsid w:val="19772A79"/>
    <w:rsid w:val="19782149"/>
    <w:rsid w:val="1978271D"/>
    <w:rsid w:val="197C1B46"/>
    <w:rsid w:val="197D7D98"/>
    <w:rsid w:val="197F2CCE"/>
    <w:rsid w:val="19832ED4"/>
    <w:rsid w:val="19864814"/>
    <w:rsid w:val="19866520"/>
    <w:rsid w:val="198729C4"/>
    <w:rsid w:val="198946FA"/>
    <w:rsid w:val="198A78DD"/>
    <w:rsid w:val="198C6C3F"/>
    <w:rsid w:val="198D78AF"/>
    <w:rsid w:val="199B6470"/>
    <w:rsid w:val="19A16E4B"/>
    <w:rsid w:val="19A2257B"/>
    <w:rsid w:val="19A30E80"/>
    <w:rsid w:val="19AA1B5E"/>
    <w:rsid w:val="19AC33BD"/>
    <w:rsid w:val="19AD1853"/>
    <w:rsid w:val="19B337B9"/>
    <w:rsid w:val="19B47531"/>
    <w:rsid w:val="19BD53D0"/>
    <w:rsid w:val="19BE789C"/>
    <w:rsid w:val="19C01A32"/>
    <w:rsid w:val="19C534ED"/>
    <w:rsid w:val="19CC487B"/>
    <w:rsid w:val="19CD1B1F"/>
    <w:rsid w:val="19CE1487"/>
    <w:rsid w:val="19D041CD"/>
    <w:rsid w:val="19D54A98"/>
    <w:rsid w:val="19D5589C"/>
    <w:rsid w:val="19D90D46"/>
    <w:rsid w:val="19D979FE"/>
    <w:rsid w:val="19DE010A"/>
    <w:rsid w:val="19E576EB"/>
    <w:rsid w:val="19E64A97"/>
    <w:rsid w:val="19E75211"/>
    <w:rsid w:val="19F16090"/>
    <w:rsid w:val="19F636A6"/>
    <w:rsid w:val="19F85670"/>
    <w:rsid w:val="19F8741E"/>
    <w:rsid w:val="19F91C20"/>
    <w:rsid w:val="19FB3E70"/>
    <w:rsid w:val="19FB6D59"/>
    <w:rsid w:val="1A0438FB"/>
    <w:rsid w:val="1A047E1B"/>
    <w:rsid w:val="1A051B3B"/>
    <w:rsid w:val="1A077661"/>
    <w:rsid w:val="1A0832FB"/>
    <w:rsid w:val="1A083400"/>
    <w:rsid w:val="1A09226A"/>
    <w:rsid w:val="1A0933D9"/>
    <w:rsid w:val="1A095237"/>
    <w:rsid w:val="1A0F3E3B"/>
    <w:rsid w:val="1A1104E0"/>
    <w:rsid w:val="1A1574F5"/>
    <w:rsid w:val="1A1612A0"/>
    <w:rsid w:val="1A165502"/>
    <w:rsid w:val="1A174E2B"/>
    <w:rsid w:val="1A1B310D"/>
    <w:rsid w:val="1A1D6E85"/>
    <w:rsid w:val="1A1E49AB"/>
    <w:rsid w:val="1A2577BE"/>
    <w:rsid w:val="1A2664F0"/>
    <w:rsid w:val="1A266BC7"/>
    <w:rsid w:val="1A275E1A"/>
    <w:rsid w:val="1A2A3350"/>
    <w:rsid w:val="1A2F1077"/>
    <w:rsid w:val="1A2F6BB8"/>
    <w:rsid w:val="1A331F9B"/>
    <w:rsid w:val="1A341A7A"/>
    <w:rsid w:val="1A366198"/>
    <w:rsid w:val="1A3A2D21"/>
    <w:rsid w:val="1A3B1496"/>
    <w:rsid w:val="1A420699"/>
    <w:rsid w:val="1A424B3D"/>
    <w:rsid w:val="1A432F8A"/>
    <w:rsid w:val="1A4374E6"/>
    <w:rsid w:val="1A441E72"/>
    <w:rsid w:val="1A4426FE"/>
    <w:rsid w:val="1A4729C7"/>
    <w:rsid w:val="1A475CB0"/>
    <w:rsid w:val="1A4C59BC"/>
    <w:rsid w:val="1A4E0334"/>
    <w:rsid w:val="1A4F7CB0"/>
    <w:rsid w:val="1A506A34"/>
    <w:rsid w:val="1A512287"/>
    <w:rsid w:val="1A5664B6"/>
    <w:rsid w:val="1A5B5BFF"/>
    <w:rsid w:val="1A607B05"/>
    <w:rsid w:val="1A617197"/>
    <w:rsid w:val="1A651406"/>
    <w:rsid w:val="1A6D025B"/>
    <w:rsid w:val="1A6D6708"/>
    <w:rsid w:val="1A6E76E0"/>
    <w:rsid w:val="1A73397C"/>
    <w:rsid w:val="1A78055F"/>
    <w:rsid w:val="1A78230D"/>
    <w:rsid w:val="1A7A7E33"/>
    <w:rsid w:val="1A8011C2"/>
    <w:rsid w:val="1A824F3A"/>
    <w:rsid w:val="1A846F04"/>
    <w:rsid w:val="1A864A2A"/>
    <w:rsid w:val="1A89451A"/>
    <w:rsid w:val="1A8962C8"/>
    <w:rsid w:val="1A8C7B66"/>
    <w:rsid w:val="1A8E78C8"/>
    <w:rsid w:val="1A91181B"/>
    <w:rsid w:val="1A920163"/>
    <w:rsid w:val="1A9865E9"/>
    <w:rsid w:val="1A991D03"/>
    <w:rsid w:val="1A9A6727"/>
    <w:rsid w:val="1AA03612"/>
    <w:rsid w:val="1AA1530A"/>
    <w:rsid w:val="1AA21CBB"/>
    <w:rsid w:val="1AA42578"/>
    <w:rsid w:val="1AA44EB0"/>
    <w:rsid w:val="1AA84175"/>
    <w:rsid w:val="1AA9670C"/>
    <w:rsid w:val="1AAA739F"/>
    <w:rsid w:val="1AAB4490"/>
    <w:rsid w:val="1AAD645B"/>
    <w:rsid w:val="1AB01AA7"/>
    <w:rsid w:val="1AB070AD"/>
    <w:rsid w:val="1ABB087D"/>
    <w:rsid w:val="1ABB5335"/>
    <w:rsid w:val="1ABF08C1"/>
    <w:rsid w:val="1AC11938"/>
    <w:rsid w:val="1AC15A62"/>
    <w:rsid w:val="1AC27A2C"/>
    <w:rsid w:val="1AC35C7E"/>
    <w:rsid w:val="1AC83294"/>
    <w:rsid w:val="1ACC074E"/>
    <w:rsid w:val="1AD003D6"/>
    <w:rsid w:val="1AD339E7"/>
    <w:rsid w:val="1AD36A86"/>
    <w:rsid w:val="1AD66B48"/>
    <w:rsid w:val="1AD845FA"/>
    <w:rsid w:val="1ADA6BDC"/>
    <w:rsid w:val="1ADC0670"/>
    <w:rsid w:val="1ADC0AEE"/>
    <w:rsid w:val="1ADD03C2"/>
    <w:rsid w:val="1ADD120E"/>
    <w:rsid w:val="1AE14356"/>
    <w:rsid w:val="1AE25BC8"/>
    <w:rsid w:val="1AE600F4"/>
    <w:rsid w:val="1AE92CAB"/>
    <w:rsid w:val="1AE9461B"/>
    <w:rsid w:val="1AEA5227"/>
    <w:rsid w:val="1AEA5B9B"/>
    <w:rsid w:val="1AEC0613"/>
    <w:rsid w:val="1AEE0821"/>
    <w:rsid w:val="1AF10B7F"/>
    <w:rsid w:val="1AF17964"/>
    <w:rsid w:val="1AFA0F74"/>
    <w:rsid w:val="1AFA553B"/>
    <w:rsid w:val="1AFB4802"/>
    <w:rsid w:val="1AFC4CEC"/>
    <w:rsid w:val="1AFC6A9A"/>
    <w:rsid w:val="1AFF3FA4"/>
    <w:rsid w:val="1B040045"/>
    <w:rsid w:val="1B06328C"/>
    <w:rsid w:val="1B0857CA"/>
    <w:rsid w:val="1B091FFE"/>
    <w:rsid w:val="1B0B3181"/>
    <w:rsid w:val="1B0C42DA"/>
    <w:rsid w:val="1B102545"/>
    <w:rsid w:val="1B1069E9"/>
    <w:rsid w:val="1B1262BE"/>
    <w:rsid w:val="1B142621"/>
    <w:rsid w:val="1B193AF0"/>
    <w:rsid w:val="1B1A7868"/>
    <w:rsid w:val="1B1B3DEC"/>
    <w:rsid w:val="1B1C72B0"/>
    <w:rsid w:val="1B1D4250"/>
    <w:rsid w:val="1B1D634E"/>
    <w:rsid w:val="1B21651D"/>
    <w:rsid w:val="1B23671D"/>
    <w:rsid w:val="1B2800EF"/>
    <w:rsid w:val="1B280C01"/>
    <w:rsid w:val="1B285AE1"/>
    <w:rsid w:val="1B2B22B8"/>
    <w:rsid w:val="1B2B55D1"/>
    <w:rsid w:val="1B2C3630"/>
    <w:rsid w:val="1B31432B"/>
    <w:rsid w:val="1B373F76"/>
    <w:rsid w:val="1B3A3153"/>
    <w:rsid w:val="1B3A7A41"/>
    <w:rsid w:val="1B3B1B1A"/>
    <w:rsid w:val="1B3C158C"/>
    <w:rsid w:val="1B3D1C0A"/>
    <w:rsid w:val="1B3F1135"/>
    <w:rsid w:val="1B3F1417"/>
    <w:rsid w:val="1B4641B9"/>
    <w:rsid w:val="1B4A1593"/>
    <w:rsid w:val="1B4A3CA9"/>
    <w:rsid w:val="1B4D23E2"/>
    <w:rsid w:val="1B4F5986"/>
    <w:rsid w:val="1B520DB0"/>
    <w:rsid w:val="1B577BEC"/>
    <w:rsid w:val="1B586C8A"/>
    <w:rsid w:val="1B5A7C65"/>
    <w:rsid w:val="1B5C39DD"/>
    <w:rsid w:val="1B617245"/>
    <w:rsid w:val="1B642891"/>
    <w:rsid w:val="1B697EA8"/>
    <w:rsid w:val="1B724934"/>
    <w:rsid w:val="1B72604B"/>
    <w:rsid w:val="1B750FCE"/>
    <w:rsid w:val="1B762547"/>
    <w:rsid w:val="1B776A68"/>
    <w:rsid w:val="1B7C5E2D"/>
    <w:rsid w:val="1B7E41D7"/>
    <w:rsid w:val="1B8371BB"/>
    <w:rsid w:val="1B85348B"/>
    <w:rsid w:val="1B891BCB"/>
    <w:rsid w:val="1B8B1502"/>
    <w:rsid w:val="1B8B45DD"/>
    <w:rsid w:val="1B8B53D1"/>
    <w:rsid w:val="1B8B6070"/>
    <w:rsid w:val="1B8F68AF"/>
    <w:rsid w:val="1B9019AB"/>
    <w:rsid w:val="1B93725A"/>
    <w:rsid w:val="1B9B0F04"/>
    <w:rsid w:val="1B9C027D"/>
    <w:rsid w:val="1B9F706E"/>
    <w:rsid w:val="1BA0299A"/>
    <w:rsid w:val="1BA11F58"/>
    <w:rsid w:val="1BA2692C"/>
    <w:rsid w:val="1BA3785E"/>
    <w:rsid w:val="1BA535D6"/>
    <w:rsid w:val="1BA809D0"/>
    <w:rsid w:val="1BAB226E"/>
    <w:rsid w:val="1BAF5177"/>
    <w:rsid w:val="1BB158AD"/>
    <w:rsid w:val="1BB2184F"/>
    <w:rsid w:val="1BB30646"/>
    <w:rsid w:val="1BB63319"/>
    <w:rsid w:val="1BB92BDD"/>
    <w:rsid w:val="1BB973FD"/>
    <w:rsid w:val="1BBE100B"/>
    <w:rsid w:val="1BBF7C5E"/>
    <w:rsid w:val="1BC40A88"/>
    <w:rsid w:val="1BC64867"/>
    <w:rsid w:val="1BC849BD"/>
    <w:rsid w:val="1BD01CD5"/>
    <w:rsid w:val="1BD143CB"/>
    <w:rsid w:val="1BD610B9"/>
    <w:rsid w:val="1BDA39E6"/>
    <w:rsid w:val="1BDB3120"/>
    <w:rsid w:val="1BDE3930"/>
    <w:rsid w:val="1BDF39B5"/>
    <w:rsid w:val="1BE87977"/>
    <w:rsid w:val="1BE966A9"/>
    <w:rsid w:val="1BEA5226"/>
    <w:rsid w:val="1BEB0238"/>
    <w:rsid w:val="1BF12377"/>
    <w:rsid w:val="1BF332BB"/>
    <w:rsid w:val="1BF34341"/>
    <w:rsid w:val="1BF4109B"/>
    <w:rsid w:val="1BF43F05"/>
    <w:rsid w:val="1BF9122C"/>
    <w:rsid w:val="1BFF0811"/>
    <w:rsid w:val="1C0227D6"/>
    <w:rsid w:val="1C062F8D"/>
    <w:rsid w:val="1C071B9A"/>
    <w:rsid w:val="1C072E6F"/>
    <w:rsid w:val="1C095F13"/>
    <w:rsid w:val="1C0C1291"/>
    <w:rsid w:val="1C0D4CD7"/>
    <w:rsid w:val="1C134FCD"/>
    <w:rsid w:val="1C1351C7"/>
    <w:rsid w:val="1C180E63"/>
    <w:rsid w:val="1C197B20"/>
    <w:rsid w:val="1C1C4F1A"/>
    <w:rsid w:val="1C207E44"/>
    <w:rsid w:val="1C2204C9"/>
    <w:rsid w:val="1C234F0C"/>
    <w:rsid w:val="1C24274C"/>
    <w:rsid w:val="1C247518"/>
    <w:rsid w:val="1C280E4B"/>
    <w:rsid w:val="1C2935AE"/>
    <w:rsid w:val="1C2B2A0F"/>
    <w:rsid w:val="1C2C33AF"/>
    <w:rsid w:val="1C2E5D6C"/>
    <w:rsid w:val="1C2F10F1"/>
    <w:rsid w:val="1C3420A9"/>
    <w:rsid w:val="1C3434C4"/>
    <w:rsid w:val="1C367A66"/>
    <w:rsid w:val="1C387FA6"/>
    <w:rsid w:val="1C3F526D"/>
    <w:rsid w:val="1C4049E1"/>
    <w:rsid w:val="1C422BD3"/>
    <w:rsid w:val="1C48140E"/>
    <w:rsid w:val="1C48561E"/>
    <w:rsid w:val="1C4F3541"/>
    <w:rsid w:val="1C4F709D"/>
    <w:rsid w:val="1C512E16"/>
    <w:rsid w:val="1C520816"/>
    <w:rsid w:val="1C544767"/>
    <w:rsid w:val="1C554121"/>
    <w:rsid w:val="1C5805BC"/>
    <w:rsid w:val="1C5A563D"/>
    <w:rsid w:val="1C5A616E"/>
    <w:rsid w:val="1C5D147A"/>
    <w:rsid w:val="1C5E31C3"/>
    <w:rsid w:val="1C611A44"/>
    <w:rsid w:val="1C64490D"/>
    <w:rsid w:val="1C6568C1"/>
    <w:rsid w:val="1C69015F"/>
    <w:rsid w:val="1C75524D"/>
    <w:rsid w:val="1C7558BE"/>
    <w:rsid w:val="1C766D20"/>
    <w:rsid w:val="1C771188"/>
    <w:rsid w:val="1C774562"/>
    <w:rsid w:val="1C784846"/>
    <w:rsid w:val="1C78688D"/>
    <w:rsid w:val="1C790574"/>
    <w:rsid w:val="1C795002"/>
    <w:rsid w:val="1C7D00AF"/>
    <w:rsid w:val="1C814648"/>
    <w:rsid w:val="1C817B9F"/>
    <w:rsid w:val="1C827473"/>
    <w:rsid w:val="1C84143D"/>
    <w:rsid w:val="1C8431EB"/>
    <w:rsid w:val="1C854EA9"/>
    <w:rsid w:val="1C856F63"/>
    <w:rsid w:val="1C890A8C"/>
    <w:rsid w:val="1C896991"/>
    <w:rsid w:val="1C8C6544"/>
    <w:rsid w:val="1C8D6788"/>
    <w:rsid w:val="1C8E27E9"/>
    <w:rsid w:val="1C8F10A8"/>
    <w:rsid w:val="1C8F27F1"/>
    <w:rsid w:val="1C931680"/>
    <w:rsid w:val="1C936FD1"/>
    <w:rsid w:val="1C963239"/>
    <w:rsid w:val="1C963FA7"/>
    <w:rsid w:val="1C99656B"/>
    <w:rsid w:val="1CA13D9D"/>
    <w:rsid w:val="1CA218C3"/>
    <w:rsid w:val="1CA22192"/>
    <w:rsid w:val="1CA23671"/>
    <w:rsid w:val="1CA52637"/>
    <w:rsid w:val="1CA67605"/>
    <w:rsid w:val="1CA93E55"/>
    <w:rsid w:val="1CA94A00"/>
    <w:rsid w:val="1CAB4C1C"/>
    <w:rsid w:val="1CAF395A"/>
    <w:rsid w:val="1CB00C23"/>
    <w:rsid w:val="1CB3587E"/>
    <w:rsid w:val="1CB5632E"/>
    <w:rsid w:val="1CB57848"/>
    <w:rsid w:val="1CB65AA2"/>
    <w:rsid w:val="1CB87339"/>
    <w:rsid w:val="1CBB2985"/>
    <w:rsid w:val="1CBC1A5B"/>
    <w:rsid w:val="1CBF4CBE"/>
    <w:rsid w:val="1CBF6C97"/>
    <w:rsid w:val="1CC04712"/>
    <w:rsid w:val="1CC6131B"/>
    <w:rsid w:val="1CC932F4"/>
    <w:rsid w:val="1CCB2BC8"/>
    <w:rsid w:val="1CCB4045"/>
    <w:rsid w:val="1CCB706C"/>
    <w:rsid w:val="1CCD4F4E"/>
    <w:rsid w:val="1CCE021E"/>
    <w:rsid w:val="1CCE26B8"/>
    <w:rsid w:val="1CD23809"/>
    <w:rsid w:val="1CD31A7D"/>
    <w:rsid w:val="1CD64CCD"/>
    <w:rsid w:val="1CD852E5"/>
    <w:rsid w:val="1CD86382"/>
    <w:rsid w:val="1CE30A11"/>
    <w:rsid w:val="1CE31A32"/>
    <w:rsid w:val="1CE7377A"/>
    <w:rsid w:val="1CEB6DC6"/>
    <w:rsid w:val="1CEC0D90"/>
    <w:rsid w:val="1CEE68B6"/>
    <w:rsid w:val="1CEF7F37"/>
    <w:rsid w:val="1CF0262F"/>
    <w:rsid w:val="1CF13015"/>
    <w:rsid w:val="1CF865A8"/>
    <w:rsid w:val="1CFA16FF"/>
    <w:rsid w:val="1CFC7225"/>
    <w:rsid w:val="1CFD229F"/>
    <w:rsid w:val="1CFF6D16"/>
    <w:rsid w:val="1D000EB9"/>
    <w:rsid w:val="1D022362"/>
    <w:rsid w:val="1D061E52"/>
    <w:rsid w:val="1D085BCA"/>
    <w:rsid w:val="1D0E51AB"/>
    <w:rsid w:val="1D0F39CD"/>
    <w:rsid w:val="1D102CD1"/>
    <w:rsid w:val="1D110334"/>
    <w:rsid w:val="1D111D0F"/>
    <w:rsid w:val="1D19047B"/>
    <w:rsid w:val="1D1964B6"/>
    <w:rsid w:val="1D1A7A3A"/>
    <w:rsid w:val="1D1D776D"/>
    <w:rsid w:val="1D214638"/>
    <w:rsid w:val="1D232A04"/>
    <w:rsid w:val="1D2332D3"/>
    <w:rsid w:val="1D2E13A9"/>
    <w:rsid w:val="1D33076D"/>
    <w:rsid w:val="1D33169F"/>
    <w:rsid w:val="1D3556E8"/>
    <w:rsid w:val="1D3C419B"/>
    <w:rsid w:val="1D3D1E99"/>
    <w:rsid w:val="1D3F7112"/>
    <w:rsid w:val="1D44297A"/>
    <w:rsid w:val="1D45753C"/>
    <w:rsid w:val="1D48246B"/>
    <w:rsid w:val="1D4961E3"/>
    <w:rsid w:val="1D51213E"/>
    <w:rsid w:val="1D521005"/>
    <w:rsid w:val="1D531B64"/>
    <w:rsid w:val="1D546098"/>
    <w:rsid w:val="1D547061"/>
    <w:rsid w:val="1D563579"/>
    <w:rsid w:val="1D5744D2"/>
    <w:rsid w:val="1D581F12"/>
    <w:rsid w:val="1D5822E5"/>
    <w:rsid w:val="1D5A65E9"/>
    <w:rsid w:val="1D5C0893"/>
    <w:rsid w:val="1D5C1A72"/>
    <w:rsid w:val="1D5D716E"/>
    <w:rsid w:val="1D61177E"/>
    <w:rsid w:val="1D623FD6"/>
    <w:rsid w:val="1D632E00"/>
    <w:rsid w:val="1D634930"/>
    <w:rsid w:val="1D6A0633"/>
    <w:rsid w:val="1D6B7F07"/>
    <w:rsid w:val="1D7019C1"/>
    <w:rsid w:val="1D70376F"/>
    <w:rsid w:val="1D70551D"/>
    <w:rsid w:val="1D7276BB"/>
    <w:rsid w:val="1D756FD8"/>
    <w:rsid w:val="1D796AC8"/>
    <w:rsid w:val="1D7E40DE"/>
    <w:rsid w:val="1D7F39B2"/>
    <w:rsid w:val="1D80285F"/>
    <w:rsid w:val="1D8170D4"/>
    <w:rsid w:val="1D840FC9"/>
    <w:rsid w:val="1D850ADE"/>
    <w:rsid w:val="1D8611E5"/>
    <w:rsid w:val="1D865839"/>
    <w:rsid w:val="1D8667B7"/>
    <w:rsid w:val="1D8B67FB"/>
    <w:rsid w:val="1D8B7415"/>
    <w:rsid w:val="1D8D39D3"/>
    <w:rsid w:val="1D8D60CF"/>
    <w:rsid w:val="1D903E12"/>
    <w:rsid w:val="1D9236E6"/>
    <w:rsid w:val="1D930211"/>
    <w:rsid w:val="1D95178A"/>
    <w:rsid w:val="1DA13B79"/>
    <w:rsid w:val="1DA87555"/>
    <w:rsid w:val="1DAA504A"/>
    <w:rsid w:val="1DAC0C4B"/>
    <w:rsid w:val="1DB46E22"/>
    <w:rsid w:val="1DB47B00"/>
    <w:rsid w:val="1DB573D4"/>
    <w:rsid w:val="1DB61742"/>
    <w:rsid w:val="1DBB7F27"/>
    <w:rsid w:val="1DBD6AE3"/>
    <w:rsid w:val="1DBD6EEA"/>
    <w:rsid w:val="1DC16E33"/>
    <w:rsid w:val="1DC51D0D"/>
    <w:rsid w:val="1DC553F5"/>
    <w:rsid w:val="1DC83800"/>
    <w:rsid w:val="1DCA2E80"/>
    <w:rsid w:val="1DCA3975"/>
    <w:rsid w:val="1DCD6828"/>
    <w:rsid w:val="1DD06D78"/>
    <w:rsid w:val="1DD15E49"/>
    <w:rsid w:val="1DD7559C"/>
    <w:rsid w:val="1DD75C8E"/>
    <w:rsid w:val="1DD97C59"/>
    <w:rsid w:val="1DE008F5"/>
    <w:rsid w:val="1DE05B7B"/>
    <w:rsid w:val="1DE5098C"/>
    <w:rsid w:val="1DE651E8"/>
    <w:rsid w:val="1DE657E0"/>
    <w:rsid w:val="1DE67354"/>
    <w:rsid w:val="1DEA52D0"/>
    <w:rsid w:val="1DEC1347"/>
    <w:rsid w:val="1DEE3B1B"/>
    <w:rsid w:val="1DEF370A"/>
    <w:rsid w:val="1DF138C6"/>
    <w:rsid w:val="1DF30BEF"/>
    <w:rsid w:val="1DF31454"/>
    <w:rsid w:val="1DF61EC7"/>
    <w:rsid w:val="1DFC3255"/>
    <w:rsid w:val="1DFD50C3"/>
    <w:rsid w:val="1DFE521F"/>
    <w:rsid w:val="1E002D45"/>
    <w:rsid w:val="1E01086B"/>
    <w:rsid w:val="1E024ED4"/>
    <w:rsid w:val="1E032835"/>
    <w:rsid w:val="1E0335B9"/>
    <w:rsid w:val="1E0740D4"/>
    <w:rsid w:val="1E0839A8"/>
    <w:rsid w:val="1E0A7720"/>
    <w:rsid w:val="1E107F6E"/>
    <w:rsid w:val="1E14234D"/>
    <w:rsid w:val="1E14600D"/>
    <w:rsid w:val="1E1668F5"/>
    <w:rsid w:val="1E17083B"/>
    <w:rsid w:val="1E1719F1"/>
    <w:rsid w:val="1E174C75"/>
    <w:rsid w:val="1E19154C"/>
    <w:rsid w:val="1E195BB5"/>
    <w:rsid w:val="1E200403"/>
    <w:rsid w:val="1E200BF1"/>
    <w:rsid w:val="1E201112"/>
    <w:rsid w:val="1E207B73"/>
    <w:rsid w:val="1E2244BE"/>
    <w:rsid w:val="1E227B2A"/>
    <w:rsid w:val="1E2309EA"/>
    <w:rsid w:val="1E266EA0"/>
    <w:rsid w:val="1E281593"/>
    <w:rsid w:val="1E2C58E8"/>
    <w:rsid w:val="1E312D17"/>
    <w:rsid w:val="1E366767"/>
    <w:rsid w:val="1E3C465E"/>
    <w:rsid w:val="1E3C702F"/>
    <w:rsid w:val="1E3D6282"/>
    <w:rsid w:val="1E3E4A94"/>
    <w:rsid w:val="1E403142"/>
    <w:rsid w:val="1E4470D6"/>
    <w:rsid w:val="1E45207C"/>
    <w:rsid w:val="1E476532"/>
    <w:rsid w:val="1E4D682F"/>
    <w:rsid w:val="1E4E3AB1"/>
    <w:rsid w:val="1E4F509A"/>
    <w:rsid w:val="1E5135A1"/>
    <w:rsid w:val="1E555448"/>
    <w:rsid w:val="1E560BB7"/>
    <w:rsid w:val="1E562965"/>
    <w:rsid w:val="1E580F85"/>
    <w:rsid w:val="1E58492F"/>
    <w:rsid w:val="1E5B107D"/>
    <w:rsid w:val="1E5C100C"/>
    <w:rsid w:val="1E5D0198"/>
    <w:rsid w:val="1E5F5CBE"/>
    <w:rsid w:val="1E62130A"/>
    <w:rsid w:val="1E6C3F37"/>
    <w:rsid w:val="1E733517"/>
    <w:rsid w:val="1E761259"/>
    <w:rsid w:val="1E7948A6"/>
    <w:rsid w:val="1E8052F7"/>
    <w:rsid w:val="1E806520"/>
    <w:rsid w:val="1E831280"/>
    <w:rsid w:val="1E870D71"/>
    <w:rsid w:val="1E8C45D9"/>
    <w:rsid w:val="1E8C6387"/>
    <w:rsid w:val="1E912BAE"/>
    <w:rsid w:val="1E957931"/>
    <w:rsid w:val="1E9D0974"/>
    <w:rsid w:val="1E9F4F5F"/>
    <w:rsid w:val="1EA453F3"/>
    <w:rsid w:val="1EA9481E"/>
    <w:rsid w:val="1EAA0146"/>
    <w:rsid w:val="1EB31B66"/>
    <w:rsid w:val="1EB83620"/>
    <w:rsid w:val="1EB8776E"/>
    <w:rsid w:val="1EBB0A1A"/>
    <w:rsid w:val="1EC176A7"/>
    <w:rsid w:val="1EC33DF6"/>
    <w:rsid w:val="1EC57AEB"/>
    <w:rsid w:val="1ECF4B8A"/>
    <w:rsid w:val="1ED3045A"/>
    <w:rsid w:val="1ED37C20"/>
    <w:rsid w:val="1ED460EB"/>
    <w:rsid w:val="1ED57D2E"/>
    <w:rsid w:val="1ED63AA6"/>
    <w:rsid w:val="1ED80E47"/>
    <w:rsid w:val="1ED8781E"/>
    <w:rsid w:val="1EE00481"/>
    <w:rsid w:val="1EE01EA0"/>
    <w:rsid w:val="1EE12B77"/>
    <w:rsid w:val="1EE15BD2"/>
    <w:rsid w:val="1EE44415"/>
    <w:rsid w:val="1EE47F71"/>
    <w:rsid w:val="1EE76D90"/>
    <w:rsid w:val="1EE95587"/>
    <w:rsid w:val="1EEB273B"/>
    <w:rsid w:val="1EEC0F4D"/>
    <w:rsid w:val="1EF108E0"/>
    <w:rsid w:val="1EF26B32"/>
    <w:rsid w:val="1EF6594F"/>
    <w:rsid w:val="1EF74148"/>
    <w:rsid w:val="1EF83A1C"/>
    <w:rsid w:val="1EFA3A95"/>
    <w:rsid w:val="1EFB2B33"/>
    <w:rsid w:val="1EFC2612"/>
    <w:rsid w:val="1EFD265C"/>
    <w:rsid w:val="1EFD2727"/>
    <w:rsid w:val="1F010B23"/>
    <w:rsid w:val="1F010FC2"/>
    <w:rsid w:val="1F016CDD"/>
    <w:rsid w:val="1F0364A2"/>
    <w:rsid w:val="1F047610"/>
    <w:rsid w:val="1F075687"/>
    <w:rsid w:val="1F086AFE"/>
    <w:rsid w:val="1F095831"/>
    <w:rsid w:val="1F0965DD"/>
    <w:rsid w:val="1F0E1492"/>
    <w:rsid w:val="1F0E2426"/>
    <w:rsid w:val="1F105BB3"/>
    <w:rsid w:val="1F136AA8"/>
    <w:rsid w:val="1F152820"/>
    <w:rsid w:val="1F1875CC"/>
    <w:rsid w:val="1F1A1BE5"/>
    <w:rsid w:val="1F1A3993"/>
    <w:rsid w:val="1F1C6A8A"/>
    <w:rsid w:val="1F1F3C4D"/>
    <w:rsid w:val="1F23626A"/>
    <w:rsid w:val="1F2472DD"/>
    <w:rsid w:val="1F26058A"/>
    <w:rsid w:val="1F260856"/>
    <w:rsid w:val="1F274302"/>
    <w:rsid w:val="1F282554"/>
    <w:rsid w:val="1F2C1435"/>
    <w:rsid w:val="1F2C2D31"/>
    <w:rsid w:val="1F3709E9"/>
    <w:rsid w:val="1F37200A"/>
    <w:rsid w:val="1F3E1D77"/>
    <w:rsid w:val="1F3E1F2E"/>
    <w:rsid w:val="1F4469F8"/>
    <w:rsid w:val="1F4629DA"/>
    <w:rsid w:val="1F4860F9"/>
    <w:rsid w:val="1F492760"/>
    <w:rsid w:val="1F4B0664"/>
    <w:rsid w:val="1F4B7FF0"/>
    <w:rsid w:val="1F4D1FBA"/>
    <w:rsid w:val="1F4D2066"/>
    <w:rsid w:val="1F4D76B7"/>
    <w:rsid w:val="1F4E7AE0"/>
    <w:rsid w:val="1F4F6990"/>
    <w:rsid w:val="1F50467D"/>
    <w:rsid w:val="1F525822"/>
    <w:rsid w:val="1F572E39"/>
    <w:rsid w:val="1F59095F"/>
    <w:rsid w:val="1F59624F"/>
    <w:rsid w:val="1F5D2F2C"/>
    <w:rsid w:val="1F5D41BA"/>
    <w:rsid w:val="1F5E5F75"/>
    <w:rsid w:val="1F60423E"/>
    <w:rsid w:val="1F6115C2"/>
    <w:rsid w:val="1F645556"/>
    <w:rsid w:val="1F666BD8"/>
    <w:rsid w:val="1F6E219F"/>
    <w:rsid w:val="1F6F66B0"/>
    <w:rsid w:val="1F6F6B0B"/>
    <w:rsid w:val="1F7532BF"/>
    <w:rsid w:val="1F775289"/>
    <w:rsid w:val="1F784C8E"/>
    <w:rsid w:val="1F7959F1"/>
    <w:rsid w:val="1F7A08D5"/>
    <w:rsid w:val="1F7C0BD3"/>
    <w:rsid w:val="1F7D11F8"/>
    <w:rsid w:val="1F7D3F22"/>
    <w:rsid w:val="1F7E769F"/>
    <w:rsid w:val="1F800C18"/>
    <w:rsid w:val="1F833C2E"/>
    <w:rsid w:val="1F8359DC"/>
    <w:rsid w:val="1F86727A"/>
    <w:rsid w:val="1F884882"/>
    <w:rsid w:val="1F8B2894"/>
    <w:rsid w:val="1F91749D"/>
    <w:rsid w:val="1F933745"/>
    <w:rsid w:val="1F971487"/>
    <w:rsid w:val="1F973235"/>
    <w:rsid w:val="1F973891"/>
    <w:rsid w:val="1F984E09"/>
    <w:rsid w:val="1F9B4B7A"/>
    <w:rsid w:val="1F9C6A9E"/>
    <w:rsid w:val="1F9F033C"/>
    <w:rsid w:val="1FA3607E"/>
    <w:rsid w:val="1FA97878"/>
    <w:rsid w:val="1FAA6C81"/>
    <w:rsid w:val="1FAA740D"/>
    <w:rsid w:val="1FAF67D1"/>
    <w:rsid w:val="1FB060A5"/>
    <w:rsid w:val="1FB21E1D"/>
    <w:rsid w:val="1FB43DE7"/>
    <w:rsid w:val="1FB522CF"/>
    <w:rsid w:val="1FB71E9F"/>
    <w:rsid w:val="1FB738D7"/>
    <w:rsid w:val="1FBC7140"/>
    <w:rsid w:val="1FBE07C2"/>
    <w:rsid w:val="1FC009DE"/>
    <w:rsid w:val="1FC01B8F"/>
    <w:rsid w:val="1FC136F1"/>
    <w:rsid w:val="1FC22F43"/>
    <w:rsid w:val="1FC3227C"/>
    <w:rsid w:val="1FC550BE"/>
    <w:rsid w:val="1FC55DBE"/>
    <w:rsid w:val="1FD46237"/>
    <w:rsid w:val="1FDA015E"/>
    <w:rsid w:val="1FDA70B8"/>
    <w:rsid w:val="1FDB32ED"/>
    <w:rsid w:val="1FDC333E"/>
    <w:rsid w:val="1FDE2C12"/>
    <w:rsid w:val="1FE3647B"/>
    <w:rsid w:val="1FE8677C"/>
    <w:rsid w:val="1FE97E8D"/>
    <w:rsid w:val="1FEC7326"/>
    <w:rsid w:val="1FF07D04"/>
    <w:rsid w:val="1FF24910"/>
    <w:rsid w:val="1FF42C72"/>
    <w:rsid w:val="1FF53625"/>
    <w:rsid w:val="1FF836E7"/>
    <w:rsid w:val="2000527E"/>
    <w:rsid w:val="200148E1"/>
    <w:rsid w:val="20054643"/>
    <w:rsid w:val="200603BB"/>
    <w:rsid w:val="20082083"/>
    <w:rsid w:val="20087C8F"/>
    <w:rsid w:val="200A3A07"/>
    <w:rsid w:val="200B6F8C"/>
    <w:rsid w:val="200D2936"/>
    <w:rsid w:val="200F7795"/>
    <w:rsid w:val="201725C8"/>
    <w:rsid w:val="20181590"/>
    <w:rsid w:val="201C3240"/>
    <w:rsid w:val="201D2493"/>
    <w:rsid w:val="201F6892"/>
    <w:rsid w:val="20232D1B"/>
    <w:rsid w:val="202645B9"/>
    <w:rsid w:val="2027280B"/>
    <w:rsid w:val="202A22FB"/>
    <w:rsid w:val="2031368A"/>
    <w:rsid w:val="20317937"/>
    <w:rsid w:val="20365F39"/>
    <w:rsid w:val="203B0065"/>
    <w:rsid w:val="203D0DFD"/>
    <w:rsid w:val="203E1903"/>
    <w:rsid w:val="203F473B"/>
    <w:rsid w:val="204607B7"/>
    <w:rsid w:val="204673DA"/>
    <w:rsid w:val="20490CC8"/>
    <w:rsid w:val="20491709"/>
    <w:rsid w:val="204A64FA"/>
    <w:rsid w:val="204A7D65"/>
    <w:rsid w:val="204B6FF0"/>
    <w:rsid w:val="204D5FEA"/>
    <w:rsid w:val="20517888"/>
    <w:rsid w:val="205253AE"/>
    <w:rsid w:val="20525478"/>
    <w:rsid w:val="2052555B"/>
    <w:rsid w:val="20533D65"/>
    <w:rsid w:val="20535F35"/>
    <w:rsid w:val="205630F0"/>
    <w:rsid w:val="20564ADE"/>
    <w:rsid w:val="20564C93"/>
    <w:rsid w:val="2058313A"/>
    <w:rsid w:val="20586A23"/>
    <w:rsid w:val="205B24B5"/>
    <w:rsid w:val="205B27D3"/>
    <w:rsid w:val="205C7FDB"/>
    <w:rsid w:val="205D447F"/>
    <w:rsid w:val="205D59B9"/>
    <w:rsid w:val="20607ACB"/>
    <w:rsid w:val="2061790D"/>
    <w:rsid w:val="206575E0"/>
    <w:rsid w:val="206747FF"/>
    <w:rsid w:val="206776EC"/>
    <w:rsid w:val="20685E61"/>
    <w:rsid w:val="20697989"/>
    <w:rsid w:val="206E043A"/>
    <w:rsid w:val="207045CB"/>
    <w:rsid w:val="2073120C"/>
    <w:rsid w:val="20735512"/>
    <w:rsid w:val="20745325"/>
    <w:rsid w:val="2077298B"/>
    <w:rsid w:val="207848CC"/>
    <w:rsid w:val="207F1BCE"/>
    <w:rsid w:val="20805EFE"/>
    <w:rsid w:val="20872F31"/>
    <w:rsid w:val="20875058"/>
    <w:rsid w:val="208A0FEC"/>
    <w:rsid w:val="208C08C0"/>
    <w:rsid w:val="208C6B12"/>
    <w:rsid w:val="208D63E6"/>
    <w:rsid w:val="20903577"/>
    <w:rsid w:val="20916CA5"/>
    <w:rsid w:val="209249D8"/>
    <w:rsid w:val="20951012"/>
    <w:rsid w:val="20983709"/>
    <w:rsid w:val="209F07ED"/>
    <w:rsid w:val="20AA343C"/>
    <w:rsid w:val="20AB2EC0"/>
    <w:rsid w:val="20AC7E9E"/>
    <w:rsid w:val="20AF0CAD"/>
    <w:rsid w:val="20AF12BB"/>
    <w:rsid w:val="20B001A3"/>
    <w:rsid w:val="20B02B54"/>
    <w:rsid w:val="20B34AA7"/>
    <w:rsid w:val="20B35E4D"/>
    <w:rsid w:val="20B61DE1"/>
    <w:rsid w:val="20B63B8F"/>
    <w:rsid w:val="20B86990"/>
    <w:rsid w:val="20BC5287"/>
    <w:rsid w:val="20BD4C56"/>
    <w:rsid w:val="20BE2980"/>
    <w:rsid w:val="20BE47F2"/>
    <w:rsid w:val="20C41A43"/>
    <w:rsid w:val="20C84600"/>
    <w:rsid w:val="20C95670"/>
    <w:rsid w:val="20CC33B3"/>
    <w:rsid w:val="20CD7E55"/>
    <w:rsid w:val="20D33E18"/>
    <w:rsid w:val="20DA0A53"/>
    <w:rsid w:val="20DA182C"/>
    <w:rsid w:val="20DE51BB"/>
    <w:rsid w:val="20E64997"/>
    <w:rsid w:val="20E73FDC"/>
    <w:rsid w:val="20E83E27"/>
    <w:rsid w:val="20E90B8D"/>
    <w:rsid w:val="20E92483"/>
    <w:rsid w:val="20EA3839"/>
    <w:rsid w:val="20EA55E7"/>
    <w:rsid w:val="20EF0E4F"/>
    <w:rsid w:val="20F52909"/>
    <w:rsid w:val="20F87D04"/>
    <w:rsid w:val="20FA3A7C"/>
    <w:rsid w:val="20FB72B3"/>
    <w:rsid w:val="20FD208A"/>
    <w:rsid w:val="21000B1D"/>
    <w:rsid w:val="2100305C"/>
    <w:rsid w:val="21004E0A"/>
    <w:rsid w:val="2104756C"/>
    <w:rsid w:val="21075FBA"/>
    <w:rsid w:val="210B3EDB"/>
    <w:rsid w:val="210C7C53"/>
    <w:rsid w:val="21122A7A"/>
    <w:rsid w:val="21141F85"/>
    <w:rsid w:val="2114792A"/>
    <w:rsid w:val="2116094D"/>
    <w:rsid w:val="21182154"/>
    <w:rsid w:val="211B179B"/>
    <w:rsid w:val="211D3C0E"/>
    <w:rsid w:val="212154AC"/>
    <w:rsid w:val="212339B6"/>
    <w:rsid w:val="212773DE"/>
    <w:rsid w:val="212E7BC9"/>
    <w:rsid w:val="21336BDA"/>
    <w:rsid w:val="21360DC6"/>
    <w:rsid w:val="21380A48"/>
    <w:rsid w:val="213845A4"/>
    <w:rsid w:val="213A5E71"/>
    <w:rsid w:val="213A656E"/>
    <w:rsid w:val="213B0D78"/>
    <w:rsid w:val="214176A2"/>
    <w:rsid w:val="2144119B"/>
    <w:rsid w:val="21466CC1"/>
    <w:rsid w:val="214D40AF"/>
    <w:rsid w:val="214D44F3"/>
    <w:rsid w:val="21535882"/>
    <w:rsid w:val="215366BB"/>
    <w:rsid w:val="215D400B"/>
    <w:rsid w:val="215D592A"/>
    <w:rsid w:val="215E465C"/>
    <w:rsid w:val="21624D20"/>
    <w:rsid w:val="21651053"/>
    <w:rsid w:val="21661111"/>
    <w:rsid w:val="216655B5"/>
    <w:rsid w:val="21670FC9"/>
    <w:rsid w:val="2167282F"/>
    <w:rsid w:val="21674E89"/>
    <w:rsid w:val="21680B92"/>
    <w:rsid w:val="216D3574"/>
    <w:rsid w:val="2177331E"/>
    <w:rsid w:val="21775F57"/>
    <w:rsid w:val="217816DE"/>
    <w:rsid w:val="217B1617"/>
    <w:rsid w:val="217C6B87"/>
    <w:rsid w:val="217D645B"/>
    <w:rsid w:val="218477E9"/>
    <w:rsid w:val="218850C1"/>
    <w:rsid w:val="2188775C"/>
    <w:rsid w:val="218D1EEF"/>
    <w:rsid w:val="218E68BA"/>
    <w:rsid w:val="219043E0"/>
    <w:rsid w:val="21933ED0"/>
    <w:rsid w:val="21946B2A"/>
    <w:rsid w:val="2198560E"/>
    <w:rsid w:val="219A6B87"/>
    <w:rsid w:val="21A04AB9"/>
    <w:rsid w:val="21A1039B"/>
    <w:rsid w:val="21A13955"/>
    <w:rsid w:val="21A41C3A"/>
    <w:rsid w:val="21A44763"/>
    <w:rsid w:val="21A612CF"/>
    <w:rsid w:val="21A7275E"/>
    <w:rsid w:val="21A7594A"/>
    <w:rsid w:val="21A93B1B"/>
    <w:rsid w:val="21B04A82"/>
    <w:rsid w:val="21B300CF"/>
    <w:rsid w:val="21B43741"/>
    <w:rsid w:val="21B43C61"/>
    <w:rsid w:val="21B54703"/>
    <w:rsid w:val="21B634AE"/>
    <w:rsid w:val="21B955C6"/>
    <w:rsid w:val="21BF6A73"/>
    <w:rsid w:val="21C1459A"/>
    <w:rsid w:val="21C35F1E"/>
    <w:rsid w:val="21CC5420"/>
    <w:rsid w:val="21D00C81"/>
    <w:rsid w:val="21D17E6F"/>
    <w:rsid w:val="21D30FE1"/>
    <w:rsid w:val="21D334CB"/>
    <w:rsid w:val="21D369EC"/>
    <w:rsid w:val="21D97A24"/>
    <w:rsid w:val="21DB48C2"/>
    <w:rsid w:val="21DE7835"/>
    <w:rsid w:val="21E10E5D"/>
    <w:rsid w:val="21E11534"/>
    <w:rsid w:val="21E309B4"/>
    <w:rsid w:val="21E40288"/>
    <w:rsid w:val="21EB06F8"/>
    <w:rsid w:val="21EB1616"/>
    <w:rsid w:val="21ED5BD6"/>
    <w:rsid w:val="21F11323"/>
    <w:rsid w:val="21F77FBB"/>
    <w:rsid w:val="21FD1518"/>
    <w:rsid w:val="2208599B"/>
    <w:rsid w:val="220B3A67"/>
    <w:rsid w:val="220D7D69"/>
    <w:rsid w:val="220F79FB"/>
    <w:rsid w:val="22105521"/>
    <w:rsid w:val="22140AA7"/>
    <w:rsid w:val="22177AF6"/>
    <w:rsid w:val="221B2DD2"/>
    <w:rsid w:val="221C5C74"/>
    <w:rsid w:val="22282CF3"/>
    <w:rsid w:val="222A65E3"/>
    <w:rsid w:val="222D3E0E"/>
    <w:rsid w:val="222E307C"/>
    <w:rsid w:val="22317971"/>
    <w:rsid w:val="22342FBD"/>
    <w:rsid w:val="22370983"/>
    <w:rsid w:val="2237586F"/>
    <w:rsid w:val="223775C7"/>
    <w:rsid w:val="223905D4"/>
    <w:rsid w:val="223F6BD2"/>
    <w:rsid w:val="22412F79"/>
    <w:rsid w:val="22457255"/>
    <w:rsid w:val="22460F43"/>
    <w:rsid w:val="22462A8A"/>
    <w:rsid w:val="224913C5"/>
    <w:rsid w:val="224A523E"/>
    <w:rsid w:val="224F6049"/>
    <w:rsid w:val="2250591D"/>
    <w:rsid w:val="22505D53"/>
    <w:rsid w:val="225464D8"/>
    <w:rsid w:val="22595DCC"/>
    <w:rsid w:val="225D0766"/>
    <w:rsid w:val="225E003A"/>
    <w:rsid w:val="226118D9"/>
    <w:rsid w:val="2262788E"/>
    <w:rsid w:val="22631AF5"/>
    <w:rsid w:val="22680EB9"/>
    <w:rsid w:val="2268334A"/>
    <w:rsid w:val="226E1518"/>
    <w:rsid w:val="226F0499"/>
    <w:rsid w:val="22707B89"/>
    <w:rsid w:val="22712221"/>
    <w:rsid w:val="227368B6"/>
    <w:rsid w:val="227A7C59"/>
    <w:rsid w:val="227C4964"/>
    <w:rsid w:val="227F528A"/>
    <w:rsid w:val="228133C5"/>
    <w:rsid w:val="22857CBD"/>
    <w:rsid w:val="228947C7"/>
    <w:rsid w:val="228965D3"/>
    <w:rsid w:val="22896782"/>
    <w:rsid w:val="228D0675"/>
    <w:rsid w:val="228E797C"/>
    <w:rsid w:val="22903F40"/>
    <w:rsid w:val="229323DA"/>
    <w:rsid w:val="22937719"/>
    <w:rsid w:val="22943A5C"/>
    <w:rsid w:val="22963C78"/>
    <w:rsid w:val="229A0C6D"/>
    <w:rsid w:val="229A2A9C"/>
    <w:rsid w:val="229D08A0"/>
    <w:rsid w:val="229F6E90"/>
    <w:rsid w:val="22A0459C"/>
    <w:rsid w:val="22A16179"/>
    <w:rsid w:val="22A5210D"/>
    <w:rsid w:val="22A67552"/>
    <w:rsid w:val="22A92FC0"/>
    <w:rsid w:val="22AA14D2"/>
    <w:rsid w:val="22AA3280"/>
    <w:rsid w:val="22AA7723"/>
    <w:rsid w:val="22AB7CC8"/>
    <w:rsid w:val="22AF2E1B"/>
    <w:rsid w:val="22B1460E"/>
    <w:rsid w:val="22B746AB"/>
    <w:rsid w:val="22B8599C"/>
    <w:rsid w:val="22BA2C18"/>
    <w:rsid w:val="22BA5BB9"/>
    <w:rsid w:val="22BE261B"/>
    <w:rsid w:val="22C07DB6"/>
    <w:rsid w:val="22C14DBC"/>
    <w:rsid w:val="22C24A6D"/>
    <w:rsid w:val="22C34341"/>
    <w:rsid w:val="22C5455D"/>
    <w:rsid w:val="22CA6707"/>
    <w:rsid w:val="22CC31F6"/>
    <w:rsid w:val="22CC63EC"/>
    <w:rsid w:val="22CF2CE6"/>
    <w:rsid w:val="22D11CAC"/>
    <w:rsid w:val="22D24A4D"/>
    <w:rsid w:val="22D327D6"/>
    <w:rsid w:val="22D4654E"/>
    <w:rsid w:val="22D62EEB"/>
    <w:rsid w:val="22E01E8A"/>
    <w:rsid w:val="22E66C39"/>
    <w:rsid w:val="22E76282"/>
    <w:rsid w:val="22EC03E0"/>
    <w:rsid w:val="22ED7CD2"/>
    <w:rsid w:val="22EE1C3B"/>
    <w:rsid w:val="22EE2ABE"/>
    <w:rsid w:val="22EF3388"/>
    <w:rsid w:val="22F34C27"/>
    <w:rsid w:val="22F42369"/>
    <w:rsid w:val="22F51E39"/>
    <w:rsid w:val="22F66B1C"/>
    <w:rsid w:val="22FB7724"/>
    <w:rsid w:val="22FD3CF7"/>
    <w:rsid w:val="23040ECE"/>
    <w:rsid w:val="230474F0"/>
    <w:rsid w:val="2309269C"/>
    <w:rsid w:val="230961F8"/>
    <w:rsid w:val="230E7CB2"/>
    <w:rsid w:val="231352C9"/>
    <w:rsid w:val="23160915"/>
    <w:rsid w:val="23166AD4"/>
    <w:rsid w:val="231A1AAB"/>
    <w:rsid w:val="231C5EB2"/>
    <w:rsid w:val="231F5A1C"/>
    <w:rsid w:val="232149CB"/>
    <w:rsid w:val="23225220"/>
    <w:rsid w:val="232842CB"/>
    <w:rsid w:val="232C638A"/>
    <w:rsid w:val="232E7F55"/>
    <w:rsid w:val="23345EDE"/>
    <w:rsid w:val="23353491"/>
    <w:rsid w:val="23396879"/>
    <w:rsid w:val="233A4603"/>
    <w:rsid w:val="233B57DA"/>
    <w:rsid w:val="233C3329"/>
    <w:rsid w:val="233D23C7"/>
    <w:rsid w:val="23404D46"/>
    <w:rsid w:val="23435894"/>
    <w:rsid w:val="23466363"/>
    <w:rsid w:val="23490CEA"/>
    <w:rsid w:val="234B2B70"/>
    <w:rsid w:val="234B49EE"/>
    <w:rsid w:val="234B6811"/>
    <w:rsid w:val="234F08C0"/>
    <w:rsid w:val="23502079"/>
    <w:rsid w:val="23514553"/>
    <w:rsid w:val="23524CA2"/>
    <w:rsid w:val="23531EBA"/>
    <w:rsid w:val="235356C5"/>
    <w:rsid w:val="235654CA"/>
    <w:rsid w:val="235D6544"/>
    <w:rsid w:val="23614286"/>
    <w:rsid w:val="23671B57"/>
    <w:rsid w:val="2368163D"/>
    <w:rsid w:val="236B7E44"/>
    <w:rsid w:val="237044C9"/>
    <w:rsid w:val="237327CB"/>
    <w:rsid w:val="23765646"/>
    <w:rsid w:val="23782997"/>
    <w:rsid w:val="2378512C"/>
    <w:rsid w:val="237B1337"/>
    <w:rsid w:val="237C10C0"/>
    <w:rsid w:val="237F64BA"/>
    <w:rsid w:val="238362B9"/>
    <w:rsid w:val="23887A65"/>
    <w:rsid w:val="23897339"/>
    <w:rsid w:val="238B4600"/>
    <w:rsid w:val="238F68D9"/>
    <w:rsid w:val="23902475"/>
    <w:rsid w:val="23955CDE"/>
    <w:rsid w:val="23983A20"/>
    <w:rsid w:val="239B0E1A"/>
    <w:rsid w:val="239B4040"/>
    <w:rsid w:val="239C706C"/>
    <w:rsid w:val="239D182C"/>
    <w:rsid w:val="239D4B92"/>
    <w:rsid w:val="239D514F"/>
    <w:rsid w:val="239F377F"/>
    <w:rsid w:val="239F4DAE"/>
    <w:rsid w:val="23A23246"/>
    <w:rsid w:val="23A418A2"/>
    <w:rsid w:val="23A45829"/>
    <w:rsid w:val="23A67EEB"/>
    <w:rsid w:val="23A777BF"/>
    <w:rsid w:val="23AB72AF"/>
    <w:rsid w:val="23B532D8"/>
    <w:rsid w:val="23B56380"/>
    <w:rsid w:val="23B720F8"/>
    <w:rsid w:val="23BF0FAD"/>
    <w:rsid w:val="23BF7609"/>
    <w:rsid w:val="23C1282C"/>
    <w:rsid w:val="23C30A9D"/>
    <w:rsid w:val="23C95987"/>
    <w:rsid w:val="23CA414C"/>
    <w:rsid w:val="23CD5478"/>
    <w:rsid w:val="23CD6176"/>
    <w:rsid w:val="23CE13A5"/>
    <w:rsid w:val="23CE1984"/>
    <w:rsid w:val="23D41AC5"/>
    <w:rsid w:val="23DA4D4A"/>
    <w:rsid w:val="23DC390D"/>
    <w:rsid w:val="23DF164F"/>
    <w:rsid w:val="23F21382"/>
    <w:rsid w:val="23F45A92"/>
    <w:rsid w:val="23F46EA8"/>
    <w:rsid w:val="23F554AC"/>
    <w:rsid w:val="23F72873"/>
    <w:rsid w:val="23F76998"/>
    <w:rsid w:val="23FB7198"/>
    <w:rsid w:val="23FB7503"/>
    <w:rsid w:val="23FC0F43"/>
    <w:rsid w:val="240510B5"/>
    <w:rsid w:val="240557D8"/>
    <w:rsid w:val="24091CE0"/>
    <w:rsid w:val="240B75A8"/>
    <w:rsid w:val="241237D2"/>
    <w:rsid w:val="2415200F"/>
    <w:rsid w:val="24152B6D"/>
    <w:rsid w:val="24155071"/>
    <w:rsid w:val="24170DE9"/>
    <w:rsid w:val="24194B61"/>
    <w:rsid w:val="2419690F"/>
    <w:rsid w:val="241D4610"/>
    <w:rsid w:val="241E5CD3"/>
    <w:rsid w:val="2423778D"/>
    <w:rsid w:val="2425011E"/>
    <w:rsid w:val="24253506"/>
    <w:rsid w:val="24257F68"/>
    <w:rsid w:val="242760A3"/>
    <w:rsid w:val="242B6642"/>
    <w:rsid w:val="242B73A0"/>
    <w:rsid w:val="243279D1"/>
    <w:rsid w:val="243454F7"/>
    <w:rsid w:val="243472A5"/>
    <w:rsid w:val="243629A0"/>
    <w:rsid w:val="243A0EE4"/>
    <w:rsid w:val="243A248C"/>
    <w:rsid w:val="243B4AD7"/>
    <w:rsid w:val="243C25FD"/>
    <w:rsid w:val="243D776E"/>
    <w:rsid w:val="243F5C4A"/>
    <w:rsid w:val="24434176"/>
    <w:rsid w:val="244A4D1A"/>
    <w:rsid w:val="24507029"/>
    <w:rsid w:val="2451627C"/>
    <w:rsid w:val="245168ED"/>
    <w:rsid w:val="245416F5"/>
    <w:rsid w:val="24567F54"/>
    <w:rsid w:val="24572F93"/>
    <w:rsid w:val="24575689"/>
    <w:rsid w:val="245A146D"/>
    <w:rsid w:val="245D1DDC"/>
    <w:rsid w:val="245E2574"/>
    <w:rsid w:val="24617941"/>
    <w:rsid w:val="24635DDC"/>
    <w:rsid w:val="24697B84"/>
    <w:rsid w:val="246A716A"/>
    <w:rsid w:val="246B4C91"/>
    <w:rsid w:val="246C54B4"/>
    <w:rsid w:val="246E2D16"/>
    <w:rsid w:val="247022A7"/>
    <w:rsid w:val="247104F9"/>
    <w:rsid w:val="247327B6"/>
    <w:rsid w:val="24743B45"/>
    <w:rsid w:val="24773635"/>
    <w:rsid w:val="24786595"/>
    <w:rsid w:val="247973AD"/>
    <w:rsid w:val="2480073C"/>
    <w:rsid w:val="2480698E"/>
    <w:rsid w:val="24844E21"/>
    <w:rsid w:val="24853FA4"/>
    <w:rsid w:val="24896F9C"/>
    <w:rsid w:val="248B77AF"/>
    <w:rsid w:val="248C5333"/>
    <w:rsid w:val="248C6BB8"/>
    <w:rsid w:val="248D30F6"/>
    <w:rsid w:val="249146F7"/>
    <w:rsid w:val="2493065F"/>
    <w:rsid w:val="249935AC"/>
    <w:rsid w:val="249B079E"/>
    <w:rsid w:val="24A863B5"/>
    <w:rsid w:val="24B146FC"/>
    <w:rsid w:val="24B21806"/>
    <w:rsid w:val="24B54A8C"/>
    <w:rsid w:val="24B86128"/>
    <w:rsid w:val="24B95082"/>
    <w:rsid w:val="24BB1774"/>
    <w:rsid w:val="24BC045F"/>
    <w:rsid w:val="24BD0832"/>
    <w:rsid w:val="24BE74B6"/>
    <w:rsid w:val="24C0764C"/>
    <w:rsid w:val="24C148B0"/>
    <w:rsid w:val="24C30629"/>
    <w:rsid w:val="24C34ACD"/>
    <w:rsid w:val="24C60B2C"/>
    <w:rsid w:val="24C90335"/>
    <w:rsid w:val="24C93DF2"/>
    <w:rsid w:val="24CA5F5A"/>
    <w:rsid w:val="24CC07F0"/>
    <w:rsid w:val="24CC3412"/>
    <w:rsid w:val="24CC3981"/>
    <w:rsid w:val="24CD14A7"/>
    <w:rsid w:val="24D10B3F"/>
    <w:rsid w:val="24D25416"/>
    <w:rsid w:val="24D41B53"/>
    <w:rsid w:val="24D52FE3"/>
    <w:rsid w:val="24D67D44"/>
    <w:rsid w:val="24D85F7A"/>
    <w:rsid w:val="24D91E5B"/>
    <w:rsid w:val="24D9609E"/>
    <w:rsid w:val="24DA60B5"/>
    <w:rsid w:val="24DC354A"/>
    <w:rsid w:val="24DD76D1"/>
    <w:rsid w:val="24DE5462"/>
    <w:rsid w:val="24DE57D6"/>
    <w:rsid w:val="24DF6C29"/>
    <w:rsid w:val="24E11AF5"/>
    <w:rsid w:val="24E24F53"/>
    <w:rsid w:val="24E34B84"/>
    <w:rsid w:val="24EC7DDA"/>
    <w:rsid w:val="24ED126A"/>
    <w:rsid w:val="24EE7D9B"/>
    <w:rsid w:val="24F007E4"/>
    <w:rsid w:val="24F1163A"/>
    <w:rsid w:val="24F363FF"/>
    <w:rsid w:val="24F737AC"/>
    <w:rsid w:val="24F7748B"/>
    <w:rsid w:val="24F84776"/>
    <w:rsid w:val="24F86524"/>
    <w:rsid w:val="24FB1724"/>
    <w:rsid w:val="24FE3C44"/>
    <w:rsid w:val="2500362B"/>
    <w:rsid w:val="25056E93"/>
    <w:rsid w:val="25071235"/>
    <w:rsid w:val="250C6474"/>
    <w:rsid w:val="250F1AC0"/>
    <w:rsid w:val="250F3DFA"/>
    <w:rsid w:val="250F7D12"/>
    <w:rsid w:val="25103203"/>
    <w:rsid w:val="25146FAB"/>
    <w:rsid w:val="25162E4E"/>
    <w:rsid w:val="251B66B7"/>
    <w:rsid w:val="251C7908"/>
    <w:rsid w:val="251D41DD"/>
    <w:rsid w:val="251D5F8B"/>
    <w:rsid w:val="251E1D03"/>
    <w:rsid w:val="251E4A80"/>
    <w:rsid w:val="252437BD"/>
    <w:rsid w:val="25262F8B"/>
    <w:rsid w:val="25273672"/>
    <w:rsid w:val="25273966"/>
    <w:rsid w:val="252A06A8"/>
    <w:rsid w:val="252B148B"/>
    <w:rsid w:val="252B4B4C"/>
    <w:rsid w:val="252B6457"/>
    <w:rsid w:val="252D7AE7"/>
    <w:rsid w:val="252F5CBE"/>
    <w:rsid w:val="25311A36"/>
    <w:rsid w:val="25317169"/>
    <w:rsid w:val="2532698F"/>
    <w:rsid w:val="25331C52"/>
    <w:rsid w:val="2533755C"/>
    <w:rsid w:val="25393E1E"/>
    <w:rsid w:val="253A6333"/>
    <w:rsid w:val="253B0B07"/>
    <w:rsid w:val="253B1F59"/>
    <w:rsid w:val="253C34A4"/>
    <w:rsid w:val="253D4222"/>
    <w:rsid w:val="25421E95"/>
    <w:rsid w:val="25445C0D"/>
    <w:rsid w:val="25486290"/>
    <w:rsid w:val="25491F63"/>
    <w:rsid w:val="254B6F9C"/>
    <w:rsid w:val="254C3116"/>
    <w:rsid w:val="254E4396"/>
    <w:rsid w:val="2556149D"/>
    <w:rsid w:val="25565941"/>
    <w:rsid w:val="2557740C"/>
    <w:rsid w:val="25585FCB"/>
    <w:rsid w:val="255C2942"/>
    <w:rsid w:val="255C78C1"/>
    <w:rsid w:val="255F65A3"/>
    <w:rsid w:val="256040C9"/>
    <w:rsid w:val="25627E42"/>
    <w:rsid w:val="25653D41"/>
    <w:rsid w:val="25661F7C"/>
    <w:rsid w:val="25670AE2"/>
    <w:rsid w:val="256B13EC"/>
    <w:rsid w:val="256E0F07"/>
    <w:rsid w:val="25733D33"/>
    <w:rsid w:val="2574470D"/>
    <w:rsid w:val="257448D1"/>
    <w:rsid w:val="257B77DE"/>
    <w:rsid w:val="257D2A53"/>
    <w:rsid w:val="25846666"/>
    <w:rsid w:val="2585646C"/>
    <w:rsid w:val="25867FD4"/>
    <w:rsid w:val="258822E8"/>
    <w:rsid w:val="25902C01"/>
    <w:rsid w:val="25954889"/>
    <w:rsid w:val="259C54CD"/>
    <w:rsid w:val="259E35AA"/>
    <w:rsid w:val="259F4C9D"/>
    <w:rsid w:val="259F5683"/>
    <w:rsid w:val="25A14E0E"/>
    <w:rsid w:val="25A33E79"/>
    <w:rsid w:val="25A95A70"/>
    <w:rsid w:val="25AE12D9"/>
    <w:rsid w:val="25AF51D6"/>
    <w:rsid w:val="25B43379"/>
    <w:rsid w:val="25B6635D"/>
    <w:rsid w:val="25BD061F"/>
    <w:rsid w:val="25BD151C"/>
    <w:rsid w:val="25BF5294"/>
    <w:rsid w:val="25C603D0"/>
    <w:rsid w:val="25C64874"/>
    <w:rsid w:val="25CA383D"/>
    <w:rsid w:val="25CA7C43"/>
    <w:rsid w:val="25CB4B8A"/>
    <w:rsid w:val="25CC1E99"/>
    <w:rsid w:val="25CD5C03"/>
    <w:rsid w:val="25D074A1"/>
    <w:rsid w:val="25D326E0"/>
    <w:rsid w:val="25D640D8"/>
    <w:rsid w:val="25D86356"/>
    <w:rsid w:val="25DA5423"/>
    <w:rsid w:val="25DC01E3"/>
    <w:rsid w:val="25DF175E"/>
    <w:rsid w:val="25E310F1"/>
    <w:rsid w:val="25EE6057"/>
    <w:rsid w:val="25F4285C"/>
    <w:rsid w:val="26024C0D"/>
    <w:rsid w:val="26034B1D"/>
    <w:rsid w:val="26070023"/>
    <w:rsid w:val="26092131"/>
    <w:rsid w:val="260B3AE0"/>
    <w:rsid w:val="26121868"/>
    <w:rsid w:val="2613738E"/>
    <w:rsid w:val="2615531D"/>
    <w:rsid w:val="26164DFC"/>
    <w:rsid w:val="261750D0"/>
    <w:rsid w:val="261A4BC0"/>
    <w:rsid w:val="261B5986"/>
    <w:rsid w:val="261D2D5B"/>
    <w:rsid w:val="26217CFD"/>
    <w:rsid w:val="2629095F"/>
    <w:rsid w:val="262926B7"/>
    <w:rsid w:val="262E41C8"/>
    <w:rsid w:val="26301CEE"/>
    <w:rsid w:val="26303FE7"/>
    <w:rsid w:val="26307F40"/>
    <w:rsid w:val="26354676"/>
    <w:rsid w:val="26360971"/>
    <w:rsid w:val="2637307C"/>
    <w:rsid w:val="26393298"/>
    <w:rsid w:val="263C086C"/>
    <w:rsid w:val="26404627"/>
    <w:rsid w:val="2641214D"/>
    <w:rsid w:val="26414073"/>
    <w:rsid w:val="26415CA9"/>
    <w:rsid w:val="264439EB"/>
    <w:rsid w:val="264D0715"/>
    <w:rsid w:val="264F6618"/>
    <w:rsid w:val="265005E2"/>
    <w:rsid w:val="26526108"/>
    <w:rsid w:val="26532A92"/>
    <w:rsid w:val="26541209"/>
    <w:rsid w:val="26580B98"/>
    <w:rsid w:val="26585179"/>
    <w:rsid w:val="26595E90"/>
    <w:rsid w:val="265C30A7"/>
    <w:rsid w:val="265D1DDA"/>
    <w:rsid w:val="265E685B"/>
    <w:rsid w:val="265F25D3"/>
    <w:rsid w:val="266A7F48"/>
    <w:rsid w:val="266B424C"/>
    <w:rsid w:val="266B4318"/>
    <w:rsid w:val="266B4E43"/>
    <w:rsid w:val="268020CB"/>
    <w:rsid w:val="2681676F"/>
    <w:rsid w:val="268231EE"/>
    <w:rsid w:val="268818DC"/>
    <w:rsid w:val="268900EE"/>
    <w:rsid w:val="268A7650"/>
    <w:rsid w:val="268D5392"/>
    <w:rsid w:val="268E625D"/>
    <w:rsid w:val="269639E3"/>
    <w:rsid w:val="26964247"/>
    <w:rsid w:val="26976211"/>
    <w:rsid w:val="26977FBF"/>
    <w:rsid w:val="269A4796"/>
    <w:rsid w:val="269F0C21"/>
    <w:rsid w:val="269F7B78"/>
    <w:rsid w:val="26A050C5"/>
    <w:rsid w:val="26A23BEE"/>
    <w:rsid w:val="26A24E49"/>
    <w:rsid w:val="26A30712"/>
    <w:rsid w:val="26A4233A"/>
    <w:rsid w:val="26A431D4"/>
    <w:rsid w:val="26A440C8"/>
    <w:rsid w:val="26A56376"/>
    <w:rsid w:val="26A763A4"/>
    <w:rsid w:val="26AA4A6B"/>
    <w:rsid w:val="26AD77E2"/>
    <w:rsid w:val="26AE4B2D"/>
    <w:rsid w:val="26B25645"/>
    <w:rsid w:val="26B96CEB"/>
    <w:rsid w:val="26BB6504"/>
    <w:rsid w:val="26C012C4"/>
    <w:rsid w:val="26C22CF2"/>
    <w:rsid w:val="26C27C70"/>
    <w:rsid w:val="26C31EAD"/>
    <w:rsid w:val="26C74473"/>
    <w:rsid w:val="26CA3E87"/>
    <w:rsid w:val="26CA3EF0"/>
    <w:rsid w:val="26CC624A"/>
    <w:rsid w:val="26D6686D"/>
    <w:rsid w:val="26DE2FF3"/>
    <w:rsid w:val="26DF7DC9"/>
    <w:rsid w:val="26E135C5"/>
    <w:rsid w:val="26E1582E"/>
    <w:rsid w:val="26E30757"/>
    <w:rsid w:val="26E45078"/>
    <w:rsid w:val="26EA74D7"/>
    <w:rsid w:val="26ED7BDF"/>
    <w:rsid w:val="26EE12D9"/>
    <w:rsid w:val="26EE19AF"/>
    <w:rsid w:val="26EF7DFB"/>
    <w:rsid w:val="26F15921"/>
    <w:rsid w:val="26F271C9"/>
    <w:rsid w:val="26F33261"/>
    <w:rsid w:val="26F471BF"/>
    <w:rsid w:val="26F92A28"/>
    <w:rsid w:val="26FC08B4"/>
    <w:rsid w:val="26FD3900"/>
    <w:rsid w:val="26FE27E8"/>
    <w:rsid w:val="27003DB6"/>
    <w:rsid w:val="270218DC"/>
    <w:rsid w:val="2703209B"/>
    <w:rsid w:val="270B2978"/>
    <w:rsid w:val="27111B1F"/>
    <w:rsid w:val="27113E81"/>
    <w:rsid w:val="27196C26"/>
    <w:rsid w:val="271A137C"/>
    <w:rsid w:val="271B5B03"/>
    <w:rsid w:val="27201D62"/>
    <w:rsid w:val="27202144"/>
    <w:rsid w:val="27206206"/>
    <w:rsid w:val="27291D68"/>
    <w:rsid w:val="2729330D"/>
    <w:rsid w:val="273132B8"/>
    <w:rsid w:val="27313F6F"/>
    <w:rsid w:val="273322D8"/>
    <w:rsid w:val="27337CE7"/>
    <w:rsid w:val="27374912"/>
    <w:rsid w:val="27374C7D"/>
    <w:rsid w:val="27381396"/>
    <w:rsid w:val="273A59F5"/>
    <w:rsid w:val="273C404C"/>
    <w:rsid w:val="273E668C"/>
    <w:rsid w:val="274041B2"/>
    <w:rsid w:val="27433CA3"/>
    <w:rsid w:val="27441630"/>
    <w:rsid w:val="274526B5"/>
    <w:rsid w:val="27475974"/>
    <w:rsid w:val="274C7976"/>
    <w:rsid w:val="2753038A"/>
    <w:rsid w:val="27541A0C"/>
    <w:rsid w:val="27550294"/>
    <w:rsid w:val="27556CAA"/>
    <w:rsid w:val="27561C28"/>
    <w:rsid w:val="275E288B"/>
    <w:rsid w:val="275E3E0A"/>
    <w:rsid w:val="27606A43"/>
    <w:rsid w:val="276339D3"/>
    <w:rsid w:val="276415E7"/>
    <w:rsid w:val="2768429D"/>
    <w:rsid w:val="276854B7"/>
    <w:rsid w:val="276925B8"/>
    <w:rsid w:val="276A7481"/>
    <w:rsid w:val="276C0884"/>
    <w:rsid w:val="276C31F9"/>
    <w:rsid w:val="276D4A89"/>
    <w:rsid w:val="277512FE"/>
    <w:rsid w:val="27753077"/>
    <w:rsid w:val="277B58F1"/>
    <w:rsid w:val="278074CE"/>
    <w:rsid w:val="27807F4C"/>
    <w:rsid w:val="27871DE1"/>
    <w:rsid w:val="27873B8F"/>
    <w:rsid w:val="27894DA1"/>
    <w:rsid w:val="278A297D"/>
    <w:rsid w:val="278D6D62"/>
    <w:rsid w:val="279767CB"/>
    <w:rsid w:val="279908E2"/>
    <w:rsid w:val="279938C3"/>
    <w:rsid w:val="279D33D4"/>
    <w:rsid w:val="279F712B"/>
    <w:rsid w:val="27A47FDD"/>
    <w:rsid w:val="27AA4D37"/>
    <w:rsid w:val="27AE55C0"/>
    <w:rsid w:val="27B27B5E"/>
    <w:rsid w:val="27B54A63"/>
    <w:rsid w:val="27B6199A"/>
    <w:rsid w:val="27C43035"/>
    <w:rsid w:val="27C44DE4"/>
    <w:rsid w:val="27C50B33"/>
    <w:rsid w:val="27C84853"/>
    <w:rsid w:val="27CA4388"/>
    <w:rsid w:val="27D02F22"/>
    <w:rsid w:val="27D36DD5"/>
    <w:rsid w:val="27D64573"/>
    <w:rsid w:val="27D8263D"/>
    <w:rsid w:val="27D8516B"/>
    <w:rsid w:val="27D85321"/>
    <w:rsid w:val="27E15995"/>
    <w:rsid w:val="27E3100D"/>
    <w:rsid w:val="27E92DC7"/>
    <w:rsid w:val="27EA5BB5"/>
    <w:rsid w:val="27EC31AA"/>
    <w:rsid w:val="27EC58E4"/>
    <w:rsid w:val="27EE1E60"/>
    <w:rsid w:val="27EF3D12"/>
    <w:rsid w:val="27F703DA"/>
    <w:rsid w:val="27FB0808"/>
    <w:rsid w:val="27FD1F46"/>
    <w:rsid w:val="27FF129D"/>
    <w:rsid w:val="280242AC"/>
    <w:rsid w:val="280276BA"/>
    <w:rsid w:val="280653FC"/>
    <w:rsid w:val="280671AA"/>
    <w:rsid w:val="28072F22"/>
    <w:rsid w:val="28074CD0"/>
    <w:rsid w:val="28086671"/>
    <w:rsid w:val="280B42F7"/>
    <w:rsid w:val="28101DC8"/>
    <w:rsid w:val="2810627B"/>
    <w:rsid w:val="281222F4"/>
    <w:rsid w:val="281232C0"/>
    <w:rsid w:val="2815023D"/>
    <w:rsid w:val="2818512F"/>
    <w:rsid w:val="281F2669"/>
    <w:rsid w:val="28201A72"/>
    <w:rsid w:val="282431C3"/>
    <w:rsid w:val="2826784C"/>
    <w:rsid w:val="282B49AC"/>
    <w:rsid w:val="282C4737"/>
    <w:rsid w:val="28310F5C"/>
    <w:rsid w:val="28320B45"/>
    <w:rsid w:val="28326FF5"/>
    <w:rsid w:val="28363B6E"/>
    <w:rsid w:val="283B2990"/>
    <w:rsid w:val="283D06F2"/>
    <w:rsid w:val="28413FCC"/>
    <w:rsid w:val="28441A80"/>
    <w:rsid w:val="28445F24"/>
    <w:rsid w:val="284B388C"/>
    <w:rsid w:val="284D4DD9"/>
    <w:rsid w:val="284D76B0"/>
    <w:rsid w:val="284F6542"/>
    <w:rsid w:val="28504E67"/>
    <w:rsid w:val="285223EF"/>
    <w:rsid w:val="28546167"/>
    <w:rsid w:val="28577A06"/>
    <w:rsid w:val="285C14C0"/>
    <w:rsid w:val="285E6FE6"/>
    <w:rsid w:val="28612632"/>
    <w:rsid w:val="28626D2E"/>
    <w:rsid w:val="286454FC"/>
    <w:rsid w:val="286478B1"/>
    <w:rsid w:val="286640ED"/>
    <w:rsid w:val="286C3843"/>
    <w:rsid w:val="286E4F80"/>
    <w:rsid w:val="2874680A"/>
    <w:rsid w:val="28770115"/>
    <w:rsid w:val="287D7D0C"/>
    <w:rsid w:val="287E31E4"/>
    <w:rsid w:val="28801E23"/>
    <w:rsid w:val="2885221B"/>
    <w:rsid w:val="2885273C"/>
    <w:rsid w:val="28852AA7"/>
    <w:rsid w:val="28852C5D"/>
    <w:rsid w:val="28862099"/>
    <w:rsid w:val="288A16E3"/>
    <w:rsid w:val="288A7DDB"/>
    <w:rsid w:val="288B7918"/>
    <w:rsid w:val="288D1679"/>
    <w:rsid w:val="288F53F1"/>
    <w:rsid w:val="2890116A"/>
    <w:rsid w:val="28920A3E"/>
    <w:rsid w:val="2894468D"/>
    <w:rsid w:val="289A15E5"/>
    <w:rsid w:val="289B15F1"/>
    <w:rsid w:val="289C74AE"/>
    <w:rsid w:val="289F315B"/>
    <w:rsid w:val="28A32C4B"/>
    <w:rsid w:val="28A36AFF"/>
    <w:rsid w:val="28AB23FE"/>
    <w:rsid w:val="28AE60FF"/>
    <w:rsid w:val="28AF7842"/>
    <w:rsid w:val="28B023F4"/>
    <w:rsid w:val="28B2000F"/>
    <w:rsid w:val="28B210E0"/>
    <w:rsid w:val="28BA1D43"/>
    <w:rsid w:val="28BF6DAB"/>
    <w:rsid w:val="28C03598"/>
    <w:rsid w:val="28C07C97"/>
    <w:rsid w:val="28C32FF7"/>
    <w:rsid w:val="28C55FAE"/>
    <w:rsid w:val="28C606E7"/>
    <w:rsid w:val="28C623C8"/>
    <w:rsid w:val="28C64B8B"/>
    <w:rsid w:val="28C76B60"/>
    <w:rsid w:val="28C826B1"/>
    <w:rsid w:val="28CD1A76"/>
    <w:rsid w:val="28CD7CC8"/>
    <w:rsid w:val="28CF517E"/>
    <w:rsid w:val="28CF62FC"/>
    <w:rsid w:val="28D0604B"/>
    <w:rsid w:val="28D21782"/>
    <w:rsid w:val="28D42E04"/>
    <w:rsid w:val="28D85F1E"/>
    <w:rsid w:val="28D948BF"/>
    <w:rsid w:val="28DC0A73"/>
    <w:rsid w:val="28DC12FF"/>
    <w:rsid w:val="28DC3A67"/>
    <w:rsid w:val="28DC615D"/>
    <w:rsid w:val="28DE2122"/>
    <w:rsid w:val="28E25251"/>
    <w:rsid w:val="28E62B38"/>
    <w:rsid w:val="28EA3771"/>
    <w:rsid w:val="28ED1885"/>
    <w:rsid w:val="28F15583"/>
    <w:rsid w:val="28F46B87"/>
    <w:rsid w:val="28F85103"/>
    <w:rsid w:val="29007BF0"/>
    <w:rsid w:val="29057FE9"/>
    <w:rsid w:val="29064F88"/>
    <w:rsid w:val="29096190"/>
    <w:rsid w:val="290A2CCA"/>
    <w:rsid w:val="290C07F0"/>
    <w:rsid w:val="290C4C94"/>
    <w:rsid w:val="290F6532"/>
    <w:rsid w:val="290F6EDB"/>
    <w:rsid w:val="29146FC7"/>
    <w:rsid w:val="291678C1"/>
    <w:rsid w:val="29171209"/>
    <w:rsid w:val="29171A85"/>
    <w:rsid w:val="291835CD"/>
    <w:rsid w:val="291A31C2"/>
    <w:rsid w:val="292673D8"/>
    <w:rsid w:val="292875F4"/>
    <w:rsid w:val="292A40FD"/>
    <w:rsid w:val="292E01A8"/>
    <w:rsid w:val="29336DAB"/>
    <w:rsid w:val="29360622"/>
    <w:rsid w:val="293D4E4D"/>
    <w:rsid w:val="29402DC1"/>
    <w:rsid w:val="29424212"/>
    <w:rsid w:val="29437D99"/>
    <w:rsid w:val="29437F4F"/>
    <w:rsid w:val="2944442E"/>
    <w:rsid w:val="294921DF"/>
    <w:rsid w:val="294A30C6"/>
    <w:rsid w:val="294A57BC"/>
    <w:rsid w:val="294E705B"/>
    <w:rsid w:val="29503844"/>
    <w:rsid w:val="29514455"/>
    <w:rsid w:val="295403E9"/>
    <w:rsid w:val="29566AD5"/>
    <w:rsid w:val="295E3016"/>
    <w:rsid w:val="295E6B72"/>
    <w:rsid w:val="29673C78"/>
    <w:rsid w:val="296A3769"/>
    <w:rsid w:val="296C6D10"/>
    <w:rsid w:val="296E3259"/>
    <w:rsid w:val="2973086F"/>
    <w:rsid w:val="29752839"/>
    <w:rsid w:val="297C259A"/>
    <w:rsid w:val="297D16EE"/>
    <w:rsid w:val="297E7D49"/>
    <w:rsid w:val="297F5466"/>
    <w:rsid w:val="29802F8C"/>
    <w:rsid w:val="298259E7"/>
    <w:rsid w:val="29827E50"/>
    <w:rsid w:val="29842A7C"/>
    <w:rsid w:val="298A4BC1"/>
    <w:rsid w:val="298F4F7D"/>
    <w:rsid w:val="299172A8"/>
    <w:rsid w:val="29963480"/>
    <w:rsid w:val="29982BE6"/>
    <w:rsid w:val="29996E7D"/>
    <w:rsid w:val="299C31FE"/>
    <w:rsid w:val="299C3545"/>
    <w:rsid w:val="299E0408"/>
    <w:rsid w:val="299E10A7"/>
    <w:rsid w:val="29A02139"/>
    <w:rsid w:val="29A16D89"/>
    <w:rsid w:val="29A27FCC"/>
    <w:rsid w:val="29A32DEA"/>
    <w:rsid w:val="29A46C7B"/>
    <w:rsid w:val="29A547A1"/>
    <w:rsid w:val="29A55AC9"/>
    <w:rsid w:val="29A924E3"/>
    <w:rsid w:val="29A9551B"/>
    <w:rsid w:val="29AE5D4B"/>
    <w:rsid w:val="29AF3F5E"/>
    <w:rsid w:val="29B03871"/>
    <w:rsid w:val="29B2144F"/>
    <w:rsid w:val="29B2271B"/>
    <w:rsid w:val="29B26A9F"/>
    <w:rsid w:val="29B27D0E"/>
    <w:rsid w:val="29B33362"/>
    <w:rsid w:val="29B36EBE"/>
    <w:rsid w:val="29BA7AEA"/>
    <w:rsid w:val="29BB32A5"/>
    <w:rsid w:val="29BB7A14"/>
    <w:rsid w:val="29BE48F3"/>
    <w:rsid w:val="29C235A5"/>
    <w:rsid w:val="29C273E5"/>
    <w:rsid w:val="29C4095E"/>
    <w:rsid w:val="29C40BAA"/>
    <w:rsid w:val="29C448AF"/>
    <w:rsid w:val="29C64906"/>
    <w:rsid w:val="29C72A75"/>
    <w:rsid w:val="29CC2DAF"/>
    <w:rsid w:val="29CC6CA4"/>
    <w:rsid w:val="29D12335"/>
    <w:rsid w:val="29D137E8"/>
    <w:rsid w:val="29D272F8"/>
    <w:rsid w:val="29D31046"/>
    <w:rsid w:val="29D60DFE"/>
    <w:rsid w:val="29DF5F05"/>
    <w:rsid w:val="29E130AE"/>
    <w:rsid w:val="29ED6C5C"/>
    <w:rsid w:val="29F051B5"/>
    <w:rsid w:val="29F063A5"/>
    <w:rsid w:val="29F15C38"/>
    <w:rsid w:val="29F319B0"/>
    <w:rsid w:val="29F77B83"/>
    <w:rsid w:val="29FB0865"/>
    <w:rsid w:val="29FD638B"/>
    <w:rsid w:val="2A031063"/>
    <w:rsid w:val="2A046376"/>
    <w:rsid w:val="2A050A46"/>
    <w:rsid w:val="2A0B7489"/>
    <w:rsid w:val="2A0C4820"/>
    <w:rsid w:val="2A0E2346"/>
    <w:rsid w:val="2A0E6F96"/>
    <w:rsid w:val="2A100351"/>
    <w:rsid w:val="2A1C4196"/>
    <w:rsid w:val="2A1D4C7F"/>
    <w:rsid w:val="2A21651D"/>
    <w:rsid w:val="2A276EB3"/>
    <w:rsid w:val="2A2878AC"/>
    <w:rsid w:val="2A2B01FE"/>
    <w:rsid w:val="2A2E6F54"/>
    <w:rsid w:val="2A37018D"/>
    <w:rsid w:val="2A390639"/>
    <w:rsid w:val="2A3B6E4A"/>
    <w:rsid w:val="2A3B7000"/>
    <w:rsid w:val="2A3C5105"/>
    <w:rsid w:val="2A3E7D2C"/>
    <w:rsid w:val="2A414995"/>
    <w:rsid w:val="2A44045E"/>
    <w:rsid w:val="2A4823D4"/>
    <w:rsid w:val="2A492B17"/>
    <w:rsid w:val="2A497CBC"/>
    <w:rsid w:val="2A4A087B"/>
    <w:rsid w:val="2A5559CD"/>
    <w:rsid w:val="2A570191"/>
    <w:rsid w:val="2A581813"/>
    <w:rsid w:val="2A5C1303"/>
    <w:rsid w:val="2A5F2D91"/>
    <w:rsid w:val="2A610E82"/>
    <w:rsid w:val="2A622692"/>
    <w:rsid w:val="2A6428AE"/>
    <w:rsid w:val="2A6A7F9D"/>
    <w:rsid w:val="2A6B7798"/>
    <w:rsid w:val="2A6D1762"/>
    <w:rsid w:val="2A6D3510"/>
    <w:rsid w:val="2A6E1037"/>
    <w:rsid w:val="2A701253"/>
    <w:rsid w:val="2A72157E"/>
    <w:rsid w:val="2A740C09"/>
    <w:rsid w:val="2A74112A"/>
    <w:rsid w:val="2A7506E8"/>
    <w:rsid w:val="2A760392"/>
    <w:rsid w:val="2A77613D"/>
    <w:rsid w:val="2A7F29B1"/>
    <w:rsid w:val="2A805824"/>
    <w:rsid w:val="2A814869"/>
    <w:rsid w:val="2A897C54"/>
    <w:rsid w:val="2A9156A2"/>
    <w:rsid w:val="2A915858"/>
    <w:rsid w:val="2A936DFF"/>
    <w:rsid w:val="2A94414B"/>
    <w:rsid w:val="2A974ECF"/>
    <w:rsid w:val="2A9A0FFE"/>
    <w:rsid w:val="2AA4545A"/>
    <w:rsid w:val="2AA9206F"/>
    <w:rsid w:val="2AB253C7"/>
    <w:rsid w:val="2AB47391"/>
    <w:rsid w:val="2AB949A8"/>
    <w:rsid w:val="2ABC7FF4"/>
    <w:rsid w:val="2ABE3D6C"/>
    <w:rsid w:val="2ABF11E3"/>
    <w:rsid w:val="2AC11AAE"/>
    <w:rsid w:val="2AC5509B"/>
    <w:rsid w:val="2AC60E73"/>
    <w:rsid w:val="2AC7528B"/>
    <w:rsid w:val="2AC84BEB"/>
    <w:rsid w:val="2ACA0963"/>
    <w:rsid w:val="2ACA2711"/>
    <w:rsid w:val="2ACC2BBA"/>
    <w:rsid w:val="2ACD6BF6"/>
    <w:rsid w:val="2AD27817"/>
    <w:rsid w:val="2AD92680"/>
    <w:rsid w:val="2ADB0189"/>
    <w:rsid w:val="2ADB0606"/>
    <w:rsid w:val="2AE61295"/>
    <w:rsid w:val="2AEB08D9"/>
    <w:rsid w:val="2AF578DD"/>
    <w:rsid w:val="2AF7592B"/>
    <w:rsid w:val="2AF7727E"/>
    <w:rsid w:val="2AFA5E80"/>
    <w:rsid w:val="2AFA6815"/>
    <w:rsid w:val="2AFB066C"/>
    <w:rsid w:val="2AFC7725"/>
    <w:rsid w:val="2AFD74FF"/>
    <w:rsid w:val="2AFE4C91"/>
    <w:rsid w:val="2B041741"/>
    <w:rsid w:val="2B081E52"/>
    <w:rsid w:val="2B0A0673"/>
    <w:rsid w:val="2B1044E5"/>
    <w:rsid w:val="2B133171"/>
    <w:rsid w:val="2B163EC5"/>
    <w:rsid w:val="2B193B25"/>
    <w:rsid w:val="2B1B10B7"/>
    <w:rsid w:val="2B231E21"/>
    <w:rsid w:val="2B2654FC"/>
    <w:rsid w:val="2B2670A9"/>
    <w:rsid w:val="2B267384"/>
    <w:rsid w:val="2B275ED7"/>
    <w:rsid w:val="2B2C18DC"/>
    <w:rsid w:val="2B2D0EF2"/>
    <w:rsid w:val="2B312668"/>
    <w:rsid w:val="2B317534"/>
    <w:rsid w:val="2B3176EA"/>
    <w:rsid w:val="2B32641C"/>
    <w:rsid w:val="2B33475A"/>
    <w:rsid w:val="2B381D70"/>
    <w:rsid w:val="2B3B3DC5"/>
    <w:rsid w:val="2B3F7D0C"/>
    <w:rsid w:val="2B41674B"/>
    <w:rsid w:val="2B416A07"/>
    <w:rsid w:val="2B42499D"/>
    <w:rsid w:val="2B473D61"/>
    <w:rsid w:val="2B4A5600"/>
    <w:rsid w:val="2B4B4B3E"/>
    <w:rsid w:val="2B4C581C"/>
    <w:rsid w:val="2B4C75CA"/>
    <w:rsid w:val="2B4D6E15"/>
    <w:rsid w:val="2B512E32"/>
    <w:rsid w:val="2B54134E"/>
    <w:rsid w:val="2B577997"/>
    <w:rsid w:val="2B5C73A2"/>
    <w:rsid w:val="2B5E5172"/>
    <w:rsid w:val="2B5E5327"/>
    <w:rsid w:val="2B5E5693"/>
    <w:rsid w:val="2B642979"/>
    <w:rsid w:val="2B673946"/>
    <w:rsid w:val="2B68546B"/>
    <w:rsid w:val="2B690E6C"/>
    <w:rsid w:val="2B6B08B1"/>
    <w:rsid w:val="2B6B3E85"/>
    <w:rsid w:val="2B6E5792"/>
    <w:rsid w:val="2B6F150A"/>
    <w:rsid w:val="2B715282"/>
    <w:rsid w:val="2B7408CF"/>
    <w:rsid w:val="2B786611"/>
    <w:rsid w:val="2B7B3A0B"/>
    <w:rsid w:val="2B812B79"/>
    <w:rsid w:val="2B876854"/>
    <w:rsid w:val="2B88437A"/>
    <w:rsid w:val="2B896186"/>
    <w:rsid w:val="2B8D6D49"/>
    <w:rsid w:val="2B8E24B9"/>
    <w:rsid w:val="2B91322F"/>
    <w:rsid w:val="2B937144"/>
    <w:rsid w:val="2B986BC5"/>
    <w:rsid w:val="2B990335"/>
    <w:rsid w:val="2B9B22FF"/>
    <w:rsid w:val="2BA03472"/>
    <w:rsid w:val="2BA61030"/>
    <w:rsid w:val="2BA9559E"/>
    <w:rsid w:val="2BA95E0A"/>
    <w:rsid w:val="2BAA3048"/>
    <w:rsid w:val="2BAF21A8"/>
    <w:rsid w:val="2BAF7B59"/>
    <w:rsid w:val="2BB331A5"/>
    <w:rsid w:val="2BB351B8"/>
    <w:rsid w:val="2BB44777"/>
    <w:rsid w:val="2BB532F3"/>
    <w:rsid w:val="2BB533C1"/>
    <w:rsid w:val="2BB561DD"/>
    <w:rsid w:val="2BB71FB5"/>
    <w:rsid w:val="2BB92154"/>
    <w:rsid w:val="2BC058C2"/>
    <w:rsid w:val="2BC15110"/>
    <w:rsid w:val="2BC25ADE"/>
    <w:rsid w:val="2BC272BF"/>
    <w:rsid w:val="2BC27F72"/>
    <w:rsid w:val="2BCA6741"/>
    <w:rsid w:val="2BCA6B10"/>
    <w:rsid w:val="2BCB43B2"/>
    <w:rsid w:val="2BCC1D95"/>
    <w:rsid w:val="2BCE7FDF"/>
    <w:rsid w:val="2BCF2927"/>
    <w:rsid w:val="2BD10EA5"/>
    <w:rsid w:val="2BD61589"/>
    <w:rsid w:val="2BD650E5"/>
    <w:rsid w:val="2BD66E93"/>
    <w:rsid w:val="2BD870AF"/>
    <w:rsid w:val="2BDD6474"/>
    <w:rsid w:val="2BE041B6"/>
    <w:rsid w:val="2BE23A8A"/>
    <w:rsid w:val="2BE45A54"/>
    <w:rsid w:val="2BE617CC"/>
    <w:rsid w:val="2BE74F46"/>
    <w:rsid w:val="2BE94B33"/>
    <w:rsid w:val="2BEA550D"/>
    <w:rsid w:val="2BEC7C7F"/>
    <w:rsid w:val="2BED6380"/>
    <w:rsid w:val="2BEE55D3"/>
    <w:rsid w:val="2BEE7817"/>
    <w:rsid w:val="2BEF61A7"/>
    <w:rsid w:val="2BF23A18"/>
    <w:rsid w:val="2BF437BD"/>
    <w:rsid w:val="2BF459DF"/>
    <w:rsid w:val="2BFA0DD4"/>
    <w:rsid w:val="2BFB496E"/>
    <w:rsid w:val="2BFE7B0E"/>
    <w:rsid w:val="2BFF47C5"/>
    <w:rsid w:val="2BFF63EA"/>
    <w:rsid w:val="2C047EA4"/>
    <w:rsid w:val="2C050BC1"/>
    <w:rsid w:val="2C0954BB"/>
    <w:rsid w:val="2C0A4D8F"/>
    <w:rsid w:val="2C0B2C64"/>
    <w:rsid w:val="2C0F0D1A"/>
    <w:rsid w:val="2C11611D"/>
    <w:rsid w:val="2C1520B2"/>
    <w:rsid w:val="2C165AE7"/>
    <w:rsid w:val="2C194BB5"/>
    <w:rsid w:val="2C196554"/>
    <w:rsid w:val="2C1F6A8C"/>
    <w:rsid w:val="2C21558C"/>
    <w:rsid w:val="2C2422F5"/>
    <w:rsid w:val="2C251BC9"/>
    <w:rsid w:val="2C273B93"/>
    <w:rsid w:val="2C2858A9"/>
    <w:rsid w:val="2C295D59"/>
    <w:rsid w:val="2C2960C4"/>
    <w:rsid w:val="2C297A7F"/>
    <w:rsid w:val="2C2C2F57"/>
    <w:rsid w:val="2C2D709D"/>
    <w:rsid w:val="2C2E0A7D"/>
    <w:rsid w:val="2C2E4F21"/>
    <w:rsid w:val="2C302A48"/>
    <w:rsid w:val="2C33078A"/>
    <w:rsid w:val="2C354526"/>
    <w:rsid w:val="2C3562B0"/>
    <w:rsid w:val="2C370A57"/>
    <w:rsid w:val="2C3D700C"/>
    <w:rsid w:val="2C3F032D"/>
    <w:rsid w:val="2C415E85"/>
    <w:rsid w:val="2C42779D"/>
    <w:rsid w:val="2C4703C8"/>
    <w:rsid w:val="2C471B3F"/>
    <w:rsid w:val="2C47211C"/>
    <w:rsid w:val="2C4958B7"/>
    <w:rsid w:val="2C4A79E8"/>
    <w:rsid w:val="2C4C53A8"/>
    <w:rsid w:val="2C4C5671"/>
    <w:rsid w:val="2C4D6B72"/>
    <w:rsid w:val="2C513B81"/>
    <w:rsid w:val="2C555185"/>
    <w:rsid w:val="2C557E64"/>
    <w:rsid w:val="2C5801F0"/>
    <w:rsid w:val="2C5941DA"/>
    <w:rsid w:val="2C59575F"/>
    <w:rsid w:val="2C5A7927"/>
    <w:rsid w:val="2C604FDA"/>
    <w:rsid w:val="2C637C4B"/>
    <w:rsid w:val="2C6646BB"/>
    <w:rsid w:val="2C6816B5"/>
    <w:rsid w:val="2C6820E3"/>
    <w:rsid w:val="2C6852A9"/>
    <w:rsid w:val="2C6D7080"/>
    <w:rsid w:val="2C725C4B"/>
    <w:rsid w:val="2C730CBC"/>
    <w:rsid w:val="2C773844"/>
    <w:rsid w:val="2C792640"/>
    <w:rsid w:val="2C7F56C9"/>
    <w:rsid w:val="2C803D25"/>
    <w:rsid w:val="2C825CBC"/>
    <w:rsid w:val="2C83526D"/>
    <w:rsid w:val="2C846437"/>
    <w:rsid w:val="2C8761F3"/>
    <w:rsid w:val="2C8763E0"/>
    <w:rsid w:val="2C882884"/>
    <w:rsid w:val="2C884632"/>
    <w:rsid w:val="2C8B3FEE"/>
    <w:rsid w:val="2C902915"/>
    <w:rsid w:val="2C936391"/>
    <w:rsid w:val="2C952D0F"/>
    <w:rsid w:val="2C974875"/>
    <w:rsid w:val="2C9C2318"/>
    <w:rsid w:val="2C9E0609"/>
    <w:rsid w:val="2CA927FA"/>
    <w:rsid w:val="2CAC28C5"/>
    <w:rsid w:val="2CB371D5"/>
    <w:rsid w:val="2CBB6EF5"/>
    <w:rsid w:val="2CBC4209"/>
    <w:rsid w:val="2CC338BC"/>
    <w:rsid w:val="2CC3566A"/>
    <w:rsid w:val="2CC7158E"/>
    <w:rsid w:val="2CCA2E9C"/>
    <w:rsid w:val="2CCB34E9"/>
    <w:rsid w:val="2CCD473A"/>
    <w:rsid w:val="2CD30D30"/>
    <w:rsid w:val="2CD4042B"/>
    <w:rsid w:val="2CD45AC9"/>
    <w:rsid w:val="2CD52E9B"/>
    <w:rsid w:val="2CD624D9"/>
    <w:rsid w:val="2CD71115"/>
    <w:rsid w:val="2CD71A05"/>
    <w:rsid w:val="2CD755B9"/>
    <w:rsid w:val="2CDA29B3"/>
    <w:rsid w:val="2CE55D92"/>
    <w:rsid w:val="2CE64BA5"/>
    <w:rsid w:val="2CE675AA"/>
    <w:rsid w:val="2CE90E48"/>
    <w:rsid w:val="2CEA52EC"/>
    <w:rsid w:val="2CEC3EC3"/>
    <w:rsid w:val="2CF20571"/>
    <w:rsid w:val="2CF476ED"/>
    <w:rsid w:val="2CF577ED"/>
    <w:rsid w:val="2CF65B93"/>
    <w:rsid w:val="2CFA3055"/>
    <w:rsid w:val="2CFA4E04"/>
    <w:rsid w:val="2CFB1453"/>
    <w:rsid w:val="2CFC0B7C"/>
    <w:rsid w:val="2D0041FB"/>
    <w:rsid w:val="2D067C4C"/>
    <w:rsid w:val="2D074796"/>
    <w:rsid w:val="2D0E09B2"/>
    <w:rsid w:val="2D0F4C2F"/>
    <w:rsid w:val="2D0F4D53"/>
    <w:rsid w:val="2D145EC5"/>
    <w:rsid w:val="2D157E8F"/>
    <w:rsid w:val="2D1F486A"/>
    <w:rsid w:val="2D2002C1"/>
    <w:rsid w:val="2D20584C"/>
    <w:rsid w:val="2D206443"/>
    <w:rsid w:val="2D23544A"/>
    <w:rsid w:val="2D236108"/>
    <w:rsid w:val="2D2A56E9"/>
    <w:rsid w:val="2D2D05C2"/>
    <w:rsid w:val="2D2E0A6A"/>
    <w:rsid w:val="2D314CC9"/>
    <w:rsid w:val="2D360531"/>
    <w:rsid w:val="2D39131C"/>
    <w:rsid w:val="2D3A16A4"/>
    <w:rsid w:val="2D3B5B48"/>
    <w:rsid w:val="2D3C3768"/>
    <w:rsid w:val="2D3D22E5"/>
    <w:rsid w:val="2D3D2650"/>
    <w:rsid w:val="2D404F0C"/>
    <w:rsid w:val="2D46460C"/>
    <w:rsid w:val="2D4B7AF1"/>
    <w:rsid w:val="2D4D39AA"/>
    <w:rsid w:val="2D4F33A1"/>
    <w:rsid w:val="2D517119"/>
    <w:rsid w:val="2D5279D2"/>
    <w:rsid w:val="2D546C0A"/>
    <w:rsid w:val="2D547854"/>
    <w:rsid w:val="2D583918"/>
    <w:rsid w:val="2D59004C"/>
    <w:rsid w:val="2D594220"/>
    <w:rsid w:val="2D5A760A"/>
    <w:rsid w:val="2D5B6A13"/>
    <w:rsid w:val="2D5E35E4"/>
    <w:rsid w:val="2D60482A"/>
    <w:rsid w:val="2D613652"/>
    <w:rsid w:val="2D6230D5"/>
    <w:rsid w:val="2D681F9D"/>
    <w:rsid w:val="2D6824BE"/>
    <w:rsid w:val="2D682829"/>
    <w:rsid w:val="2D687FBF"/>
    <w:rsid w:val="2D6A0443"/>
    <w:rsid w:val="2D6B7AAF"/>
    <w:rsid w:val="2D6C7FF8"/>
    <w:rsid w:val="2D6D0BD3"/>
    <w:rsid w:val="2D6D1A79"/>
    <w:rsid w:val="2D6D3827"/>
    <w:rsid w:val="2D720E3E"/>
    <w:rsid w:val="2D744BB6"/>
    <w:rsid w:val="2D750387"/>
    <w:rsid w:val="2D7C1CBC"/>
    <w:rsid w:val="2D7D6B55"/>
    <w:rsid w:val="2D7E3C87"/>
    <w:rsid w:val="2D802196"/>
    <w:rsid w:val="2D810644"/>
    <w:rsid w:val="2D825525"/>
    <w:rsid w:val="2D8543FF"/>
    <w:rsid w:val="2D856DC3"/>
    <w:rsid w:val="2D874EDD"/>
    <w:rsid w:val="2D8806AA"/>
    <w:rsid w:val="2D8868B3"/>
    <w:rsid w:val="2D89698A"/>
    <w:rsid w:val="2D940CF3"/>
    <w:rsid w:val="2D943A2B"/>
    <w:rsid w:val="2D945258"/>
    <w:rsid w:val="2D960FD0"/>
    <w:rsid w:val="2D970F00"/>
    <w:rsid w:val="2D984D48"/>
    <w:rsid w:val="2D990784"/>
    <w:rsid w:val="2D9A7766"/>
    <w:rsid w:val="2D9B0395"/>
    <w:rsid w:val="2DA12B22"/>
    <w:rsid w:val="2DA21723"/>
    <w:rsid w:val="2DA32DF9"/>
    <w:rsid w:val="2DA51213"/>
    <w:rsid w:val="2DA54413"/>
    <w:rsid w:val="2DAC07F4"/>
    <w:rsid w:val="2DAF2B71"/>
    <w:rsid w:val="2DB06A5A"/>
    <w:rsid w:val="2DB126A6"/>
    <w:rsid w:val="2DB1526B"/>
    <w:rsid w:val="2DB21CF7"/>
    <w:rsid w:val="2DB26C84"/>
    <w:rsid w:val="2DB33930"/>
    <w:rsid w:val="2DB371EE"/>
    <w:rsid w:val="2DB41456"/>
    <w:rsid w:val="2DB806C6"/>
    <w:rsid w:val="2DB8419B"/>
    <w:rsid w:val="2DB925F5"/>
    <w:rsid w:val="2DBA18AB"/>
    <w:rsid w:val="2DBB0DA0"/>
    <w:rsid w:val="2DBC71E9"/>
    <w:rsid w:val="2DC378EB"/>
    <w:rsid w:val="2DC518B5"/>
    <w:rsid w:val="2DC53269"/>
    <w:rsid w:val="2DC6679F"/>
    <w:rsid w:val="2DCF003E"/>
    <w:rsid w:val="2DCF162E"/>
    <w:rsid w:val="2DCF214E"/>
    <w:rsid w:val="2DCF6290"/>
    <w:rsid w:val="2DD05577"/>
    <w:rsid w:val="2DD13DB6"/>
    <w:rsid w:val="2DD613CD"/>
    <w:rsid w:val="2DDA25AC"/>
    <w:rsid w:val="2DDC4D6E"/>
    <w:rsid w:val="2DDD4176"/>
    <w:rsid w:val="2DE018D9"/>
    <w:rsid w:val="2DE24215"/>
    <w:rsid w:val="2DE27D71"/>
    <w:rsid w:val="2DE44496"/>
    <w:rsid w:val="2DEF06E0"/>
    <w:rsid w:val="2DF83A39"/>
    <w:rsid w:val="2DF92249"/>
    <w:rsid w:val="2DFA155F"/>
    <w:rsid w:val="2DFB0E33"/>
    <w:rsid w:val="2DFC3ADD"/>
    <w:rsid w:val="2E0011C0"/>
    <w:rsid w:val="2E0221C2"/>
    <w:rsid w:val="2E0A211F"/>
    <w:rsid w:val="2E106174"/>
    <w:rsid w:val="2E112405"/>
    <w:rsid w:val="2E1169DA"/>
    <w:rsid w:val="2E127E84"/>
    <w:rsid w:val="2E171F3E"/>
    <w:rsid w:val="2E1D349F"/>
    <w:rsid w:val="2E23763B"/>
    <w:rsid w:val="2E24038A"/>
    <w:rsid w:val="2E25123C"/>
    <w:rsid w:val="2E266F24"/>
    <w:rsid w:val="2E2C505D"/>
    <w:rsid w:val="2E2E1209"/>
    <w:rsid w:val="2E3031D3"/>
    <w:rsid w:val="2E317F48"/>
    <w:rsid w:val="2E327F86"/>
    <w:rsid w:val="2E3330A5"/>
    <w:rsid w:val="2E3507E9"/>
    <w:rsid w:val="2E383E35"/>
    <w:rsid w:val="2E3905A4"/>
    <w:rsid w:val="2E3C3D01"/>
    <w:rsid w:val="2E3D31FA"/>
    <w:rsid w:val="2E3E70F8"/>
    <w:rsid w:val="2E3F3DC3"/>
    <w:rsid w:val="2E402CEA"/>
    <w:rsid w:val="2E424CB4"/>
    <w:rsid w:val="2E4272A0"/>
    <w:rsid w:val="2E456552"/>
    <w:rsid w:val="2E4C168F"/>
    <w:rsid w:val="2E5161D8"/>
    <w:rsid w:val="2E552C39"/>
    <w:rsid w:val="2E5D564A"/>
    <w:rsid w:val="2E5E24D1"/>
    <w:rsid w:val="2E6102A1"/>
    <w:rsid w:val="2E6466DA"/>
    <w:rsid w:val="2E6A6D7F"/>
    <w:rsid w:val="2E6C3ADF"/>
    <w:rsid w:val="2E6D6953"/>
    <w:rsid w:val="2E731311"/>
    <w:rsid w:val="2E783F54"/>
    <w:rsid w:val="2E7D3D65"/>
    <w:rsid w:val="2E7F3B7F"/>
    <w:rsid w:val="2E8345A7"/>
    <w:rsid w:val="2E905A1F"/>
    <w:rsid w:val="2E954DE4"/>
    <w:rsid w:val="2E960B5C"/>
    <w:rsid w:val="2E980D78"/>
    <w:rsid w:val="2E9E396B"/>
    <w:rsid w:val="2EAC4B33"/>
    <w:rsid w:val="2EB3183F"/>
    <w:rsid w:val="2EB37960"/>
    <w:rsid w:val="2EB55486"/>
    <w:rsid w:val="2EB72FAC"/>
    <w:rsid w:val="2EB77450"/>
    <w:rsid w:val="2EC102CF"/>
    <w:rsid w:val="2EC13E2B"/>
    <w:rsid w:val="2EC52083"/>
    <w:rsid w:val="2EC90FAC"/>
    <w:rsid w:val="2EC9779A"/>
    <w:rsid w:val="2ECC0940"/>
    <w:rsid w:val="2ECD15E4"/>
    <w:rsid w:val="2ED7364E"/>
    <w:rsid w:val="2EDB6DBC"/>
    <w:rsid w:val="2EE10029"/>
    <w:rsid w:val="2EE1150A"/>
    <w:rsid w:val="2EE910E5"/>
    <w:rsid w:val="2EEB0EA8"/>
    <w:rsid w:val="2EF2002C"/>
    <w:rsid w:val="2EF27CC1"/>
    <w:rsid w:val="2EF32A07"/>
    <w:rsid w:val="2EF35FAE"/>
    <w:rsid w:val="2EF370CA"/>
    <w:rsid w:val="2EF43E97"/>
    <w:rsid w:val="2EF7784D"/>
    <w:rsid w:val="2EF8151D"/>
    <w:rsid w:val="2EF87518"/>
    <w:rsid w:val="2EFC4E63"/>
    <w:rsid w:val="2EFC6463"/>
    <w:rsid w:val="2EFF0321"/>
    <w:rsid w:val="2F077E50"/>
    <w:rsid w:val="2F095BE2"/>
    <w:rsid w:val="2F0B154A"/>
    <w:rsid w:val="2F0F4084"/>
    <w:rsid w:val="2F10090E"/>
    <w:rsid w:val="2F104DB2"/>
    <w:rsid w:val="2F127DB7"/>
    <w:rsid w:val="2F1A46F9"/>
    <w:rsid w:val="2F1B031A"/>
    <w:rsid w:val="2F1C0570"/>
    <w:rsid w:val="2F1C6FCF"/>
    <w:rsid w:val="2F1E38A6"/>
    <w:rsid w:val="2F1E61D0"/>
    <w:rsid w:val="2F2820FC"/>
    <w:rsid w:val="2F2F348A"/>
    <w:rsid w:val="2F330266"/>
    <w:rsid w:val="2F3565C7"/>
    <w:rsid w:val="2F37233F"/>
    <w:rsid w:val="2F386F18"/>
    <w:rsid w:val="2F3E547B"/>
    <w:rsid w:val="2F42642C"/>
    <w:rsid w:val="2F440B68"/>
    <w:rsid w:val="2F477051"/>
    <w:rsid w:val="2F4800A8"/>
    <w:rsid w:val="2F48454C"/>
    <w:rsid w:val="2F4B1946"/>
    <w:rsid w:val="2F5051AF"/>
    <w:rsid w:val="2F5276D2"/>
    <w:rsid w:val="2F541250"/>
    <w:rsid w:val="2F634461"/>
    <w:rsid w:val="2F635B17"/>
    <w:rsid w:val="2F662205"/>
    <w:rsid w:val="2F6635EF"/>
    <w:rsid w:val="2F666780"/>
    <w:rsid w:val="2F676AFF"/>
    <w:rsid w:val="2F6810E2"/>
    <w:rsid w:val="2F682229"/>
    <w:rsid w:val="2F6A001E"/>
    <w:rsid w:val="2F6F2D6C"/>
    <w:rsid w:val="2F7215C9"/>
    <w:rsid w:val="2F724B63"/>
    <w:rsid w:val="2F762113"/>
    <w:rsid w:val="2F792957"/>
    <w:rsid w:val="2F7B4DDE"/>
    <w:rsid w:val="2F7B66D0"/>
    <w:rsid w:val="2F7F7AF7"/>
    <w:rsid w:val="2F813613"/>
    <w:rsid w:val="2F8D6403"/>
    <w:rsid w:val="2F911A4F"/>
    <w:rsid w:val="2F912594"/>
    <w:rsid w:val="2F942A1D"/>
    <w:rsid w:val="2F98296E"/>
    <w:rsid w:val="2F9C6646"/>
    <w:rsid w:val="2FA10FC4"/>
    <w:rsid w:val="2FA33530"/>
    <w:rsid w:val="2FA54BEE"/>
    <w:rsid w:val="2FA63021"/>
    <w:rsid w:val="2FA9721F"/>
    <w:rsid w:val="2FAD43AF"/>
    <w:rsid w:val="2FAD694E"/>
    <w:rsid w:val="2FAD7704"/>
    <w:rsid w:val="2FAF1ED5"/>
    <w:rsid w:val="2FB219C5"/>
    <w:rsid w:val="2FB4250F"/>
    <w:rsid w:val="2FB464E8"/>
    <w:rsid w:val="2FB860F8"/>
    <w:rsid w:val="2FBC2844"/>
    <w:rsid w:val="2FBE01D2"/>
    <w:rsid w:val="2FC71915"/>
    <w:rsid w:val="2FC76426"/>
    <w:rsid w:val="2FC93CB3"/>
    <w:rsid w:val="2FCC6F2B"/>
    <w:rsid w:val="2FCF2953"/>
    <w:rsid w:val="2FD0622F"/>
    <w:rsid w:val="2FD14541"/>
    <w:rsid w:val="2FD15EB9"/>
    <w:rsid w:val="2FD967C5"/>
    <w:rsid w:val="2FD96B30"/>
    <w:rsid w:val="2FDB2CCA"/>
    <w:rsid w:val="2FDB4D1E"/>
    <w:rsid w:val="2FDB53C0"/>
    <w:rsid w:val="2FDB7A76"/>
    <w:rsid w:val="2FE04DD6"/>
    <w:rsid w:val="2FE36023"/>
    <w:rsid w:val="2FE801F5"/>
    <w:rsid w:val="2FE970DD"/>
    <w:rsid w:val="2FEC4ED7"/>
    <w:rsid w:val="2FEF6701"/>
    <w:rsid w:val="2FF11D79"/>
    <w:rsid w:val="2FF124EE"/>
    <w:rsid w:val="2FF3270A"/>
    <w:rsid w:val="2FFA2F2D"/>
    <w:rsid w:val="30004E27"/>
    <w:rsid w:val="30032436"/>
    <w:rsid w:val="30034980"/>
    <w:rsid w:val="30055365"/>
    <w:rsid w:val="30076E8D"/>
    <w:rsid w:val="30080A0A"/>
    <w:rsid w:val="30090F18"/>
    <w:rsid w:val="300F0BC6"/>
    <w:rsid w:val="30110DE2"/>
    <w:rsid w:val="30117247"/>
    <w:rsid w:val="3014442E"/>
    <w:rsid w:val="30156AF1"/>
    <w:rsid w:val="30191A45"/>
    <w:rsid w:val="30196F7B"/>
    <w:rsid w:val="301A16BC"/>
    <w:rsid w:val="301A19EB"/>
    <w:rsid w:val="30224D9D"/>
    <w:rsid w:val="30226B4B"/>
    <w:rsid w:val="302503E9"/>
    <w:rsid w:val="302567CF"/>
    <w:rsid w:val="302B59D4"/>
    <w:rsid w:val="302F3016"/>
    <w:rsid w:val="30316D8E"/>
    <w:rsid w:val="303339A4"/>
    <w:rsid w:val="30360848"/>
    <w:rsid w:val="303D1BD7"/>
    <w:rsid w:val="30444D13"/>
    <w:rsid w:val="30495115"/>
    <w:rsid w:val="30497594"/>
    <w:rsid w:val="304B5DEC"/>
    <w:rsid w:val="304C3BC8"/>
    <w:rsid w:val="304C53A0"/>
    <w:rsid w:val="304D1074"/>
    <w:rsid w:val="304D122A"/>
    <w:rsid w:val="30560824"/>
    <w:rsid w:val="30566085"/>
    <w:rsid w:val="3056624A"/>
    <w:rsid w:val="305807BF"/>
    <w:rsid w:val="305B1720"/>
    <w:rsid w:val="305B79BA"/>
    <w:rsid w:val="305D1CF8"/>
    <w:rsid w:val="305E146C"/>
    <w:rsid w:val="305E17D7"/>
    <w:rsid w:val="305F1B4D"/>
    <w:rsid w:val="30600597"/>
    <w:rsid w:val="3062163D"/>
    <w:rsid w:val="306405FB"/>
    <w:rsid w:val="30647164"/>
    <w:rsid w:val="30662EDC"/>
    <w:rsid w:val="30695F2C"/>
    <w:rsid w:val="306C7DC6"/>
    <w:rsid w:val="306D3735"/>
    <w:rsid w:val="306D65D3"/>
    <w:rsid w:val="30711FD2"/>
    <w:rsid w:val="30717AD3"/>
    <w:rsid w:val="307551E0"/>
    <w:rsid w:val="307F5D4C"/>
    <w:rsid w:val="3082085A"/>
    <w:rsid w:val="308710A4"/>
    <w:rsid w:val="30882086"/>
    <w:rsid w:val="30896BCA"/>
    <w:rsid w:val="308B2942"/>
    <w:rsid w:val="308F70EA"/>
    <w:rsid w:val="30903378"/>
    <w:rsid w:val="309061AB"/>
    <w:rsid w:val="309335A5"/>
    <w:rsid w:val="309506C7"/>
    <w:rsid w:val="309537C1"/>
    <w:rsid w:val="309650EF"/>
    <w:rsid w:val="309733E0"/>
    <w:rsid w:val="30973596"/>
    <w:rsid w:val="30986AF1"/>
    <w:rsid w:val="309A5723"/>
    <w:rsid w:val="309B06AC"/>
    <w:rsid w:val="309D2676"/>
    <w:rsid w:val="309E5534"/>
    <w:rsid w:val="30A04ED9"/>
    <w:rsid w:val="30A734F4"/>
    <w:rsid w:val="30A9101A"/>
    <w:rsid w:val="30B26121"/>
    <w:rsid w:val="30B30F92"/>
    <w:rsid w:val="30B5176D"/>
    <w:rsid w:val="30B62D43"/>
    <w:rsid w:val="30B67293"/>
    <w:rsid w:val="30B73737"/>
    <w:rsid w:val="30B94490"/>
    <w:rsid w:val="30C05066"/>
    <w:rsid w:val="30C3032E"/>
    <w:rsid w:val="30C35DBF"/>
    <w:rsid w:val="30C37408"/>
    <w:rsid w:val="30C558E1"/>
    <w:rsid w:val="30C714A1"/>
    <w:rsid w:val="30CC7F0C"/>
    <w:rsid w:val="30CD6E71"/>
    <w:rsid w:val="30CF5686"/>
    <w:rsid w:val="30D00355"/>
    <w:rsid w:val="30D14C7E"/>
    <w:rsid w:val="30D14FE9"/>
    <w:rsid w:val="30D2423D"/>
    <w:rsid w:val="30D45596"/>
    <w:rsid w:val="30D77936"/>
    <w:rsid w:val="30D84E82"/>
    <w:rsid w:val="30D8545C"/>
    <w:rsid w:val="30DB023F"/>
    <w:rsid w:val="30DC3D95"/>
    <w:rsid w:val="30E24E48"/>
    <w:rsid w:val="30E27C07"/>
    <w:rsid w:val="30ED0422"/>
    <w:rsid w:val="30ED7159"/>
    <w:rsid w:val="30EE0170"/>
    <w:rsid w:val="30EF1DD1"/>
    <w:rsid w:val="30EF7582"/>
    <w:rsid w:val="30F30B8C"/>
    <w:rsid w:val="30F42A4E"/>
    <w:rsid w:val="30F47A1B"/>
    <w:rsid w:val="30F60C4E"/>
    <w:rsid w:val="30F8356E"/>
    <w:rsid w:val="30FA1876"/>
    <w:rsid w:val="30FC51C2"/>
    <w:rsid w:val="30FF3436"/>
    <w:rsid w:val="30FF6E8C"/>
    <w:rsid w:val="31010E56"/>
    <w:rsid w:val="3103590F"/>
    <w:rsid w:val="31040250"/>
    <w:rsid w:val="310444A3"/>
    <w:rsid w:val="31067C7A"/>
    <w:rsid w:val="310705C1"/>
    <w:rsid w:val="310C55BA"/>
    <w:rsid w:val="310D1280"/>
    <w:rsid w:val="310D77FB"/>
    <w:rsid w:val="3112096E"/>
    <w:rsid w:val="31130176"/>
    <w:rsid w:val="311346E6"/>
    <w:rsid w:val="31155262"/>
    <w:rsid w:val="31182B58"/>
    <w:rsid w:val="31184B1D"/>
    <w:rsid w:val="31191065"/>
    <w:rsid w:val="311966AF"/>
    <w:rsid w:val="311A098E"/>
    <w:rsid w:val="311F22C5"/>
    <w:rsid w:val="31202E64"/>
    <w:rsid w:val="31235140"/>
    <w:rsid w:val="31237440"/>
    <w:rsid w:val="312427F1"/>
    <w:rsid w:val="31253A1B"/>
    <w:rsid w:val="31273F18"/>
    <w:rsid w:val="3128316B"/>
    <w:rsid w:val="3128368C"/>
    <w:rsid w:val="3129272A"/>
    <w:rsid w:val="312B7C81"/>
    <w:rsid w:val="313047F3"/>
    <w:rsid w:val="31336B36"/>
    <w:rsid w:val="31342FDA"/>
    <w:rsid w:val="31374D51"/>
    <w:rsid w:val="31444CA9"/>
    <w:rsid w:val="31462D0D"/>
    <w:rsid w:val="31496359"/>
    <w:rsid w:val="314D44A4"/>
    <w:rsid w:val="314F06D5"/>
    <w:rsid w:val="3150593A"/>
    <w:rsid w:val="31506ACE"/>
    <w:rsid w:val="31517816"/>
    <w:rsid w:val="31531589"/>
    <w:rsid w:val="31536C8D"/>
    <w:rsid w:val="315647AA"/>
    <w:rsid w:val="31596C31"/>
    <w:rsid w:val="31615451"/>
    <w:rsid w:val="31625295"/>
    <w:rsid w:val="31642CFA"/>
    <w:rsid w:val="31642EB0"/>
    <w:rsid w:val="316450AF"/>
    <w:rsid w:val="31671DFB"/>
    <w:rsid w:val="31687D65"/>
    <w:rsid w:val="31727460"/>
    <w:rsid w:val="31736C24"/>
    <w:rsid w:val="31745184"/>
    <w:rsid w:val="31794017"/>
    <w:rsid w:val="317B29B7"/>
    <w:rsid w:val="317D34FD"/>
    <w:rsid w:val="317F3B29"/>
    <w:rsid w:val="31800F82"/>
    <w:rsid w:val="318123B0"/>
    <w:rsid w:val="31845310"/>
    <w:rsid w:val="31857392"/>
    <w:rsid w:val="319453D7"/>
    <w:rsid w:val="319A0963"/>
    <w:rsid w:val="319E3BAC"/>
    <w:rsid w:val="319F661C"/>
    <w:rsid w:val="31A3421B"/>
    <w:rsid w:val="31A70526"/>
    <w:rsid w:val="31A83080"/>
    <w:rsid w:val="31AA0C3A"/>
    <w:rsid w:val="31AB491E"/>
    <w:rsid w:val="31AC6F2B"/>
    <w:rsid w:val="31AC7296"/>
    <w:rsid w:val="31AD4AD2"/>
    <w:rsid w:val="31B05D49"/>
    <w:rsid w:val="31B20664"/>
    <w:rsid w:val="31B45EC9"/>
    <w:rsid w:val="31B55D6F"/>
    <w:rsid w:val="31B61C41"/>
    <w:rsid w:val="31BC4D7D"/>
    <w:rsid w:val="31BE6C8E"/>
    <w:rsid w:val="31C23486"/>
    <w:rsid w:val="31C418C9"/>
    <w:rsid w:val="31C61758"/>
    <w:rsid w:val="31C81974"/>
    <w:rsid w:val="31CA1248"/>
    <w:rsid w:val="31CA749A"/>
    <w:rsid w:val="31CB005B"/>
    <w:rsid w:val="31CD2AE7"/>
    <w:rsid w:val="31CF2D03"/>
    <w:rsid w:val="31D25E0E"/>
    <w:rsid w:val="31D439FD"/>
    <w:rsid w:val="31D9592F"/>
    <w:rsid w:val="31DE4CF4"/>
    <w:rsid w:val="31E24A78"/>
    <w:rsid w:val="31EA3699"/>
    <w:rsid w:val="31ED3189"/>
    <w:rsid w:val="31F2079F"/>
    <w:rsid w:val="31F43311"/>
    <w:rsid w:val="31F664E1"/>
    <w:rsid w:val="31FC517A"/>
    <w:rsid w:val="32011F47"/>
    <w:rsid w:val="3201313F"/>
    <w:rsid w:val="320B75AF"/>
    <w:rsid w:val="320F75A3"/>
    <w:rsid w:val="32171FB4"/>
    <w:rsid w:val="321C75CA"/>
    <w:rsid w:val="321F1B41"/>
    <w:rsid w:val="321F28F3"/>
    <w:rsid w:val="3220654C"/>
    <w:rsid w:val="32227B13"/>
    <w:rsid w:val="32231A2F"/>
    <w:rsid w:val="3224240A"/>
    <w:rsid w:val="32252FA8"/>
    <w:rsid w:val="32263B47"/>
    <w:rsid w:val="322E50D0"/>
    <w:rsid w:val="322F3A97"/>
    <w:rsid w:val="322F554F"/>
    <w:rsid w:val="322F72FD"/>
    <w:rsid w:val="32384404"/>
    <w:rsid w:val="323B5CA2"/>
    <w:rsid w:val="323C02EE"/>
    <w:rsid w:val="323C7C18"/>
    <w:rsid w:val="323D7021"/>
    <w:rsid w:val="323E39E4"/>
    <w:rsid w:val="3240150B"/>
    <w:rsid w:val="324234D5"/>
    <w:rsid w:val="32432DA9"/>
    <w:rsid w:val="324A4137"/>
    <w:rsid w:val="324B5082"/>
    <w:rsid w:val="324C0A51"/>
    <w:rsid w:val="324F1C81"/>
    <w:rsid w:val="324F5917"/>
    <w:rsid w:val="325112E4"/>
    <w:rsid w:val="32513C22"/>
    <w:rsid w:val="32546D64"/>
    <w:rsid w:val="32577A94"/>
    <w:rsid w:val="32580822"/>
    <w:rsid w:val="325A081E"/>
    <w:rsid w:val="325B2EC3"/>
    <w:rsid w:val="325C3995"/>
    <w:rsid w:val="325F16EF"/>
    <w:rsid w:val="32601BAD"/>
    <w:rsid w:val="3264344B"/>
    <w:rsid w:val="326571C3"/>
    <w:rsid w:val="326649B8"/>
    <w:rsid w:val="326A2A2B"/>
    <w:rsid w:val="326C67A3"/>
    <w:rsid w:val="326E7E26"/>
    <w:rsid w:val="327229FD"/>
    <w:rsid w:val="32780CA4"/>
    <w:rsid w:val="32785148"/>
    <w:rsid w:val="327D62BB"/>
    <w:rsid w:val="327E2C3F"/>
    <w:rsid w:val="327F3D57"/>
    <w:rsid w:val="327F64D7"/>
    <w:rsid w:val="3284589B"/>
    <w:rsid w:val="32894C60"/>
    <w:rsid w:val="328A6C2A"/>
    <w:rsid w:val="328E083B"/>
    <w:rsid w:val="328E0A0B"/>
    <w:rsid w:val="329077EA"/>
    <w:rsid w:val="32911D66"/>
    <w:rsid w:val="32935ADE"/>
    <w:rsid w:val="32997C61"/>
    <w:rsid w:val="32A01FA9"/>
    <w:rsid w:val="32A25D21"/>
    <w:rsid w:val="32A334CA"/>
    <w:rsid w:val="32A54D0E"/>
    <w:rsid w:val="32A61CB5"/>
    <w:rsid w:val="32A74A1C"/>
    <w:rsid w:val="32A93554"/>
    <w:rsid w:val="32AC6A32"/>
    <w:rsid w:val="32AD20EC"/>
    <w:rsid w:val="32AD727A"/>
    <w:rsid w:val="32B00D43"/>
    <w:rsid w:val="32B1171B"/>
    <w:rsid w:val="32B2096E"/>
    <w:rsid w:val="32BA306B"/>
    <w:rsid w:val="32BA750F"/>
    <w:rsid w:val="32BF493A"/>
    <w:rsid w:val="32BF4EB1"/>
    <w:rsid w:val="32C453D4"/>
    <w:rsid w:val="32CA2987"/>
    <w:rsid w:val="32CE6B16"/>
    <w:rsid w:val="32D81743"/>
    <w:rsid w:val="32D85BE7"/>
    <w:rsid w:val="32DB1233"/>
    <w:rsid w:val="32E427DE"/>
    <w:rsid w:val="32EA3BB0"/>
    <w:rsid w:val="32EB1476"/>
    <w:rsid w:val="32EC23C2"/>
    <w:rsid w:val="32EC51EE"/>
    <w:rsid w:val="32ED1692"/>
    <w:rsid w:val="32EE0F67"/>
    <w:rsid w:val="32F66AEE"/>
    <w:rsid w:val="32F66DD2"/>
    <w:rsid w:val="32F96C6C"/>
    <w:rsid w:val="32FA2ADB"/>
    <w:rsid w:val="32FA5275"/>
    <w:rsid w:val="32FA6605"/>
    <w:rsid w:val="32FE2E9B"/>
    <w:rsid w:val="33016EEC"/>
    <w:rsid w:val="3307101E"/>
    <w:rsid w:val="330B6514"/>
    <w:rsid w:val="331009D2"/>
    <w:rsid w:val="33122EA7"/>
    <w:rsid w:val="33152CAC"/>
    <w:rsid w:val="331704BD"/>
    <w:rsid w:val="33171DC5"/>
    <w:rsid w:val="33174961"/>
    <w:rsid w:val="331754E6"/>
    <w:rsid w:val="33180A41"/>
    <w:rsid w:val="331A61FF"/>
    <w:rsid w:val="331F2C8E"/>
    <w:rsid w:val="331F3816"/>
    <w:rsid w:val="331F55C4"/>
    <w:rsid w:val="332143CC"/>
    <w:rsid w:val="33240E2C"/>
    <w:rsid w:val="332826CA"/>
    <w:rsid w:val="332A30ED"/>
    <w:rsid w:val="332D1A72"/>
    <w:rsid w:val="33332E1D"/>
    <w:rsid w:val="33337A76"/>
    <w:rsid w:val="33346CC9"/>
    <w:rsid w:val="33346D74"/>
    <w:rsid w:val="33346E7E"/>
    <w:rsid w:val="33386686"/>
    <w:rsid w:val="333C7F24"/>
    <w:rsid w:val="333E7B8B"/>
    <w:rsid w:val="334039A9"/>
    <w:rsid w:val="334212F0"/>
    <w:rsid w:val="33437504"/>
    <w:rsid w:val="3344327C"/>
    <w:rsid w:val="334453A4"/>
    <w:rsid w:val="33460DA3"/>
    <w:rsid w:val="33471AFC"/>
    <w:rsid w:val="33484B1B"/>
    <w:rsid w:val="334943EF"/>
    <w:rsid w:val="33517CAD"/>
    <w:rsid w:val="3352264A"/>
    <w:rsid w:val="33541F89"/>
    <w:rsid w:val="33543543"/>
    <w:rsid w:val="335477EE"/>
    <w:rsid w:val="33582884"/>
    <w:rsid w:val="33590AD6"/>
    <w:rsid w:val="335975FF"/>
    <w:rsid w:val="335A2AA0"/>
    <w:rsid w:val="335B52B0"/>
    <w:rsid w:val="335F1E64"/>
    <w:rsid w:val="33612838"/>
    <w:rsid w:val="33631954"/>
    <w:rsid w:val="33666E2C"/>
    <w:rsid w:val="336A0800"/>
    <w:rsid w:val="336B0809"/>
    <w:rsid w:val="336B305B"/>
    <w:rsid w:val="336B55D3"/>
    <w:rsid w:val="336D0C3D"/>
    <w:rsid w:val="336D4581"/>
    <w:rsid w:val="336D632F"/>
    <w:rsid w:val="336E20A7"/>
    <w:rsid w:val="3370150D"/>
    <w:rsid w:val="33741567"/>
    <w:rsid w:val="33775400"/>
    <w:rsid w:val="33787717"/>
    <w:rsid w:val="337D1F97"/>
    <w:rsid w:val="337D69FA"/>
    <w:rsid w:val="337D7CD6"/>
    <w:rsid w:val="337E1540"/>
    <w:rsid w:val="338B0EAB"/>
    <w:rsid w:val="338B2C59"/>
    <w:rsid w:val="338D4AEA"/>
    <w:rsid w:val="33945FB2"/>
    <w:rsid w:val="33957634"/>
    <w:rsid w:val="339733AC"/>
    <w:rsid w:val="339E40FC"/>
    <w:rsid w:val="33A1422B"/>
    <w:rsid w:val="33A15FD9"/>
    <w:rsid w:val="33A238CF"/>
    <w:rsid w:val="33A342A9"/>
    <w:rsid w:val="33A66585"/>
    <w:rsid w:val="33A818E4"/>
    <w:rsid w:val="33AB6E58"/>
    <w:rsid w:val="33AC6C40"/>
    <w:rsid w:val="33B1023A"/>
    <w:rsid w:val="33B201E6"/>
    <w:rsid w:val="33B271F9"/>
    <w:rsid w:val="33B559E7"/>
    <w:rsid w:val="33B82568"/>
    <w:rsid w:val="33B828D3"/>
    <w:rsid w:val="33B93FC7"/>
    <w:rsid w:val="33BB353F"/>
    <w:rsid w:val="33BE01F6"/>
    <w:rsid w:val="33BF47A0"/>
    <w:rsid w:val="33C341A1"/>
    <w:rsid w:val="33C35610"/>
    <w:rsid w:val="33C46A54"/>
    <w:rsid w:val="33C61EE3"/>
    <w:rsid w:val="33C6599E"/>
    <w:rsid w:val="33C70135"/>
    <w:rsid w:val="33D07DE5"/>
    <w:rsid w:val="33D148B1"/>
    <w:rsid w:val="33D31231"/>
    <w:rsid w:val="33D4063A"/>
    <w:rsid w:val="33D60378"/>
    <w:rsid w:val="33D64760"/>
    <w:rsid w:val="33D72ED5"/>
    <w:rsid w:val="33D91C17"/>
    <w:rsid w:val="33D94AF6"/>
    <w:rsid w:val="33DC34B5"/>
    <w:rsid w:val="33DD1D36"/>
    <w:rsid w:val="33E00D4C"/>
    <w:rsid w:val="33EF3CBB"/>
    <w:rsid w:val="33F16F60"/>
    <w:rsid w:val="33F23E05"/>
    <w:rsid w:val="33F80FD8"/>
    <w:rsid w:val="33F86541"/>
    <w:rsid w:val="33FE1A44"/>
    <w:rsid w:val="34016560"/>
    <w:rsid w:val="3402116D"/>
    <w:rsid w:val="340439BA"/>
    <w:rsid w:val="34050F42"/>
    <w:rsid w:val="340A0022"/>
    <w:rsid w:val="340B09AD"/>
    <w:rsid w:val="340B52BB"/>
    <w:rsid w:val="340D18C0"/>
    <w:rsid w:val="340D2243"/>
    <w:rsid w:val="341151CD"/>
    <w:rsid w:val="341552BE"/>
    <w:rsid w:val="341669C7"/>
    <w:rsid w:val="34192013"/>
    <w:rsid w:val="341964B7"/>
    <w:rsid w:val="341E587B"/>
    <w:rsid w:val="341E6D68"/>
    <w:rsid w:val="342015F4"/>
    <w:rsid w:val="342235BE"/>
    <w:rsid w:val="342A6E92"/>
    <w:rsid w:val="342B5D7A"/>
    <w:rsid w:val="342D5ABF"/>
    <w:rsid w:val="342E2BA6"/>
    <w:rsid w:val="342F41AF"/>
    <w:rsid w:val="34362BC5"/>
    <w:rsid w:val="3439166F"/>
    <w:rsid w:val="343B79A2"/>
    <w:rsid w:val="343C4C08"/>
    <w:rsid w:val="343C5323"/>
    <w:rsid w:val="343D64AC"/>
    <w:rsid w:val="34443F98"/>
    <w:rsid w:val="34497D1E"/>
    <w:rsid w:val="345474EF"/>
    <w:rsid w:val="34574FF0"/>
    <w:rsid w:val="345968B4"/>
    <w:rsid w:val="345D3A8E"/>
    <w:rsid w:val="345E14F5"/>
    <w:rsid w:val="346314E0"/>
    <w:rsid w:val="34640A9B"/>
    <w:rsid w:val="346534AA"/>
    <w:rsid w:val="3466686B"/>
    <w:rsid w:val="346672AD"/>
    <w:rsid w:val="34684D49"/>
    <w:rsid w:val="346E2270"/>
    <w:rsid w:val="34703364"/>
    <w:rsid w:val="34733E4C"/>
    <w:rsid w:val="347656B7"/>
    <w:rsid w:val="34767465"/>
    <w:rsid w:val="347E456C"/>
    <w:rsid w:val="348025C6"/>
    <w:rsid w:val="34815534"/>
    <w:rsid w:val="34823EFC"/>
    <w:rsid w:val="34831B82"/>
    <w:rsid w:val="34833930"/>
    <w:rsid w:val="34842C2E"/>
    <w:rsid w:val="34853B4C"/>
    <w:rsid w:val="348576A9"/>
    <w:rsid w:val="34862EBD"/>
    <w:rsid w:val="348A4CBF"/>
    <w:rsid w:val="348C0A37"/>
    <w:rsid w:val="348E0C53"/>
    <w:rsid w:val="348E2A01"/>
    <w:rsid w:val="348F0527"/>
    <w:rsid w:val="348F22D5"/>
    <w:rsid w:val="348F47A2"/>
    <w:rsid w:val="34916002"/>
    <w:rsid w:val="34930017"/>
    <w:rsid w:val="34942DA3"/>
    <w:rsid w:val="34961C1B"/>
    <w:rsid w:val="34967B08"/>
    <w:rsid w:val="349B7A4D"/>
    <w:rsid w:val="349D7F69"/>
    <w:rsid w:val="34A67DE5"/>
    <w:rsid w:val="34A94F8C"/>
    <w:rsid w:val="34A9783B"/>
    <w:rsid w:val="34AA148B"/>
    <w:rsid w:val="34AA5361"/>
    <w:rsid w:val="34AE2E07"/>
    <w:rsid w:val="34AE3328"/>
    <w:rsid w:val="34AF1984"/>
    <w:rsid w:val="34B00BC9"/>
    <w:rsid w:val="34B34216"/>
    <w:rsid w:val="34B61F58"/>
    <w:rsid w:val="34B65AB4"/>
    <w:rsid w:val="34BA1192"/>
    <w:rsid w:val="34BB756E"/>
    <w:rsid w:val="34C067F4"/>
    <w:rsid w:val="34C06933"/>
    <w:rsid w:val="34C226AB"/>
    <w:rsid w:val="34C24459"/>
    <w:rsid w:val="34C71A6F"/>
    <w:rsid w:val="34C75C2A"/>
    <w:rsid w:val="34C957E7"/>
    <w:rsid w:val="34CA155F"/>
    <w:rsid w:val="34D06958"/>
    <w:rsid w:val="34D13DAF"/>
    <w:rsid w:val="34D32B0A"/>
    <w:rsid w:val="34D50630"/>
    <w:rsid w:val="34D53D03"/>
    <w:rsid w:val="34D643A8"/>
    <w:rsid w:val="34D90058"/>
    <w:rsid w:val="34DB7462"/>
    <w:rsid w:val="34DE1BBE"/>
    <w:rsid w:val="34DF21B5"/>
    <w:rsid w:val="34DF325D"/>
    <w:rsid w:val="34E72409"/>
    <w:rsid w:val="34E73EBF"/>
    <w:rsid w:val="34E75607"/>
    <w:rsid w:val="34E93AAE"/>
    <w:rsid w:val="34E97A94"/>
    <w:rsid w:val="34EB1C02"/>
    <w:rsid w:val="34F565DC"/>
    <w:rsid w:val="34F65359"/>
    <w:rsid w:val="34F715C7"/>
    <w:rsid w:val="34F765F6"/>
    <w:rsid w:val="34F767F8"/>
    <w:rsid w:val="34F85693"/>
    <w:rsid w:val="35011425"/>
    <w:rsid w:val="350157B8"/>
    <w:rsid w:val="35017DFA"/>
    <w:rsid w:val="35040F15"/>
    <w:rsid w:val="35041B80"/>
    <w:rsid w:val="35092088"/>
    <w:rsid w:val="350B5E00"/>
    <w:rsid w:val="350C4C0E"/>
    <w:rsid w:val="350D3465"/>
    <w:rsid w:val="350D601C"/>
    <w:rsid w:val="35101668"/>
    <w:rsid w:val="35142D24"/>
    <w:rsid w:val="35181CC2"/>
    <w:rsid w:val="351849C1"/>
    <w:rsid w:val="351A5A93"/>
    <w:rsid w:val="351C000D"/>
    <w:rsid w:val="351C03B3"/>
    <w:rsid w:val="351D3D85"/>
    <w:rsid w:val="35200D3E"/>
    <w:rsid w:val="35213875"/>
    <w:rsid w:val="352549E8"/>
    <w:rsid w:val="352D49E0"/>
    <w:rsid w:val="3531646A"/>
    <w:rsid w:val="35321DFC"/>
    <w:rsid w:val="35353D4F"/>
    <w:rsid w:val="35354E6B"/>
    <w:rsid w:val="353A75A4"/>
    <w:rsid w:val="353A7E23"/>
    <w:rsid w:val="353C16BC"/>
    <w:rsid w:val="353C245D"/>
    <w:rsid w:val="353C420B"/>
    <w:rsid w:val="353C78A5"/>
    <w:rsid w:val="353E374D"/>
    <w:rsid w:val="353F2671"/>
    <w:rsid w:val="353F29DC"/>
    <w:rsid w:val="35411821"/>
    <w:rsid w:val="354237EC"/>
    <w:rsid w:val="3542559A"/>
    <w:rsid w:val="354258EB"/>
    <w:rsid w:val="35447564"/>
    <w:rsid w:val="354A743D"/>
    <w:rsid w:val="354C51AA"/>
    <w:rsid w:val="354D13D9"/>
    <w:rsid w:val="354E3F3E"/>
    <w:rsid w:val="35501F4F"/>
    <w:rsid w:val="35505F08"/>
    <w:rsid w:val="35523A2F"/>
    <w:rsid w:val="35527ED3"/>
    <w:rsid w:val="35586B6B"/>
    <w:rsid w:val="3559714F"/>
    <w:rsid w:val="355B0222"/>
    <w:rsid w:val="355E0166"/>
    <w:rsid w:val="356261C8"/>
    <w:rsid w:val="35657300"/>
    <w:rsid w:val="35676663"/>
    <w:rsid w:val="356A24DE"/>
    <w:rsid w:val="356B105B"/>
    <w:rsid w:val="356B13C7"/>
    <w:rsid w:val="35702107"/>
    <w:rsid w:val="3575596F"/>
    <w:rsid w:val="3575700C"/>
    <w:rsid w:val="35775243"/>
    <w:rsid w:val="35781319"/>
    <w:rsid w:val="357C4F4F"/>
    <w:rsid w:val="357E49F8"/>
    <w:rsid w:val="357F234A"/>
    <w:rsid w:val="35805146"/>
    <w:rsid w:val="35826177"/>
    <w:rsid w:val="358414BF"/>
    <w:rsid w:val="35843E04"/>
    <w:rsid w:val="35867372"/>
    <w:rsid w:val="358838F4"/>
    <w:rsid w:val="358B5193"/>
    <w:rsid w:val="358E50EB"/>
    <w:rsid w:val="35904407"/>
    <w:rsid w:val="35917F75"/>
    <w:rsid w:val="35973B37"/>
    <w:rsid w:val="35984814"/>
    <w:rsid w:val="35992A45"/>
    <w:rsid w:val="359A3628"/>
    <w:rsid w:val="359B692C"/>
    <w:rsid w:val="359C73A0"/>
    <w:rsid w:val="359E0B1E"/>
    <w:rsid w:val="35A40002"/>
    <w:rsid w:val="35A53D8B"/>
    <w:rsid w:val="35A60666"/>
    <w:rsid w:val="35A60A0F"/>
    <w:rsid w:val="35A6206D"/>
    <w:rsid w:val="35A87D41"/>
    <w:rsid w:val="35AB1391"/>
    <w:rsid w:val="35AB313F"/>
    <w:rsid w:val="35AF70D3"/>
    <w:rsid w:val="35AF7A0E"/>
    <w:rsid w:val="35B171E8"/>
    <w:rsid w:val="35B53A9E"/>
    <w:rsid w:val="35B96959"/>
    <w:rsid w:val="35BC676C"/>
    <w:rsid w:val="35BE10C4"/>
    <w:rsid w:val="35C1560D"/>
    <w:rsid w:val="35C24D8B"/>
    <w:rsid w:val="35C506A4"/>
    <w:rsid w:val="35C773D6"/>
    <w:rsid w:val="35CB00B2"/>
    <w:rsid w:val="35D02091"/>
    <w:rsid w:val="35D421BC"/>
    <w:rsid w:val="35D9481E"/>
    <w:rsid w:val="35DC779C"/>
    <w:rsid w:val="35DD75FE"/>
    <w:rsid w:val="35DF486E"/>
    <w:rsid w:val="35EC62CF"/>
    <w:rsid w:val="35EF4EA0"/>
    <w:rsid w:val="35F03248"/>
    <w:rsid w:val="35F1149A"/>
    <w:rsid w:val="35FA7B2F"/>
    <w:rsid w:val="35FC399A"/>
    <w:rsid w:val="35FC5E78"/>
    <w:rsid w:val="35FD74A4"/>
    <w:rsid w:val="35FE5964"/>
    <w:rsid w:val="3609784F"/>
    <w:rsid w:val="360B29CC"/>
    <w:rsid w:val="360C5B09"/>
    <w:rsid w:val="36101D50"/>
    <w:rsid w:val="36106772"/>
    <w:rsid w:val="36145E52"/>
    <w:rsid w:val="361816F3"/>
    <w:rsid w:val="361C228F"/>
    <w:rsid w:val="361D69CE"/>
    <w:rsid w:val="362242C4"/>
    <w:rsid w:val="36252EF1"/>
    <w:rsid w:val="36266C69"/>
    <w:rsid w:val="3627310D"/>
    <w:rsid w:val="36274EBB"/>
    <w:rsid w:val="36296503"/>
    <w:rsid w:val="36297806"/>
    <w:rsid w:val="36297C02"/>
    <w:rsid w:val="362A49AB"/>
    <w:rsid w:val="362F1FC2"/>
    <w:rsid w:val="362F5B1E"/>
    <w:rsid w:val="363624CF"/>
    <w:rsid w:val="363A0B87"/>
    <w:rsid w:val="36413AA3"/>
    <w:rsid w:val="364211EB"/>
    <w:rsid w:val="364233FE"/>
    <w:rsid w:val="3643781B"/>
    <w:rsid w:val="364540B4"/>
    <w:rsid w:val="36496DE4"/>
    <w:rsid w:val="364F7F6E"/>
    <w:rsid w:val="36523E9B"/>
    <w:rsid w:val="36536868"/>
    <w:rsid w:val="365417B6"/>
    <w:rsid w:val="3656347A"/>
    <w:rsid w:val="365657A0"/>
    <w:rsid w:val="36575075"/>
    <w:rsid w:val="36595D91"/>
    <w:rsid w:val="365B7C60"/>
    <w:rsid w:val="365F32F3"/>
    <w:rsid w:val="36603F29"/>
    <w:rsid w:val="36614CED"/>
    <w:rsid w:val="36620F7B"/>
    <w:rsid w:val="36637BEB"/>
    <w:rsid w:val="36637EBD"/>
    <w:rsid w:val="36647880"/>
    <w:rsid w:val="36687AF9"/>
    <w:rsid w:val="366D6646"/>
    <w:rsid w:val="36716136"/>
    <w:rsid w:val="367217D1"/>
    <w:rsid w:val="3672205D"/>
    <w:rsid w:val="367308B1"/>
    <w:rsid w:val="36737340"/>
    <w:rsid w:val="3676199F"/>
    <w:rsid w:val="36785717"/>
    <w:rsid w:val="3679323D"/>
    <w:rsid w:val="367E6AA5"/>
    <w:rsid w:val="36820344"/>
    <w:rsid w:val="3684230E"/>
    <w:rsid w:val="36851BE2"/>
    <w:rsid w:val="36853C27"/>
    <w:rsid w:val="368715BB"/>
    <w:rsid w:val="3689036D"/>
    <w:rsid w:val="368A71F8"/>
    <w:rsid w:val="368C0490"/>
    <w:rsid w:val="368C11C2"/>
    <w:rsid w:val="36921BF0"/>
    <w:rsid w:val="369577EC"/>
    <w:rsid w:val="36962041"/>
    <w:rsid w:val="369B729A"/>
    <w:rsid w:val="369C290D"/>
    <w:rsid w:val="369D111E"/>
    <w:rsid w:val="369E0EF6"/>
    <w:rsid w:val="36A03EDF"/>
    <w:rsid w:val="36A4475E"/>
    <w:rsid w:val="36A52284"/>
    <w:rsid w:val="36A75FFC"/>
    <w:rsid w:val="36AA1648"/>
    <w:rsid w:val="36AA5AEC"/>
    <w:rsid w:val="36B5678E"/>
    <w:rsid w:val="36BD2E07"/>
    <w:rsid w:val="36BD7829"/>
    <w:rsid w:val="36C36E1E"/>
    <w:rsid w:val="36C97CBE"/>
    <w:rsid w:val="36CA3A99"/>
    <w:rsid w:val="36CA5204"/>
    <w:rsid w:val="36CC7A24"/>
    <w:rsid w:val="36CF7871"/>
    <w:rsid w:val="36D059B8"/>
    <w:rsid w:val="36D06BE7"/>
    <w:rsid w:val="36D32885"/>
    <w:rsid w:val="36D735B3"/>
    <w:rsid w:val="36DE7DDF"/>
    <w:rsid w:val="36DF7544"/>
    <w:rsid w:val="36E508D2"/>
    <w:rsid w:val="36E61B67"/>
    <w:rsid w:val="36E7289C"/>
    <w:rsid w:val="36E737AD"/>
    <w:rsid w:val="36E74081"/>
    <w:rsid w:val="36E814C1"/>
    <w:rsid w:val="36E83F1F"/>
    <w:rsid w:val="36E8434B"/>
    <w:rsid w:val="36E947F8"/>
    <w:rsid w:val="36EB413B"/>
    <w:rsid w:val="36EC7EB3"/>
    <w:rsid w:val="36F002B9"/>
    <w:rsid w:val="36F079A3"/>
    <w:rsid w:val="36FA25D0"/>
    <w:rsid w:val="36FD5C1C"/>
    <w:rsid w:val="36FD79CA"/>
    <w:rsid w:val="37006181"/>
    <w:rsid w:val="37031A7D"/>
    <w:rsid w:val="37054AD1"/>
    <w:rsid w:val="37070849"/>
    <w:rsid w:val="370A3F6E"/>
    <w:rsid w:val="370B658B"/>
    <w:rsid w:val="370E7E29"/>
    <w:rsid w:val="37117DF6"/>
    <w:rsid w:val="37132821"/>
    <w:rsid w:val="37166CDE"/>
    <w:rsid w:val="3718735B"/>
    <w:rsid w:val="371A26C2"/>
    <w:rsid w:val="371C0798"/>
    <w:rsid w:val="371D62BE"/>
    <w:rsid w:val="37206A37"/>
    <w:rsid w:val="37225683"/>
    <w:rsid w:val="372633C5"/>
    <w:rsid w:val="37265173"/>
    <w:rsid w:val="37270EEB"/>
    <w:rsid w:val="37272367"/>
    <w:rsid w:val="372A05A6"/>
    <w:rsid w:val="372C6F3C"/>
    <w:rsid w:val="372E04CB"/>
    <w:rsid w:val="372E2279"/>
    <w:rsid w:val="3733163E"/>
    <w:rsid w:val="37335AE2"/>
    <w:rsid w:val="37347BBE"/>
    <w:rsid w:val="373B4954"/>
    <w:rsid w:val="373C1EC0"/>
    <w:rsid w:val="373D2DFA"/>
    <w:rsid w:val="373F22F5"/>
    <w:rsid w:val="374415A9"/>
    <w:rsid w:val="37444CB6"/>
    <w:rsid w:val="37447D6D"/>
    <w:rsid w:val="3747231F"/>
    <w:rsid w:val="37490E61"/>
    <w:rsid w:val="374A2785"/>
    <w:rsid w:val="374F2AF7"/>
    <w:rsid w:val="37537F32"/>
    <w:rsid w:val="3757357E"/>
    <w:rsid w:val="37590B61"/>
    <w:rsid w:val="375A12C0"/>
    <w:rsid w:val="375B08FF"/>
    <w:rsid w:val="375D116C"/>
    <w:rsid w:val="375D66BB"/>
    <w:rsid w:val="375D7338"/>
    <w:rsid w:val="3764646E"/>
    <w:rsid w:val="3769162F"/>
    <w:rsid w:val="376C6B36"/>
    <w:rsid w:val="376F1E40"/>
    <w:rsid w:val="37712166"/>
    <w:rsid w:val="3772655E"/>
    <w:rsid w:val="3773031F"/>
    <w:rsid w:val="37732CCF"/>
    <w:rsid w:val="37734130"/>
    <w:rsid w:val="37740FCE"/>
    <w:rsid w:val="37743447"/>
    <w:rsid w:val="3775603C"/>
    <w:rsid w:val="37795AC3"/>
    <w:rsid w:val="377E29CE"/>
    <w:rsid w:val="377E6681"/>
    <w:rsid w:val="377F3076"/>
    <w:rsid w:val="37844317"/>
    <w:rsid w:val="37875BA8"/>
    <w:rsid w:val="378816EF"/>
    <w:rsid w:val="37891C41"/>
    <w:rsid w:val="378974B0"/>
    <w:rsid w:val="37941132"/>
    <w:rsid w:val="379508A6"/>
    <w:rsid w:val="37960AC4"/>
    <w:rsid w:val="37976191"/>
    <w:rsid w:val="379832FD"/>
    <w:rsid w:val="37991DE9"/>
    <w:rsid w:val="3799307A"/>
    <w:rsid w:val="379A790F"/>
    <w:rsid w:val="379D2BD4"/>
    <w:rsid w:val="379E11AD"/>
    <w:rsid w:val="379F3DB1"/>
    <w:rsid w:val="379F77DE"/>
    <w:rsid w:val="37A23C7A"/>
    <w:rsid w:val="37A34A15"/>
    <w:rsid w:val="37A64D4C"/>
    <w:rsid w:val="37A94BA2"/>
    <w:rsid w:val="37AC319E"/>
    <w:rsid w:val="37AC4F7B"/>
    <w:rsid w:val="37AF33BA"/>
    <w:rsid w:val="37B0004E"/>
    <w:rsid w:val="37B160EC"/>
    <w:rsid w:val="37B24C69"/>
    <w:rsid w:val="37B81B43"/>
    <w:rsid w:val="37B95FE7"/>
    <w:rsid w:val="37BA1D5F"/>
    <w:rsid w:val="37BF4AA8"/>
    <w:rsid w:val="37C04391"/>
    <w:rsid w:val="37C07C57"/>
    <w:rsid w:val="37C16C4A"/>
    <w:rsid w:val="37C352AF"/>
    <w:rsid w:val="37C6770B"/>
    <w:rsid w:val="37CA5B07"/>
    <w:rsid w:val="37CB7AC8"/>
    <w:rsid w:val="37CE2D3B"/>
    <w:rsid w:val="37D050DF"/>
    <w:rsid w:val="37D0642B"/>
    <w:rsid w:val="37D111DD"/>
    <w:rsid w:val="37DA71B2"/>
    <w:rsid w:val="37DB647A"/>
    <w:rsid w:val="37DC5883"/>
    <w:rsid w:val="37DE7253"/>
    <w:rsid w:val="37DF72A1"/>
    <w:rsid w:val="37E07842"/>
    <w:rsid w:val="37E1553E"/>
    <w:rsid w:val="37E172EC"/>
    <w:rsid w:val="37E47653"/>
    <w:rsid w:val="37EB1F18"/>
    <w:rsid w:val="37EC6A27"/>
    <w:rsid w:val="37ED709D"/>
    <w:rsid w:val="37F27B13"/>
    <w:rsid w:val="37F27B20"/>
    <w:rsid w:val="37F32574"/>
    <w:rsid w:val="37F33DFF"/>
    <w:rsid w:val="37F47148"/>
    <w:rsid w:val="37F54B45"/>
    <w:rsid w:val="37F75AC9"/>
    <w:rsid w:val="37F94729"/>
    <w:rsid w:val="37FA104F"/>
    <w:rsid w:val="37FA215C"/>
    <w:rsid w:val="37FF59C4"/>
    <w:rsid w:val="3800574E"/>
    <w:rsid w:val="38021181"/>
    <w:rsid w:val="380341AD"/>
    <w:rsid w:val="38066D52"/>
    <w:rsid w:val="380D685F"/>
    <w:rsid w:val="3810372D"/>
    <w:rsid w:val="381B7C7E"/>
    <w:rsid w:val="381D515F"/>
    <w:rsid w:val="381E5E4A"/>
    <w:rsid w:val="382007BD"/>
    <w:rsid w:val="38207C8F"/>
    <w:rsid w:val="38210DB4"/>
    <w:rsid w:val="38215136"/>
    <w:rsid w:val="382316B2"/>
    <w:rsid w:val="38241593"/>
    <w:rsid w:val="382947EF"/>
    <w:rsid w:val="382B67B9"/>
    <w:rsid w:val="382D3D63"/>
    <w:rsid w:val="382E5B98"/>
    <w:rsid w:val="382F62A9"/>
    <w:rsid w:val="38377167"/>
    <w:rsid w:val="383A6D0C"/>
    <w:rsid w:val="383F1628"/>
    <w:rsid w:val="38477D4A"/>
    <w:rsid w:val="384A4E91"/>
    <w:rsid w:val="384C2988"/>
    <w:rsid w:val="384E39DC"/>
    <w:rsid w:val="384F06F9"/>
    <w:rsid w:val="38500654"/>
    <w:rsid w:val="3851430F"/>
    <w:rsid w:val="38514471"/>
    <w:rsid w:val="3851753C"/>
    <w:rsid w:val="3852199B"/>
    <w:rsid w:val="385B18FF"/>
    <w:rsid w:val="385B7548"/>
    <w:rsid w:val="385F0069"/>
    <w:rsid w:val="385F2910"/>
    <w:rsid w:val="385F7ACB"/>
    <w:rsid w:val="3860725C"/>
    <w:rsid w:val="38610C01"/>
    <w:rsid w:val="38613F89"/>
    <w:rsid w:val="38622181"/>
    <w:rsid w:val="38653A79"/>
    <w:rsid w:val="3869495B"/>
    <w:rsid w:val="386A108F"/>
    <w:rsid w:val="386D241A"/>
    <w:rsid w:val="386D7BC2"/>
    <w:rsid w:val="386E46AB"/>
    <w:rsid w:val="386F66A6"/>
    <w:rsid w:val="38747BC2"/>
    <w:rsid w:val="38776533"/>
    <w:rsid w:val="3878035D"/>
    <w:rsid w:val="38787C50"/>
    <w:rsid w:val="387C6968"/>
    <w:rsid w:val="387D0F5C"/>
    <w:rsid w:val="387E0FDF"/>
    <w:rsid w:val="388114A1"/>
    <w:rsid w:val="388163D9"/>
    <w:rsid w:val="38883C0B"/>
    <w:rsid w:val="388E23D2"/>
    <w:rsid w:val="388E5887"/>
    <w:rsid w:val="388F6676"/>
    <w:rsid w:val="38925C27"/>
    <w:rsid w:val="38970C5E"/>
    <w:rsid w:val="38970F6F"/>
    <w:rsid w:val="38997728"/>
    <w:rsid w:val="389B22E9"/>
    <w:rsid w:val="389B55DE"/>
    <w:rsid w:val="389D5EC0"/>
    <w:rsid w:val="389E342F"/>
    <w:rsid w:val="38A04AB1"/>
    <w:rsid w:val="38A071A7"/>
    <w:rsid w:val="38A24C9D"/>
    <w:rsid w:val="38A50F90"/>
    <w:rsid w:val="38A85F49"/>
    <w:rsid w:val="38A94FE7"/>
    <w:rsid w:val="38AC4B64"/>
    <w:rsid w:val="38AF1198"/>
    <w:rsid w:val="38B22A36"/>
    <w:rsid w:val="38B2503F"/>
    <w:rsid w:val="38B35A1A"/>
    <w:rsid w:val="38B642D4"/>
    <w:rsid w:val="38BC48FF"/>
    <w:rsid w:val="38BE762D"/>
    <w:rsid w:val="38C033A5"/>
    <w:rsid w:val="38C425A0"/>
    <w:rsid w:val="38C509BB"/>
    <w:rsid w:val="38C538B6"/>
    <w:rsid w:val="38C546AB"/>
    <w:rsid w:val="38C61C36"/>
    <w:rsid w:val="38C65445"/>
    <w:rsid w:val="38C70290"/>
    <w:rsid w:val="38C904AC"/>
    <w:rsid w:val="38C950C6"/>
    <w:rsid w:val="38CA3484"/>
    <w:rsid w:val="38CC58A6"/>
    <w:rsid w:val="38CE3014"/>
    <w:rsid w:val="38CF5396"/>
    <w:rsid w:val="38D46E50"/>
    <w:rsid w:val="38D64977"/>
    <w:rsid w:val="38D67AE9"/>
    <w:rsid w:val="38D8249D"/>
    <w:rsid w:val="38DB01DF"/>
    <w:rsid w:val="38DD7AB3"/>
    <w:rsid w:val="38DE382B"/>
    <w:rsid w:val="38E561DB"/>
    <w:rsid w:val="38E635D7"/>
    <w:rsid w:val="38EB6E2C"/>
    <w:rsid w:val="38EF3C8A"/>
    <w:rsid w:val="38EF5A38"/>
    <w:rsid w:val="38F512A1"/>
    <w:rsid w:val="38F54312"/>
    <w:rsid w:val="38F55F20"/>
    <w:rsid w:val="38F75608"/>
    <w:rsid w:val="38F8063F"/>
    <w:rsid w:val="38F90665"/>
    <w:rsid w:val="38F92413"/>
    <w:rsid w:val="38FA68B7"/>
    <w:rsid w:val="38FC515E"/>
    <w:rsid w:val="39072D82"/>
    <w:rsid w:val="390C0398"/>
    <w:rsid w:val="390D2AB2"/>
    <w:rsid w:val="390D68A8"/>
    <w:rsid w:val="39186D3D"/>
    <w:rsid w:val="391C0D1A"/>
    <w:rsid w:val="391D07A3"/>
    <w:rsid w:val="391D7DB8"/>
    <w:rsid w:val="39202096"/>
    <w:rsid w:val="3922234B"/>
    <w:rsid w:val="392504E1"/>
    <w:rsid w:val="3925073A"/>
    <w:rsid w:val="39252CE0"/>
    <w:rsid w:val="392676D2"/>
    <w:rsid w:val="392B0556"/>
    <w:rsid w:val="392B4CC2"/>
    <w:rsid w:val="39366FC5"/>
    <w:rsid w:val="393A4F06"/>
    <w:rsid w:val="393B3AA4"/>
    <w:rsid w:val="393E3FC7"/>
    <w:rsid w:val="39400042"/>
    <w:rsid w:val="394153F5"/>
    <w:rsid w:val="3942025E"/>
    <w:rsid w:val="39487705"/>
    <w:rsid w:val="39490CF6"/>
    <w:rsid w:val="394F102E"/>
    <w:rsid w:val="395104A1"/>
    <w:rsid w:val="39561614"/>
    <w:rsid w:val="39581830"/>
    <w:rsid w:val="395F3949"/>
    <w:rsid w:val="395F6A2C"/>
    <w:rsid w:val="3961360B"/>
    <w:rsid w:val="39616936"/>
    <w:rsid w:val="39616E32"/>
    <w:rsid w:val="39620592"/>
    <w:rsid w:val="39677FCD"/>
    <w:rsid w:val="396B5955"/>
    <w:rsid w:val="396C7089"/>
    <w:rsid w:val="397130AC"/>
    <w:rsid w:val="39727572"/>
    <w:rsid w:val="39763A64"/>
    <w:rsid w:val="397744A3"/>
    <w:rsid w:val="397A6819"/>
    <w:rsid w:val="397B1A28"/>
    <w:rsid w:val="397C3770"/>
    <w:rsid w:val="398166EC"/>
    <w:rsid w:val="398443D3"/>
    <w:rsid w:val="39844550"/>
    <w:rsid w:val="39892422"/>
    <w:rsid w:val="39893797"/>
    <w:rsid w:val="398C3287"/>
    <w:rsid w:val="398C590D"/>
    <w:rsid w:val="398F0FAF"/>
    <w:rsid w:val="39916AF0"/>
    <w:rsid w:val="3995059C"/>
    <w:rsid w:val="39965EB4"/>
    <w:rsid w:val="39972053"/>
    <w:rsid w:val="399F120C"/>
    <w:rsid w:val="399F56D1"/>
    <w:rsid w:val="39A572D1"/>
    <w:rsid w:val="39A64349"/>
    <w:rsid w:val="39A7084F"/>
    <w:rsid w:val="39AB195F"/>
    <w:rsid w:val="39AC56D7"/>
    <w:rsid w:val="39AD073A"/>
    <w:rsid w:val="39AD3929"/>
    <w:rsid w:val="39AD58C4"/>
    <w:rsid w:val="39AE1450"/>
    <w:rsid w:val="39AE298D"/>
    <w:rsid w:val="39B051C8"/>
    <w:rsid w:val="39B12CEE"/>
    <w:rsid w:val="39B555DC"/>
    <w:rsid w:val="39B822CE"/>
    <w:rsid w:val="39BC2840"/>
    <w:rsid w:val="39BD13B3"/>
    <w:rsid w:val="39BE5B37"/>
    <w:rsid w:val="39C37EED"/>
    <w:rsid w:val="39C40C73"/>
    <w:rsid w:val="39C742BF"/>
    <w:rsid w:val="39CB0253"/>
    <w:rsid w:val="39CC2DEE"/>
    <w:rsid w:val="39CE1AF2"/>
    <w:rsid w:val="39D1036D"/>
    <w:rsid w:val="39D23390"/>
    <w:rsid w:val="39D51FF5"/>
    <w:rsid w:val="39D6430C"/>
    <w:rsid w:val="39D665EF"/>
    <w:rsid w:val="39D7459C"/>
    <w:rsid w:val="39D74D64"/>
    <w:rsid w:val="39D96A4E"/>
    <w:rsid w:val="39DA0497"/>
    <w:rsid w:val="39DA7253"/>
    <w:rsid w:val="39DB7C2D"/>
    <w:rsid w:val="39DC1028"/>
    <w:rsid w:val="39DC5FBD"/>
    <w:rsid w:val="39DD0E2F"/>
    <w:rsid w:val="39E15381"/>
    <w:rsid w:val="39E674EC"/>
    <w:rsid w:val="39E80A65"/>
    <w:rsid w:val="39EC3D26"/>
    <w:rsid w:val="39EC7CAE"/>
    <w:rsid w:val="39F257E0"/>
    <w:rsid w:val="39F25FD4"/>
    <w:rsid w:val="39F552D0"/>
    <w:rsid w:val="39F723CF"/>
    <w:rsid w:val="39FE4185"/>
    <w:rsid w:val="3A00614F"/>
    <w:rsid w:val="3A0117D1"/>
    <w:rsid w:val="3A015A23"/>
    <w:rsid w:val="3A015C26"/>
    <w:rsid w:val="3A03179B"/>
    <w:rsid w:val="3A085004"/>
    <w:rsid w:val="3A086B1A"/>
    <w:rsid w:val="3A0D43C8"/>
    <w:rsid w:val="3A105C66"/>
    <w:rsid w:val="3A176FF5"/>
    <w:rsid w:val="3A1C7386"/>
    <w:rsid w:val="3A1E0383"/>
    <w:rsid w:val="3A221D1C"/>
    <w:rsid w:val="3A23599A"/>
    <w:rsid w:val="3A246BDD"/>
    <w:rsid w:val="3A266A81"/>
    <w:rsid w:val="3A2A4F7A"/>
    <w:rsid w:val="3A2C384F"/>
    <w:rsid w:val="3A2F2590"/>
    <w:rsid w:val="3A325BDD"/>
    <w:rsid w:val="3A331955"/>
    <w:rsid w:val="3A3A180F"/>
    <w:rsid w:val="3A410516"/>
    <w:rsid w:val="3A4154E8"/>
    <w:rsid w:val="3A4164A5"/>
    <w:rsid w:val="3A43428E"/>
    <w:rsid w:val="3A444921"/>
    <w:rsid w:val="3A4818A4"/>
    <w:rsid w:val="3A4B20C9"/>
    <w:rsid w:val="3A4D6EBA"/>
    <w:rsid w:val="3A4F77A4"/>
    <w:rsid w:val="3A522006"/>
    <w:rsid w:val="3A563FC1"/>
    <w:rsid w:val="3A571AE7"/>
    <w:rsid w:val="3A5B451C"/>
    <w:rsid w:val="3A5E22ED"/>
    <w:rsid w:val="3A5E4C24"/>
    <w:rsid w:val="3A606BEE"/>
    <w:rsid w:val="3A6070DA"/>
    <w:rsid w:val="3A607A49"/>
    <w:rsid w:val="3A644A9D"/>
    <w:rsid w:val="3A647CE4"/>
    <w:rsid w:val="3A662CCE"/>
    <w:rsid w:val="3A676BB4"/>
    <w:rsid w:val="3A6F435C"/>
    <w:rsid w:val="3A704EFB"/>
    <w:rsid w:val="3A7262AF"/>
    <w:rsid w:val="3A744447"/>
    <w:rsid w:val="3A766411"/>
    <w:rsid w:val="3A777A93"/>
    <w:rsid w:val="3A780E00"/>
    <w:rsid w:val="3A7A6F2A"/>
    <w:rsid w:val="3A7A6F3C"/>
    <w:rsid w:val="3A7E0E22"/>
    <w:rsid w:val="3A7E52C6"/>
    <w:rsid w:val="3A80103E"/>
    <w:rsid w:val="3A8211AE"/>
    <w:rsid w:val="3A830B2E"/>
    <w:rsid w:val="3A881CA1"/>
    <w:rsid w:val="3A891C39"/>
    <w:rsid w:val="3A8F74D3"/>
    <w:rsid w:val="3A921CEB"/>
    <w:rsid w:val="3A931974"/>
    <w:rsid w:val="3A94460B"/>
    <w:rsid w:val="3A96552E"/>
    <w:rsid w:val="3A96589A"/>
    <w:rsid w:val="3A971EE4"/>
    <w:rsid w:val="3A9B19D4"/>
    <w:rsid w:val="3A9B45AD"/>
    <w:rsid w:val="3A9B514C"/>
    <w:rsid w:val="3AA27206"/>
    <w:rsid w:val="3AA45CB6"/>
    <w:rsid w:val="3AA56A3E"/>
    <w:rsid w:val="3AA615FA"/>
    <w:rsid w:val="3AA90857"/>
    <w:rsid w:val="3AAC1E33"/>
    <w:rsid w:val="3AAF38F1"/>
    <w:rsid w:val="3AB72586"/>
    <w:rsid w:val="3AB900AC"/>
    <w:rsid w:val="3ABB02C8"/>
    <w:rsid w:val="3AC058DE"/>
    <w:rsid w:val="3AC23D63"/>
    <w:rsid w:val="3AC30F2B"/>
    <w:rsid w:val="3AC708A8"/>
    <w:rsid w:val="3ACA22B9"/>
    <w:rsid w:val="3ACC16FA"/>
    <w:rsid w:val="3AD0638B"/>
    <w:rsid w:val="3AD21284"/>
    <w:rsid w:val="3AD412CD"/>
    <w:rsid w:val="3AD54849"/>
    <w:rsid w:val="3AD60676"/>
    <w:rsid w:val="3ADB0022"/>
    <w:rsid w:val="3ADC48A5"/>
    <w:rsid w:val="3ADD023E"/>
    <w:rsid w:val="3ADD4466"/>
    <w:rsid w:val="3ADD4D12"/>
    <w:rsid w:val="3ADF02DC"/>
    <w:rsid w:val="3AE0737A"/>
    <w:rsid w:val="3AE113B1"/>
    <w:rsid w:val="3AE25855"/>
    <w:rsid w:val="3AE50EA1"/>
    <w:rsid w:val="3AEA4709"/>
    <w:rsid w:val="3AED1748"/>
    <w:rsid w:val="3AED7FD9"/>
    <w:rsid w:val="3AEE244B"/>
    <w:rsid w:val="3AEF0F5F"/>
    <w:rsid w:val="3AEF1D20"/>
    <w:rsid w:val="3AF15A98"/>
    <w:rsid w:val="3AF25F5A"/>
    <w:rsid w:val="3AF31088"/>
    <w:rsid w:val="3AF35977"/>
    <w:rsid w:val="3AF410E4"/>
    <w:rsid w:val="3AF7062E"/>
    <w:rsid w:val="3AFD61EB"/>
    <w:rsid w:val="3AFF6407"/>
    <w:rsid w:val="3B007A89"/>
    <w:rsid w:val="3B023089"/>
    <w:rsid w:val="3B0242AD"/>
    <w:rsid w:val="3B043A1D"/>
    <w:rsid w:val="3B057795"/>
    <w:rsid w:val="3B0674C9"/>
    <w:rsid w:val="3B07350D"/>
    <w:rsid w:val="3B07498B"/>
    <w:rsid w:val="3B084B8F"/>
    <w:rsid w:val="3B093521"/>
    <w:rsid w:val="3B0A6B5A"/>
    <w:rsid w:val="3B0C0B24"/>
    <w:rsid w:val="3B0D1C2F"/>
    <w:rsid w:val="3B0D21A6"/>
    <w:rsid w:val="3B112D70"/>
    <w:rsid w:val="3B116B04"/>
    <w:rsid w:val="3B131EB2"/>
    <w:rsid w:val="3B181276"/>
    <w:rsid w:val="3B190B4B"/>
    <w:rsid w:val="3B1B48C3"/>
    <w:rsid w:val="3B251346"/>
    <w:rsid w:val="3B2A0794"/>
    <w:rsid w:val="3B2C087E"/>
    <w:rsid w:val="3B2C75A0"/>
    <w:rsid w:val="3B2E6A4D"/>
    <w:rsid w:val="3B2F187C"/>
    <w:rsid w:val="3B2F2CFA"/>
    <w:rsid w:val="3B2F3D42"/>
    <w:rsid w:val="3B3230A5"/>
    <w:rsid w:val="3B337E5E"/>
    <w:rsid w:val="3B337F8F"/>
    <w:rsid w:val="3B3616FD"/>
    <w:rsid w:val="3B36794F"/>
    <w:rsid w:val="3B381919"/>
    <w:rsid w:val="3B385475"/>
    <w:rsid w:val="3B39113B"/>
    <w:rsid w:val="3B3B4F65"/>
    <w:rsid w:val="3B3D0CDD"/>
    <w:rsid w:val="3B3F2CA7"/>
    <w:rsid w:val="3B3F4A55"/>
    <w:rsid w:val="3B4756B8"/>
    <w:rsid w:val="3B4770E1"/>
    <w:rsid w:val="3B4C2CCE"/>
    <w:rsid w:val="3B4E6A46"/>
    <w:rsid w:val="3B5009FF"/>
    <w:rsid w:val="3B506C62"/>
    <w:rsid w:val="3B514788"/>
    <w:rsid w:val="3B56040D"/>
    <w:rsid w:val="3B566CE4"/>
    <w:rsid w:val="3B585B17"/>
    <w:rsid w:val="3B6062F5"/>
    <w:rsid w:val="3B60677A"/>
    <w:rsid w:val="3B626996"/>
    <w:rsid w:val="3B651FE2"/>
    <w:rsid w:val="3B6C521C"/>
    <w:rsid w:val="3B6D76D3"/>
    <w:rsid w:val="3B6F7E72"/>
    <w:rsid w:val="3B70073D"/>
    <w:rsid w:val="3B7017EA"/>
    <w:rsid w:val="3B713F86"/>
    <w:rsid w:val="3B750477"/>
    <w:rsid w:val="3B762441"/>
    <w:rsid w:val="3B787F67"/>
    <w:rsid w:val="3B7E69A5"/>
    <w:rsid w:val="3B7F12F6"/>
    <w:rsid w:val="3B7F48FF"/>
    <w:rsid w:val="3B800CEA"/>
    <w:rsid w:val="3B80172C"/>
    <w:rsid w:val="3B870ADE"/>
    <w:rsid w:val="3B871F58"/>
    <w:rsid w:val="3B8D2B96"/>
    <w:rsid w:val="3B8E32E7"/>
    <w:rsid w:val="3B8E40BF"/>
    <w:rsid w:val="3B901966"/>
    <w:rsid w:val="3B972B1E"/>
    <w:rsid w:val="3B9B72DD"/>
    <w:rsid w:val="3B9B79B4"/>
    <w:rsid w:val="3BA0368D"/>
    <w:rsid w:val="3BA64AD4"/>
    <w:rsid w:val="3BA82B69"/>
    <w:rsid w:val="3BAA1E25"/>
    <w:rsid w:val="3BAB3E99"/>
    <w:rsid w:val="3BB32D4D"/>
    <w:rsid w:val="3BB52F69"/>
    <w:rsid w:val="3BB5440F"/>
    <w:rsid w:val="3BB54E3A"/>
    <w:rsid w:val="3BB70A8F"/>
    <w:rsid w:val="3BB76339"/>
    <w:rsid w:val="3BB80364"/>
    <w:rsid w:val="3BB936A0"/>
    <w:rsid w:val="3BBB1019"/>
    <w:rsid w:val="3BBB4A02"/>
    <w:rsid w:val="3BBF7944"/>
    <w:rsid w:val="3BC35686"/>
    <w:rsid w:val="3BC46D08"/>
    <w:rsid w:val="3BC85286"/>
    <w:rsid w:val="3BCB0097"/>
    <w:rsid w:val="3BCC22CB"/>
    <w:rsid w:val="3BD258C9"/>
    <w:rsid w:val="3BD76CB6"/>
    <w:rsid w:val="3BD827B4"/>
    <w:rsid w:val="3BD8642A"/>
    <w:rsid w:val="3BD970EE"/>
    <w:rsid w:val="3BDC4693"/>
    <w:rsid w:val="3BE23632"/>
    <w:rsid w:val="3BE253E0"/>
    <w:rsid w:val="3BE33C87"/>
    <w:rsid w:val="3BE42ACC"/>
    <w:rsid w:val="3BE42E37"/>
    <w:rsid w:val="3BE60DBD"/>
    <w:rsid w:val="3BE62C1C"/>
    <w:rsid w:val="3BE92C13"/>
    <w:rsid w:val="3BEB40E5"/>
    <w:rsid w:val="3BED2703"/>
    <w:rsid w:val="3BF53366"/>
    <w:rsid w:val="3BF572CB"/>
    <w:rsid w:val="3BFB1076"/>
    <w:rsid w:val="3BFC2946"/>
    <w:rsid w:val="3C017F5D"/>
    <w:rsid w:val="3C0356A1"/>
    <w:rsid w:val="3C047A4D"/>
    <w:rsid w:val="3C054F58"/>
    <w:rsid w:val="3C074E47"/>
    <w:rsid w:val="3C095928"/>
    <w:rsid w:val="3C0C354E"/>
    <w:rsid w:val="3C0D06AF"/>
    <w:rsid w:val="3C1001A0"/>
    <w:rsid w:val="3C101822"/>
    <w:rsid w:val="3C1275F2"/>
    <w:rsid w:val="3C131844"/>
    <w:rsid w:val="3C145EE2"/>
    <w:rsid w:val="3C156A3B"/>
    <w:rsid w:val="3C1D696F"/>
    <w:rsid w:val="3C1F309D"/>
    <w:rsid w:val="3C202C87"/>
    <w:rsid w:val="3C2D6B47"/>
    <w:rsid w:val="3C316275"/>
    <w:rsid w:val="3C3814A4"/>
    <w:rsid w:val="3C385A93"/>
    <w:rsid w:val="3C3C08E3"/>
    <w:rsid w:val="3C3D1C86"/>
    <w:rsid w:val="3C4542ED"/>
    <w:rsid w:val="3C46241D"/>
    <w:rsid w:val="3C487939"/>
    <w:rsid w:val="3C49421C"/>
    <w:rsid w:val="3C4A1EF3"/>
    <w:rsid w:val="3C4A2D55"/>
    <w:rsid w:val="3C4B24C9"/>
    <w:rsid w:val="3C4D31A2"/>
    <w:rsid w:val="3C53697E"/>
    <w:rsid w:val="3C5A4383"/>
    <w:rsid w:val="3C5B60FB"/>
    <w:rsid w:val="3C63209A"/>
    <w:rsid w:val="3C6479C3"/>
    <w:rsid w:val="3C655E40"/>
    <w:rsid w:val="3C660776"/>
    <w:rsid w:val="3C681D8A"/>
    <w:rsid w:val="3C6A5B02"/>
    <w:rsid w:val="3C6B187A"/>
    <w:rsid w:val="3C6B7896"/>
    <w:rsid w:val="3C6D73A0"/>
    <w:rsid w:val="3C6E565A"/>
    <w:rsid w:val="3C6F136A"/>
    <w:rsid w:val="3C726D8C"/>
    <w:rsid w:val="3C760CD0"/>
    <w:rsid w:val="3C7618F5"/>
    <w:rsid w:val="3C770992"/>
    <w:rsid w:val="3C770EB3"/>
    <w:rsid w:val="3C7733FA"/>
    <w:rsid w:val="3C7819C5"/>
    <w:rsid w:val="3C7B7229"/>
    <w:rsid w:val="3C7E77FF"/>
    <w:rsid w:val="3C7F70D3"/>
    <w:rsid w:val="3C830972"/>
    <w:rsid w:val="3C844A43"/>
    <w:rsid w:val="3C857BDC"/>
    <w:rsid w:val="3C8A1D00"/>
    <w:rsid w:val="3C8A5D88"/>
    <w:rsid w:val="3C8F7316"/>
    <w:rsid w:val="3C905550"/>
    <w:rsid w:val="3C9368AF"/>
    <w:rsid w:val="3C94492D"/>
    <w:rsid w:val="3C9450C1"/>
    <w:rsid w:val="3C95467F"/>
    <w:rsid w:val="3C963F93"/>
    <w:rsid w:val="3C975D2C"/>
    <w:rsid w:val="3C9839FE"/>
    <w:rsid w:val="3C9B0A62"/>
    <w:rsid w:val="3CA0136A"/>
    <w:rsid w:val="3CA14B12"/>
    <w:rsid w:val="3CA1529C"/>
    <w:rsid w:val="3CAA05F4"/>
    <w:rsid w:val="3CAA0C2A"/>
    <w:rsid w:val="3CAD5FCF"/>
    <w:rsid w:val="3CB03348"/>
    <w:rsid w:val="3CB04C67"/>
    <w:rsid w:val="3CB14874"/>
    <w:rsid w:val="3CB21257"/>
    <w:rsid w:val="3CB6214F"/>
    <w:rsid w:val="3CB851B6"/>
    <w:rsid w:val="3CB86DF2"/>
    <w:rsid w:val="3CBE5B25"/>
    <w:rsid w:val="3CC03FCC"/>
    <w:rsid w:val="3CC176EC"/>
    <w:rsid w:val="3CC547ED"/>
    <w:rsid w:val="3CC64D02"/>
    <w:rsid w:val="3CCA65A0"/>
    <w:rsid w:val="3CD11D42"/>
    <w:rsid w:val="3CD15B81"/>
    <w:rsid w:val="3CD218F9"/>
    <w:rsid w:val="3CD43F5A"/>
    <w:rsid w:val="3CD45328"/>
    <w:rsid w:val="3CD6391E"/>
    <w:rsid w:val="3CD951D6"/>
    <w:rsid w:val="3CDC5A84"/>
    <w:rsid w:val="3CDF7D60"/>
    <w:rsid w:val="3CE07B72"/>
    <w:rsid w:val="3CE31410"/>
    <w:rsid w:val="3CE533DA"/>
    <w:rsid w:val="3CE56045"/>
    <w:rsid w:val="3CE576FB"/>
    <w:rsid w:val="3CE9745B"/>
    <w:rsid w:val="3CEB3763"/>
    <w:rsid w:val="3CEC29BB"/>
    <w:rsid w:val="3CEC2B6C"/>
    <w:rsid w:val="3CED2111"/>
    <w:rsid w:val="3CED6733"/>
    <w:rsid w:val="3CF46D1B"/>
    <w:rsid w:val="3CF63839"/>
    <w:rsid w:val="3CF8720E"/>
    <w:rsid w:val="3CFA56B4"/>
    <w:rsid w:val="3CFB4907"/>
    <w:rsid w:val="3CFB4E28"/>
    <w:rsid w:val="3CFC0724"/>
    <w:rsid w:val="3CFD4BC8"/>
    <w:rsid w:val="3CFF1FE9"/>
    <w:rsid w:val="3D006466"/>
    <w:rsid w:val="3D023F8C"/>
    <w:rsid w:val="3D0329CE"/>
    <w:rsid w:val="3D096A38"/>
    <w:rsid w:val="3D096F2F"/>
    <w:rsid w:val="3D0A329B"/>
    <w:rsid w:val="3D0A7413"/>
    <w:rsid w:val="3D0B6BD5"/>
    <w:rsid w:val="3D0C4E0B"/>
    <w:rsid w:val="3D0F48FB"/>
    <w:rsid w:val="3D0F7E6D"/>
    <w:rsid w:val="3D1171D0"/>
    <w:rsid w:val="3D157A35"/>
    <w:rsid w:val="3D172824"/>
    <w:rsid w:val="3D172B8F"/>
    <w:rsid w:val="3D17655F"/>
    <w:rsid w:val="3D1818C2"/>
    <w:rsid w:val="3D1837B0"/>
    <w:rsid w:val="3D1E68EC"/>
    <w:rsid w:val="3D257C7B"/>
    <w:rsid w:val="3D263D34"/>
    <w:rsid w:val="3D2F28A7"/>
    <w:rsid w:val="3D31661F"/>
    <w:rsid w:val="3D3B2FFA"/>
    <w:rsid w:val="3D3B56F0"/>
    <w:rsid w:val="3D420825"/>
    <w:rsid w:val="3D431059"/>
    <w:rsid w:val="3D43157A"/>
    <w:rsid w:val="3D432D04"/>
    <w:rsid w:val="3D4855F3"/>
    <w:rsid w:val="3D4A76E1"/>
    <w:rsid w:val="3D4F319D"/>
    <w:rsid w:val="3D4F4CF8"/>
    <w:rsid w:val="3D5B369C"/>
    <w:rsid w:val="3D5B544A"/>
    <w:rsid w:val="3D603F1B"/>
    <w:rsid w:val="3D604BF0"/>
    <w:rsid w:val="3D610E5E"/>
    <w:rsid w:val="3D6267D9"/>
    <w:rsid w:val="3D644C0E"/>
    <w:rsid w:val="3D670293"/>
    <w:rsid w:val="3D680BF2"/>
    <w:rsid w:val="3D7529B0"/>
    <w:rsid w:val="3D7A7FC6"/>
    <w:rsid w:val="3D7B244D"/>
    <w:rsid w:val="3D7B3F30"/>
    <w:rsid w:val="3D7C36A4"/>
    <w:rsid w:val="3D804EB1"/>
    <w:rsid w:val="3D8449A1"/>
    <w:rsid w:val="3D850719"/>
    <w:rsid w:val="3D851ED1"/>
    <w:rsid w:val="3D8825E6"/>
    <w:rsid w:val="3D883FE9"/>
    <w:rsid w:val="3D8A4880"/>
    <w:rsid w:val="3D8B4F1E"/>
    <w:rsid w:val="3D8D7679"/>
    <w:rsid w:val="3D8E0BF2"/>
    <w:rsid w:val="3D8E75CE"/>
    <w:rsid w:val="3D903E83"/>
    <w:rsid w:val="3D973D25"/>
    <w:rsid w:val="3D980B7F"/>
    <w:rsid w:val="3D9A6B04"/>
    <w:rsid w:val="3D9C36F6"/>
    <w:rsid w:val="3D9D1F07"/>
    <w:rsid w:val="3DA037A5"/>
    <w:rsid w:val="3DA23079"/>
    <w:rsid w:val="3DA731A6"/>
    <w:rsid w:val="3DA90F76"/>
    <w:rsid w:val="3DA94E14"/>
    <w:rsid w:val="3DAA1A9C"/>
    <w:rsid w:val="3DB2141D"/>
    <w:rsid w:val="3DB32915"/>
    <w:rsid w:val="3DB33074"/>
    <w:rsid w:val="3DB646B6"/>
    <w:rsid w:val="3DB7434A"/>
    <w:rsid w:val="3DBA4867"/>
    <w:rsid w:val="3DBB4664"/>
    <w:rsid w:val="3DBC0328"/>
    <w:rsid w:val="3DBD0673"/>
    <w:rsid w:val="3DC014E1"/>
    <w:rsid w:val="3DC17801"/>
    <w:rsid w:val="3DC47494"/>
    <w:rsid w:val="3DC512D0"/>
    <w:rsid w:val="3DD12B2B"/>
    <w:rsid w:val="3DD553AC"/>
    <w:rsid w:val="3DDB3E25"/>
    <w:rsid w:val="3DDD0555"/>
    <w:rsid w:val="3DDE0F59"/>
    <w:rsid w:val="3DDE30D7"/>
    <w:rsid w:val="3DE24C14"/>
    <w:rsid w:val="3DE25B6C"/>
    <w:rsid w:val="3DE32B35"/>
    <w:rsid w:val="3DE32B7F"/>
    <w:rsid w:val="3DE7342C"/>
    <w:rsid w:val="3DE85E9C"/>
    <w:rsid w:val="3DE94A2A"/>
    <w:rsid w:val="3DE9514C"/>
    <w:rsid w:val="3DEB0EC4"/>
    <w:rsid w:val="3DF151A7"/>
    <w:rsid w:val="3DF615EB"/>
    <w:rsid w:val="3DF66D78"/>
    <w:rsid w:val="3DF902CA"/>
    <w:rsid w:val="3DFC4E7F"/>
    <w:rsid w:val="3DFF227A"/>
    <w:rsid w:val="3E005C41"/>
    <w:rsid w:val="3E0077CE"/>
    <w:rsid w:val="3E007984"/>
    <w:rsid w:val="3E03137C"/>
    <w:rsid w:val="3E043D34"/>
    <w:rsid w:val="3E067624"/>
    <w:rsid w:val="3E0C543F"/>
    <w:rsid w:val="3E0F24F4"/>
    <w:rsid w:val="3E0F7557"/>
    <w:rsid w:val="3E111FAD"/>
    <w:rsid w:val="3E126451"/>
    <w:rsid w:val="3E167B3C"/>
    <w:rsid w:val="3E1A3557"/>
    <w:rsid w:val="3E1B5C0C"/>
    <w:rsid w:val="3E1D1ACD"/>
    <w:rsid w:val="3E1D3EFC"/>
    <w:rsid w:val="3E265A58"/>
    <w:rsid w:val="3E267C4F"/>
    <w:rsid w:val="3E2D328B"/>
    <w:rsid w:val="3E2F6F09"/>
    <w:rsid w:val="3E304B29"/>
    <w:rsid w:val="3E347824"/>
    <w:rsid w:val="3E391222"/>
    <w:rsid w:val="3E3B377F"/>
    <w:rsid w:val="3E3F2FCC"/>
    <w:rsid w:val="3E445E69"/>
    <w:rsid w:val="3E46434D"/>
    <w:rsid w:val="3E481E73"/>
    <w:rsid w:val="3E4928E7"/>
    <w:rsid w:val="3E492C52"/>
    <w:rsid w:val="3E4B1C99"/>
    <w:rsid w:val="3E4C7D90"/>
    <w:rsid w:val="3E4D56DB"/>
    <w:rsid w:val="3E50768A"/>
    <w:rsid w:val="3E546A69"/>
    <w:rsid w:val="3E55633E"/>
    <w:rsid w:val="3E556F89"/>
    <w:rsid w:val="3E5636F5"/>
    <w:rsid w:val="3E564C85"/>
    <w:rsid w:val="3E576115"/>
    <w:rsid w:val="3E5A7DF8"/>
    <w:rsid w:val="3E5C6190"/>
    <w:rsid w:val="3E5C76CC"/>
    <w:rsid w:val="3E5F71BC"/>
    <w:rsid w:val="3E611186"/>
    <w:rsid w:val="3E612F34"/>
    <w:rsid w:val="3E6413FB"/>
    <w:rsid w:val="3E677F46"/>
    <w:rsid w:val="3E6A33BB"/>
    <w:rsid w:val="3E6A66F5"/>
    <w:rsid w:val="3E6D18D9"/>
    <w:rsid w:val="3E6E11AD"/>
    <w:rsid w:val="3E706C67"/>
    <w:rsid w:val="3E717806"/>
    <w:rsid w:val="3E720C9E"/>
    <w:rsid w:val="3E741759"/>
    <w:rsid w:val="3E75078E"/>
    <w:rsid w:val="3E755D39"/>
    <w:rsid w:val="3E76190C"/>
    <w:rsid w:val="3E7645D3"/>
    <w:rsid w:val="3E76482F"/>
    <w:rsid w:val="3E77440F"/>
    <w:rsid w:val="3E7B5785"/>
    <w:rsid w:val="3E7E56B7"/>
    <w:rsid w:val="3E7F33BB"/>
    <w:rsid w:val="3E802756"/>
    <w:rsid w:val="3E8D1066"/>
    <w:rsid w:val="3E8E020D"/>
    <w:rsid w:val="3E8E4943"/>
    <w:rsid w:val="3E906080"/>
    <w:rsid w:val="3E907376"/>
    <w:rsid w:val="3E92628C"/>
    <w:rsid w:val="3E946368"/>
    <w:rsid w:val="3E950E30"/>
    <w:rsid w:val="3E994DA1"/>
    <w:rsid w:val="3E9A366A"/>
    <w:rsid w:val="3E9E240D"/>
    <w:rsid w:val="3E9E2AE3"/>
    <w:rsid w:val="3E9F1815"/>
    <w:rsid w:val="3EA00F89"/>
    <w:rsid w:val="3EA03A5D"/>
    <w:rsid w:val="3EA11583"/>
    <w:rsid w:val="3EA31F22"/>
    <w:rsid w:val="3EA346EB"/>
    <w:rsid w:val="3EA34825"/>
    <w:rsid w:val="3EA5173C"/>
    <w:rsid w:val="3EA66B99"/>
    <w:rsid w:val="3EAA142E"/>
    <w:rsid w:val="3EAB41B0"/>
    <w:rsid w:val="3EAD4D9F"/>
    <w:rsid w:val="3EAD7F28"/>
    <w:rsid w:val="3EAF1EF2"/>
    <w:rsid w:val="3EB07A18"/>
    <w:rsid w:val="3EB14CFC"/>
    <w:rsid w:val="3EB274B2"/>
    <w:rsid w:val="3EB539C3"/>
    <w:rsid w:val="3EBE2135"/>
    <w:rsid w:val="3EC01CEB"/>
    <w:rsid w:val="3EC05EAD"/>
    <w:rsid w:val="3ECA07E7"/>
    <w:rsid w:val="3ECA0C41"/>
    <w:rsid w:val="3ECA7B77"/>
    <w:rsid w:val="3ECB4852"/>
    <w:rsid w:val="3ECC3DB1"/>
    <w:rsid w:val="3ECE7C0D"/>
    <w:rsid w:val="3ED71F02"/>
    <w:rsid w:val="3EDB421B"/>
    <w:rsid w:val="3EDD6E27"/>
    <w:rsid w:val="3EDE4585"/>
    <w:rsid w:val="3EDF090D"/>
    <w:rsid w:val="3EE17BD1"/>
    <w:rsid w:val="3EE33949"/>
    <w:rsid w:val="3EE6516E"/>
    <w:rsid w:val="3EEA4CA6"/>
    <w:rsid w:val="3EEC1527"/>
    <w:rsid w:val="3EF26D83"/>
    <w:rsid w:val="3EF508F9"/>
    <w:rsid w:val="3EF51FB7"/>
    <w:rsid w:val="3EF525AD"/>
    <w:rsid w:val="3EF617FB"/>
    <w:rsid w:val="3EF94F1B"/>
    <w:rsid w:val="3EFA7727"/>
    <w:rsid w:val="3EFB5847"/>
    <w:rsid w:val="3EFE69D5"/>
    <w:rsid w:val="3F035D9A"/>
    <w:rsid w:val="3F0607D0"/>
    <w:rsid w:val="3F065387"/>
    <w:rsid w:val="3F067638"/>
    <w:rsid w:val="3F090862"/>
    <w:rsid w:val="3F0957C8"/>
    <w:rsid w:val="3F0D6C18"/>
    <w:rsid w:val="3F0E3630"/>
    <w:rsid w:val="3F0E5DEE"/>
    <w:rsid w:val="3F0F473E"/>
    <w:rsid w:val="3F116709"/>
    <w:rsid w:val="3F1251DD"/>
    <w:rsid w:val="3F141D55"/>
    <w:rsid w:val="3F167AE0"/>
    <w:rsid w:val="3F17658B"/>
    <w:rsid w:val="3F1903D7"/>
    <w:rsid w:val="3F21764F"/>
    <w:rsid w:val="3F24318A"/>
    <w:rsid w:val="3F281CA4"/>
    <w:rsid w:val="3F2B0932"/>
    <w:rsid w:val="3F2C2AF3"/>
    <w:rsid w:val="3F2D2E17"/>
    <w:rsid w:val="3F2F3423"/>
    <w:rsid w:val="3F30617F"/>
    <w:rsid w:val="3F3109A9"/>
    <w:rsid w:val="3F32553B"/>
    <w:rsid w:val="3F325590"/>
    <w:rsid w:val="3F32667F"/>
    <w:rsid w:val="3F327891"/>
    <w:rsid w:val="3F3E40E9"/>
    <w:rsid w:val="3F3F2C65"/>
    <w:rsid w:val="3F3F6F12"/>
    <w:rsid w:val="3F463CE0"/>
    <w:rsid w:val="3F472605"/>
    <w:rsid w:val="3F4A1C1A"/>
    <w:rsid w:val="3F4D5CCE"/>
    <w:rsid w:val="3F502BFA"/>
    <w:rsid w:val="3F574A9D"/>
    <w:rsid w:val="3F593D8D"/>
    <w:rsid w:val="3F5B0D38"/>
    <w:rsid w:val="3F5C54AA"/>
    <w:rsid w:val="3F5C76FF"/>
    <w:rsid w:val="3F5D7BA0"/>
    <w:rsid w:val="3F634A8A"/>
    <w:rsid w:val="3F684440"/>
    <w:rsid w:val="3F696545"/>
    <w:rsid w:val="3F6C08A3"/>
    <w:rsid w:val="3F6C0DC4"/>
    <w:rsid w:val="3F6D52A4"/>
    <w:rsid w:val="3F6F78D3"/>
    <w:rsid w:val="3F724C94"/>
    <w:rsid w:val="3F7372F3"/>
    <w:rsid w:val="3F793AA4"/>
    <w:rsid w:val="3F795926"/>
    <w:rsid w:val="3F7A4692"/>
    <w:rsid w:val="3F7D2E7E"/>
    <w:rsid w:val="3F87756C"/>
    <w:rsid w:val="3F88629F"/>
    <w:rsid w:val="3F894431"/>
    <w:rsid w:val="3F895F2B"/>
    <w:rsid w:val="3F8C0042"/>
    <w:rsid w:val="3F8F7CFD"/>
    <w:rsid w:val="3F91350E"/>
    <w:rsid w:val="3F961829"/>
    <w:rsid w:val="3F9877AE"/>
    <w:rsid w:val="3F9A5C24"/>
    <w:rsid w:val="3F9F290C"/>
    <w:rsid w:val="3FA50EB1"/>
    <w:rsid w:val="3FA51CB3"/>
    <w:rsid w:val="3FAA5049"/>
    <w:rsid w:val="3FB146A2"/>
    <w:rsid w:val="3FB157F6"/>
    <w:rsid w:val="3FB35A36"/>
    <w:rsid w:val="3FB361BB"/>
    <w:rsid w:val="3FB543FD"/>
    <w:rsid w:val="3FB62E0C"/>
    <w:rsid w:val="3FB96E7A"/>
    <w:rsid w:val="3FBC71A8"/>
    <w:rsid w:val="3FBD419A"/>
    <w:rsid w:val="3FBE399E"/>
    <w:rsid w:val="3FC10C55"/>
    <w:rsid w:val="3FC10E0A"/>
    <w:rsid w:val="3FC217B1"/>
    <w:rsid w:val="3FC419CD"/>
    <w:rsid w:val="3FC45529"/>
    <w:rsid w:val="3FC921F2"/>
    <w:rsid w:val="3FC935FF"/>
    <w:rsid w:val="3FCC2B06"/>
    <w:rsid w:val="3FCD30FD"/>
    <w:rsid w:val="3FCE45FA"/>
    <w:rsid w:val="3FD029F0"/>
    <w:rsid w:val="3FD414E4"/>
    <w:rsid w:val="3FD44D7F"/>
    <w:rsid w:val="3FDA2830"/>
    <w:rsid w:val="3FDC5D4A"/>
    <w:rsid w:val="3FDD4184"/>
    <w:rsid w:val="3FDE58A4"/>
    <w:rsid w:val="3FDF3B97"/>
    <w:rsid w:val="3FDF4AF7"/>
    <w:rsid w:val="3FE03829"/>
    <w:rsid w:val="3FE06FE9"/>
    <w:rsid w:val="3FE43E1D"/>
    <w:rsid w:val="3FE45BCB"/>
    <w:rsid w:val="3FE77469"/>
    <w:rsid w:val="3FE931E1"/>
    <w:rsid w:val="3FEB51AC"/>
    <w:rsid w:val="3FF040D1"/>
    <w:rsid w:val="3FF076F1"/>
    <w:rsid w:val="3FF13390"/>
    <w:rsid w:val="3FF322B2"/>
    <w:rsid w:val="3FF34060"/>
    <w:rsid w:val="3FF57DD8"/>
    <w:rsid w:val="3FF6673F"/>
    <w:rsid w:val="3FF7445C"/>
    <w:rsid w:val="3FF81676"/>
    <w:rsid w:val="3FF86C89"/>
    <w:rsid w:val="3FFD07E4"/>
    <w:rsid w:val="3FFD0B4F"/>
    <w:rsid w:val="3FFE7F58"/>
    <w:rsid w:val="3FFF4431"/>
    <w:rsid w:val="3FFF47B3"/>
    <w:rsid w:val="4000271A"/>
    <w:rsid w:val="400047FF"/>
    <w:rsid w:val="40057874"/>
    <w:rsid w:val="4006719B"/>
    <w:rsid w:val="40132A12"/>
    <w:rsid w:val="401435B0"/>
    <w:rsid w:val="4016588C"/>
    <w:rsid w:val="4017248D"/>
    <w:rsid w:val="401A4D5C"/>
    <w:rsid w:val="401C35B7"/>
    <w:rsid w:val="401D2804"/>
    <w:rsid w:val="401F30A7"/>
    <w:rsid w:val="401F3A0E"/>
    <w:rsid w:val="40240311"/>
    <w:rsid w:val="4028049C"/>
    <w:rsid w:val="40295CD4"/>
    <w:rsid w:val="402C1320"/>
    <w:rsid w:val="402D5F84"/>
    <w:rsid w:val="4034372C"/>
    <w:rsid w:val="40362FE4"/>
    <w:rsid w:val="403723ED"/>
    <w:rsid w:val="403812D5"/>
    <w:rsid w:val="40396B5A"/>
    <w:rsid w:val="403A63C1"/>
    <w:rsid w:val="403D009F"/>
    <w:rsid w:val="40454BCA"/>
    <w:rsid w:val="40463747"/>
    <w:rsid w:val="404722ED"/>
    <w:rsid w:val="404843AC"/>
    <w:rsid w:val="40491ED2"/>
    <w:rsid w:val="404A3804"/>
    <w:rsid w:val="405257D8"/>
    <w:rsid w:val="405373A7"/>
    <w:rsid w:val="40537DE8"/>
    <w:rsid w:val="4055142D"/>
    <w:rsid w:val="4057639D"/>
    <w:rsid w:val="405C1992"/>
    <w:rsid w:val="405F16F6"/>
    <w:rsid w:val="4060397D"/>
    <w:rsid w:val="40610FCA"/>
    <w:rsid w:val="40612931"/>
    <w:rsid w:val="40644F5E"/>
    <w:rsid w:val="406665E0"/>
    <w:rsid w:val="40695759"/>
    <w:rsid w:val="406B1E48"/>
    <w:rsid w:val="406C0479"/>
    <w:rsid w:val="40700133"/>
    <w:rsid w:val="40730CFD"/>
    <w:rsid w:val="40752CC7"/>
    <w:rsid w:val="407E6B3E"/>
    <w:rsid w:val="407E6D50"/>
    <w:rsid w:val="407F3B46"/>
    <w:rsid w:val="408A49C4"/>
    <w:rsid w:val="40907423"/>
    <w:rsid w:val="40924E1B"/>
    <w:rsid w:val="40935C2D"/>
    <w:rsid w:val="409529A8"/>
    <w:rsid w:val="40952AB4"/>
    <w:rsid w:val="40965062"/>
    <w:rsid w:val="4099576A"/>
    <w:rsid w:val="409A640B"/>
    <w:rsid w:val="409D0FBF"/>
    <w:rsid w:val="409F01E1"/>
    <w:rsid w:val="409F1AF2"/>
    <w:rsid w:val="40A030D6"/>
    <w:rsid w:val="40A05660"/>
    <w:rsid w:val="40A23390"/>
    <w:rsid w:val="40A62E81"/>
    <w:rsid w:val="40A71D1A"/>
    <w:rsid w:val="40A8660C"/>
    <w:rsid w:val="40A92971"/>
    <w:rsid w:val="40AB5F66"/>
    <w:rsid w:val="40AF7F27"/>
    <w:rsid w:val="40B10550"/>
    <w:rsid w:val="40B51316"/>
    <w:rsid w:val="40BA7762"/>
    <w:rsid w:val="40BE641C"/>
    <w:rsid w:val="40C01584"/>
    <w:rsid w:val="40C10337"/>
    <w:rsid w:val="40C12EC9"/>
    <w:rsid w:val="40C1415E"/>
    <w:rsid w:val="40C562F4"/>
    <w:rsid w:val="40C70819"/>
    <w:rsid w:val="40C72698"/>
    <w:rsid w:val="40C770F8"/>
    <w:rsid w:val="40C96B6F"/>
    <w:rsid w:val="40CA4807"/>
    <w:rsid w:val="40CE5334"/>
    <w:rsid w:val="40D05E19"/>
    <w:rsid w:val="40D63E3C"/>
    <w:rsid w:val="40D739F2"/>
    <w:rsid w:val="40E35E83"/>
    <w:rsid w:val="40E45EC4"/>
    <w:rsid w:val="40E568A6"/>
    <w:rsid w:val="40E6526D"/>
    <w:rsid w:val="40E8793D"/>
    <w:rsid w:val="40EA3BA5"/>
    <w:rsid w:val="40ED4F53"/>
    <w:rsid w:val="40EE5171"/>
    <w:rsid w:val="40F37EE8"/>
    <w:rsid w:val="40F40090"/>
    <w:rsid w:val="40F47828"/>
    <w:rsid w:val="40F57A4A"/>
    <w:rsid w:val="40F736DC"/>
    <w:rsid w:val="40FC5196"/>
    <w:rsid w:val="41022BBA"/>
    <w:rsid w:val="41033C84"/>
    <w:rsid w:val="41076015"/>
    <w:rsid w:val="410A1661"/>
    <w:rsid w:val="410B7187"/>
    <w:rsid w:val="410F0A26"/>
    <w:rsid w:val="411029F0"/>
    <w:rsid w:val="411424E0"/>
    <w:rsid w:val="41184EF3"/>
    <w:rsid w:val="411B561D"/>
    <w:rsid w:val="411C6AA3"/>
    <w:rsid w:val="411E510D"/>
    <w:rsid w:val="412073E8"/>
    <w:rsid w:val="412169AB"/>
    <w:rsid w:val="41265D6F"/>
    <w:rsid w:val="412732C0"/>
    <w:rsid w:val="41281AE7"/>
    <w:rsid w:val="41297D82"/>
    <w:rsid w:val="412D2AD6"/>
    <w:rsid w:val="412D70FE"/>
    <w:rsid w:val="412F10C8"/>
    <w:rsid w:val="41326E0A"/>
    <w:rsid w:val="413606A8"/>
    <w:rsid w:val="413B181B"/>
    <w:rsid w:val="413D1A37"/>
    <w:rsid w:val="413E2B63"/>
    <w:rsid w:val="413E2D18"/>
    <w:rsid w:val="41401527"/>
    <w:rsid w:val="41456B3D"/>
    <w:rsid w:val="414B660D"/>
    <w:rsid w:val="414D154E"/>
    <w:rsid w:val="4153125A"/>
    <w:rsid w:val="4153338C"/>
    <w:rsid w:val="41581D4D"/>
    <w:rsid w:val="415F6CF4"/>
    <w:rsid w:val="41610FD0"/>
    <w:rsid w:val="41632549"/>
    <w:rsid w:val="41662610"/>
    <w:rsid w:val="41670FDA"/>
    <w:rsid w:val="41690D82"/>
    <w:rsid w:val="416A7C0C"/>
    <w:rsid w:val="416F3BBA"/>
    <w:rsid w:val="41772210"/>
    <w:rsid w:val="4177481D"/>
    <w:rsid w:val="41782A6F"/>
    <w:rsid w:val="41792343"/>
    <w:rsid w:val="417967E7"/>
    <w:rsid w:val="417D7802"/>
    <w:rsid w:val="417E7959"/>
    <w:rsid w:val="417F09A2"/>
    <w:rsid w:val="4180068F"/>
    <w:rsid w:val="418331C2"/>
    <w:rsid w:val="41870F04"/>
    <w:rsid w:val="418807D8"/>
    <w:rsid w:val="41894C7C"/>
    <w:rsid w:val="418D4040"/>
    <w:rsid w:val="41921BB6"/>
    <w:rsid w:val="41923405"/>
    <w:rsid w:val="41946B4A"/>
    <w:rsid w:val="41967399"/>
    <w:rsid w:val="41970CA5"/>
    <w:rsid w:val="419B4E4D"/>
    <w:rsid w:val="41A03D74"/>
    <w:rsid w:val="41A156F1"/>
    <w:rsid w:val="41A15A5D"/>
    <w:rsid w:val="41A179C6"/>
    <w:rsid w:val="41A46002"/>
    <w:rsid w:val="41A70B62"/>
    <w:rsid w:val="41A75102"/>
    <w:rsid w:val="41A85549"/>
    <w:rsid w:val="41A90E7A"/>
    <w:rsid w:val="41A955EA"/>
    <w:rsid w:val="41A970CC"/>
    <w:rsid w:val="41AA074E"/>
    <w:rsid w:val="41AA2E44"/>
    <w:rsid w:val="41AA6985"/>
    <w:rsid w:val="41B15EE3"/>
    <w:rsid w:val="41B1652B"/>
    <w:rsid w:val="41B23984"/>
    <w:rsid w:val="41B37B9E"/>
    <w:rsid w:val="41B676E4"/>
    <w:rsid w:val="41B96BE3"/>
    <w:rsid w:val="41BB0BAE"/>
    <w:rsid w:val="41BB2C20"/>
    <w:rsid w:val="41BD4926"/>
    <w:rsid w:val="41BF1594"/>
    <w:rsid w:val="41C00631"/>
    <w:rsid w:val="41C332C4"/>
    <w:rsid w:val="41C537DA"/>
    <w:rsid w:val="41C757A4"/>
    <w:rsid w:val="41CC4968"/>
    <w:rsid w:val="41CC6917"/>
    <w:rsid w:val="41CE268F"/>
    <w:rsid w:val="41CF2217"/>
    <w:rsid w:val="41D35EF7"/>
    <w:rsid w:val="41D37CA5"/>
    <w:rsid w:val="41D528B2"/>
    <w:rsid w:val="41D633BC"/>
    <w:rsid w:val="41DB6C4C"/>
    <w:rsid w:val="41DC6703"/>
    <w:rsid w:val="41DD28D2"/>
    <w:rsid w:val="41DD71C3"/>
    <w:rsid w:val="41DF2AEE"/>
    <w:rsid w:val="41DF59E2"/>
    <w:rsid w:val="41E21E0C"/>
    <w:rsid w:val="41E33C60"/>
    <w:rsid w:val="41E57B4F"/>
    <w:rsid w:val="41E73751"/>
    <w:rsid w:val="41E77BF5"/>
    <w:rsid w:val="41E85BC6"/>
    <w:rsid w:val="41EB7C13"/>
    <w:rsid w:val="41EE2D31"/>
    <w:rsid w:val="41F33DFE"/>
    <w:rsid w:val="41F7499E"/>
    <w:rsid w:val="41FE7452"/>
    <w:rsid w:val="42021C48"/>
    <w:rsid w:val="420662CD"/>
    <w:rsid w:val="42096F4A"/>
    <w:rsid w:val="420A5094"/>
    <w:rsid w:val="420C58CB"/>
    <w:rsid w:val="420E6F2F"/>
    <w:rsid w:val="42101F57"/>
    <w:rsid w:val="42154762"/>
    <w:rsid w:val="4216154E"/>
    <w:rsid w:val="42162288"/>
    <w:rsid w:val="42164036"/>
    <w:rsid w:val="42186000"/>
    <w:rsid w:val="421D7172"/>
    <w:rsid w:val="422420A8"/>
    <w:rsid w:val="42276243"/>
    <w:rsid w:val="422E5CAE"/>
    <w:rsid w:val="422E7D02"/>
    <w:rsid w:val="42324A15"/>
    <w:rsid w:val="42324E73"/>
    <w:rsid w:val="42336996"/>
    <w:rsid w:val="4235270E"/>
    <w:rsid w:val="42360234"/>
    <w:rsid w:val="423707F6"/>
    <w:rsid w:val="423773F7"/>
    <w:rsid w:val="423A0160"/>
    <w:rsid w:val="423C0698"/>
    <w:rsid w:val="423C1375"/>
    <w:rsid w:val="423D15C3"/>
    <w:rsid w:val="423E2768"/>
    <w:rsid w:val="42415557"/>
    <w:rsid w:val="424262E2"/>
    <w:rsid w:val="424278CA"/>
    <w:rsid w:val="42434AC7"/>
    <w:rsid w:val="42437F21"/>
    <w:rsid w:val="424524DD"/>
    <w:rsid w:val="4246115D"/>
    <w:rsid w:val="424F2F1B"/>
    <w:rsid w:val="4253691F"/>
    <w:rsid w:val="42537038"/>
    <w:rsid w:val="4259773D"/>
    <w:rsid w:val="425B5EAB"/>
    <w:rsid w:val="425C1690"/>
    <w:rsid w:val="425C6CDF"/>
    <w:rsid w:val="426305CA"/>
    <w:rsid w:val="4269060A"/>
    <w:rsid w:val="4269685C"/>
    <w:rsid w:val="426B25D4"/>
    <w:rsid w:val="426B6130"/>
    <w:rsid w:val="426C62D9"/>
    <w:rsid w:val="426E4414"/>
    <w:rsid w:val="426E5C20"/>
    <w:rsid w:val="427162B2"/>
    <w:rsid w:val="42723962"/>
    <w:rsid w:val="42733236"/>
    <w:rsid w:val="42753EA0"/>
    <w:rsid w:val="427D66D0"/>
    <w:rsid w:val="427E7B1C"/>
    <w:rsid w:val="42823479"/>
    <w:rsid w:val="42826DD7"/>
    <w:rsid w:val="428464EB"/>
    <w:rsid w:val="42846DE5"/>
    <w:rsid w:val="428471F1"/>
    <w:rsid w:val="42872737"/>
    <w:rsid w:val="428D254A"/>
    <w:rsid w:val="428D5136"/>
    <w:rsid w:val="428E32D4"/>
    <w:rsid w:val="42935686"/>
    <w:rsid w:val="4296196A"/>
    <w:rsid w:val="4297056C"/>
    <w:rsid w:val="429F402B"/>
    <w:rsid w:val="42A0790E"/>
    <w:rsid w:val="42A17DA3"/>
    <w:rsid w:val="42A27846"/>
    <w:rsid w:val="42A31D6D"/>
    <w:rsid w:val="42A72EE0"/>
    <w:rsid w:val="42A8040F"/>
    <w:rsid w:val="42A917D6"/>
    <w:rsid w:val="42A94EAA"/>
    <w:rsid w:val="42A95270"/>
    <w:rsid w:val="42A95947"/>
    <w:rsid w:val="42AB6E74"/>
    <w:rsid w:val="42B51912"/>
    <w:rsid w:val="42B5384F"/>
    <w:rsid w:val="42BA0E65"/>
    <w:rsid w:val="42BE6BA7"/>
    <w:rsid w:val="42C56F23"/>
    <w:rsid w:val="42C929F1"/>
    <w:rsid w:val="42CE526A"/>
    <w:rsid w:val="42D04EED"/>
    <w:rsid w:val="42D069A7"/>
    <w:rsid w:val="42D31499"/>
    <w:rsid w:val="42D357B4"/>
    <w:rsid w:val="42D75573"/>
    <w:rsid w:val="42DC0DDB"/>
    <w:rsid w:val="42DC702D"/>
    <w:rsid w:val="42DC761B"/>
    <w:rsid w:val="42DE0FF8"/>
    <w:rsid w:val="42E1403A"/>
    <w:rsid w:val="42E36E7A"/>
    <w:rsid w:val="42E47C90"/>
    <w:rsid w:val="42E706EE"/>
    <w:rsid w:val="42E87780"/>
    <w:rsid w:val="42EA174A"/>
    <w:rsid w:val="42EB101F"/>
    <w:rsid w:val="42F00D2B"/>
    <w:rsid w:val="42F04887"/>
    <w:rsid w:val="42F223AD"/>
    <w:rsid w:val="42F91AD0"/>
    <w:rsid w:val="42FC76D0"/>
    <w:rsid w:val="430118BA"/>
    <w:rsid w:val="43042D00"/>
    <w:rsid w:val="43046D21"/>
    <w:rsid w:val="43065568"/>
    <w:rsid w:val="430976F7"/>
    <w:rsid w:val="431039E9"/>
    <w:rsid w:val="43105D77"/>
    <w:rsid w:val="431402B1"/>
    <w:rsid w:val="43171E14"/>
    <w:rsid w:val="43192030"/>
    <w:rsid w:val="431D01F7"/>
    <w:rsid w:val="43217136"/>
    <w:rsid w:val="43244A8B"/>
    <w:rsid w:val="4326474D"/>
    <w:rsid w:val="432946E3"/>
    <w:rsid w:val="432D1637"/>
    <w:rsid w:val="432D51F3"/>
    <w:rsid w:val="433429C6"/>
    <w:rsid w:val="433751CB"/>
    <w:rsid w:val="433779FE"/>
    <w:rsid w:val="433B01F8"/>
    <w:rsid w:val="433D771B"/>
    <w:rsid w:val="4346094B"/>
    <w:rsid w:val="43470FC7"/>
    <w:rsid w:val="43487CF9"/>
    <w:rsid w:val="434B0262"/>
    <w:rsid w:val="434C41B3"/>
    <w:rsid w:val="43526A49"/>
    <w:rsid w:val="435412BA"/>
    <w:rsid w:val="43547DFD"/>
    <w:rsid w:val="435530CD"/>
    <w:rsid w:val="43553439"/>
    <w:rsid w:val="43567AA0"/>
    <w:rsid w:val="43582AB4"/>
    <w:rsid w:val="435A4BCB"/>
    <w:rsid w:val="43611D8C"/>
    <w:rsid w:val="43617533"/>
    <w:rsid w:val="436314FD"/>
    <w:rsid w:val="43655275"/>
    <w:rsid w:val="4366315A"/>
    <w:rsid w:val="436A4639"/>
    <w:rsid w:val="436D4DEC"/>
    <w:rsid w:val="43747266"/>
    <w:rsid w:val="43767C06"/>
    <w:rsid w:val="43782F65"/>
    <w:rsid w:val="4379487C"/>
    <w:rsid w:val="437A41A8"/>
    <w:rsid w:val="438020AF"/>
    <w:rsid w:val="438374A9"/>
    <w:rsid w:val="438751EB"/>
    <w:rsid w:val="4391543F"/>
    <w:rsid w:val="43925E19"/>
    <w:rsid w:val="439534B7"/>
    <w:rsid w:val="439632BE"/>
    <w:rsid w:val="43992AD7"/>
    <w:rsid w:val="439B0C97"/>
    <w:rsid w:val="439D4A0F"/>
    <w:rsid w:val="439E5955"/>
    <w:rsid w:val="439F61E6"/>
    <w:rsid w:val="43A055EF"/>
    <w:rsid w:val="43A53A1F"/>
    <w:rsid w:val="43A55671"/>
    <w:rsid w:val="43A85162"/>
    <w:rsid w:val="43AD109A"/>
    <w:rsid w:val="43B35FE0"/>
    <w:rsid w:val="43B96A7B"/>
    <w:rsid w:val="43BC2E35"/>
    <w:rsid w:val="43BC75C6"/>
    <w:rsid w:val="43BD0C0D"/>
    <w:rsid w:val="43BD5690"/>
    <w:rsid w:val="43BE4985"/>
    <w:rsid w:val="43BE5141"/>
    <w:rsid w:val="43C006FD"/>
    <w:rsid w:val="43C318BF"/>
    <w:rsid w:val="43C3375F"/>
    <w:rsid w:val="43C42038"/>
    <w:rsid w:val="43C71A8C"/>
    <w:rsid w:val="43C7383A"/>
    <w:rsid w:val="43C7531C"/>
    <w:rsid w:val="43C95142"/>
    <w:rsid w:val="43D321DE"/>
    <w:rsid w:val="43D9531B"/>
    <w:rsid w:val="43DB5572"/>
    <w:rsid w:val="43DC60B2"/>
    <w:rsid w:val="43DE5648"/>
    <w:rsid w:val="43DF6A64"/>
    <w:rsid w:val="43E51449"/>
    <w:rsid w:val="43E70053"/>
    <w:rsid w:val="43E71D40"/>
    <w:rsid w:val="43E72417"/>
    <w:rsid w:val="43E73EDC"/>
    <w:rsid w:val="43E97226"/>
    <w:rsid w:val="43EA7528"/>
    <w:rsid w:val="43EE526A"/>
    <w:rsid w:val="43EF4B3E"/>
    <w:rsid w:val="43F32881"/>
    <w:rsid w:val="43F35365"/>
    <w:rsid w:val="43F37FEF"/>
    <w:rsid w:val="43F54A3E"/>
    <w:rsid w:val="43F65ECD"/>
    <w:rsid w:val="43FE4C25"/>
    <w:rsid w:val="44055D98"/>
    <w:rsid w:val="44064FEB"/>
    <w:rsid w:val="44075328"/>
    <w:rsid w:val="4408366A"/>
    <w:rsid w:val="44083A49"/>
    <w:rsid w:val="44103433"/>
    <w:rsid w:val="441454E1"/>
    <w:rsid w:val="441710D3"/>
    <w:rsid w:val="441B3B85"/>
    <w:rsid w:val="44213356"/>
    <w:rsid w:val="44213794"/>
    <w:rsid w:val="44213AFF"/>
    <w:rsid w:val="44227892"/>
    <w:rsid w:val="442413AE"/>
    <w:rsid w:val="44244FD7"/>
    <w:rsid w:val="44253167"/>
    <w:rsid w:val="4427252A"/>
    <w:rsid w:val="44277A54"/>
    <w:rsid w:val="442944F4"/>
    <w:rsid w:val="442962A2"/>
    <w:rsid w:val="442A14E0"/>
    <w:rsid w:val="442A3DC9"/>
    <w:rsid w:val="442D0C69"/>
    <w:rsid w:val="442E5947"/>
    <w:rsid w:val="442F241B"/>
    <w:rsid w:val="442F62DC"/>
    <w:rsid w:val="44345E0D"/>
    <w:rsid w:val="443469F5"/>
    <w:rsid w:val="4436451B"/>
    <w:rsid w:val="44366C11"/>
    <w:rsid w:val="44384737"/>
    <w:rsid w:val="443A6796"/>
    <w:rsid w:val="443F47E0"/>
    <w:rsid w:val="443F6F60"/>
    <w:rsid w:val="443F7874"/>
    <w:rsid w:val="44425174"/>
    <w:rsid w:val="444412C1"/>
    <w:rsid w:val="4447042E"/>
    <w:rsid w:val="444924A1"/>
    <w:rsid w:val="444A6219"/>
    <w:rsid w:val="444C1F91"/>
    <w:rsid w:val="444C6312"/>
    <w:rsid w:val="444F0360"/>
    <w:rsid w:val="445157F9"/>
    <w:rsid w:val="445C03A1"/>
    <w:rsid w:val="445C3F1A"/>
    <w:rsid w:val="445F1CC4"/>
    <w:rsid w:val="445F7F16"/>
    <w:rsid w:val="44606C49"/>
    <w:rsid w:val="446215AB"/>
    <w:rsid w:val="44623562"/>
    <w:rsid w:val="44670B79"/>
    <w:rsid w:val="44693A30"/>
    <w:rsid w:val="446A6F83"/>
    <w:rsid w:val="446C1E10"/>
    <w:rsid w:val="446C5429"/>
    <w:rsid w:val="446E63AB"/>
    <w:rsid w:val="44753296"/>
    <w:rsid w:val="447B1FAC"/>
    <w:rsid w:val="447B737A"/>
    <w:rsid w:val="447B7530"/>
    <w:rsid w:val="44816692"/>
    <w:rsid w:val="448259B3"/>
    <w:rsid w:val="4486216C"/>
    <w:rsid w:val="44867251"/>
    <w:rsid w:val="4487121B"/>
    <w:rsid w:val="44871A95"/>
    <w:rsid w:val="448F2126"/>
    <w:rsid w:val="44904CF7"/>
    <w:rsid w:val="44905151"/>
    <w:rsid w:val="44906FD3"/>
    <w:rsid w:val="44915D3F"/>
    <w:rsid w:val="44951994"/>
    <w:rsid w:val="44986F84"/>
    <w:rsid w:val="449C4CC6"/>
    <w:rsid w:val="44A02EB4"/>
    <w:rsid w:val="44A3011A"/>
    <w:rsid w:val="44A9589D"/>
    <w:rsid w:val="44AB4F09"/>
    <w:rsid w:val="44B07BCE"/>
    <w:rsid w:val="44B244EA"/>
    <w:rsid w:val="44B26C00"/>
    <w:rsid w:val="44B357EE"/>
    <w:rsid w:val="44B91F64"/>
    <w:rsid w:val="44BA6EFA"/>
    <w:rsid w:val="44BC7116"/>
    <w:rsid w:val="44BD69EB"/>
    <w:rsid w:val="44BF1204"/>
    <w:rsid w:val="44C152BA"/>
    <w:rsid w:val="44C22253"/>
    <w:rsid w:val="44C23E37"/>
    <w:rsid w:val="44C304A5"/>
    <w:rsid w:val="44C361AF"/>
    <w:rsid w:val="44C53E38"/>
    <w:rsid w:val="44C6048B"/>
    <w:rsid w:val="44C60F05"/>
    <w:rsid w:val="44C70E65"/>
    <w:rsid w:val="44C77869"/>
    <w:rsid w:val="44CF78E2"/>
    <w:rsid w:val="44D0671E"/>
    <w:rsid w:val="44D108E9"/>
    <w:rsid w:val="44D426B2"/>
    <w:rsid w:val="44D97CC8"/>
    <w:rsid w:val="44DA134B"/>
    <w:rsid w:val="44DA57EF"/>
    <w:rsid w:val="44DB01A8"/>
    <w:rsid w:val="44DC3315"/>
    <w:rsid w:val="44DF1057"/>
    <w:rsid w:val="44E346A3"/>
    <w:rsid w:val="44E36EBE"/>
    <w:rsid w:val="44E63B0C"/>
    <w:rsid w:val="44E95A32"/>
    <w:rsid w:val="44EB3558"/>
    <w:rsid w:val="44EE5712"/>
    <w:rsid w:val="44EF0897"/>
    <w:rsid w:val="44F07163"/>
    <w:rsid w:val="44F07327"/>
    <w:rsid w:val="44F3240C"/>
    <w:rsid w:val="44F543D6"/>
    <w:rsid w:val="44F6162D"/>
    <w:rsid w:val="44F7014F"/>
    <w:rsid w:val="44FA12F2"/>
    <w:rsid w:val="44FE16D9"/>
    <w:rsid w:val="45056DB6"/>
    <w:rsid w:val="450665E4"/>
    <w:rsid w:val="450B7471"/>
    <w:rsid w:val="451058BD"/>
    <w:rsid w:val="451206E6"/>
    <w:rsid w:val="451231DA"/>
    <w:rsid w:val="451627E9"/>
    <w:rsid w:val="45181160"/>
    <w:rsid w:val="45181E73"/>
    <w:rsid w:val="45187186"/>
    <w:rsid w:val="451C1963"/>
    <w:rsid w:val="451E392D"/>
    <w:rsid w:val="452151CC"/>
    <w:rsid w:val="452236D2"/>
    <w:rsid w:val="45234EE5"/>
    <w:rsid w:val="452847AC"/>
    <w:rsid w:val="452C215F"/>
    <w:rsid w:val="45366D5A"/>
    <w:rsid w:val="453933F0"/>
    <w:rsid w:val="453A003B"/>
    <w:rsid w:val="453B5179"/>
    <w:rsid w:val="453F180C"/>
    <w:rsid w:val="45422C77"/>
    <w:rsid w:val="454421FA"/>
    <w:rsid w:val="45447252"/>
    <w:rsid w:val="4545107A"/>
    <w:rsid w:val="4545122F"/>
    <w:rsid w:val="454602CD"/>
    <w:rsid w:val="45466415"/>
    <w:rsid w:val="45476FB4"/>
    <w:rsid w:val="45483A10"/>
    <w:rsid w:val="45513D03"/>
    <w:rsid w:val="45517DB9"/>
    <w:rsid w:val="45524726"/>
    <w:rsid w:val="455340E3"/>
    <w:rsid w:val="45575091"/>
    <w:rsid w:val="455A06DD"/>
    <w:rsid w:val="45660E30"/>
    <w:rsid w:val="45680710"/>
    <w:rsid w:val="456A3521"/>
    <w:rsid w:val="456A75B3"/>
    <w:rsid w:val="456B3D6F"/>
    <w:rsid w:val="45701CAF"/>
    <w:rsid w:val="45725A27"/>
    <w:rsid w:val="45730502"/>
    <w:rsid w:val="45737E49"/>
    <w:rsid w:val="4574354D"/>
    <w:rsid w:val="45795008"/>
    <w:rsid w:val="457C2402"/>
    <w:rsid w:val="457C4AF8"/>
    <w:rsid w:val="457E75E3"/>
    <w:rsid w:val="457F4BC7"/>
    <w:rsid w:val="457F63EC"/>
    <w:rsid w:val="45801017"/>
    <w:rsid w:val="45864B7E"/>
    <w:rsid w:val="45865AFC"/>
    <w:rsid w:val="458B7560"/>
    <w:rsid w:val="458E3C92"/>
    <w:rsid w:val="458F33E6"/>
    <w:rsid w:val="45921C25"/>
    <w:rsid w:val="45946363"/>
    <w:rsid w:val="45961716"/>
    <w:rsid w:val="45965BB9"/>
    <w:rsid w:val="459736E0"/>
    <w:rsid w:val="459B31D0"/>
    <w:rsid w:val="459D4D36"/>
    <w:rsid w:val="459E4A6E"/>
    <w:rsid w:val="45A00D58"/>
    <w:rsid w:val="45A04342"/>
    <w:rsid w:val="45A52CD8"/>
    <w:rsid w:val="45A656D1"/>
    <w:rsid w:val="45A73923"/>
    <w:rsid w:val="45AC24BE"/>
    <w:rsid w:val="45AC2970"/>
    <w:rsid w:val="45AC7E7F"/>
    <w:rsid w:val="45AD6A5F"/>
    <w:rsid w:val="45B002FD"/>
    <w:rsid w:val="45B1654F"/>
    <w:rsid w:val="45B26851"/>
    <w:rsid w:val="45B3428A"/>
    <w:rsid w:val="45B93E4A"/>
    <w:rsid w:val="45BC6EF2"/>
    <w:rsid w:val="45C2701C"/>
    <w:rsid w:val="45C37AE6"/>
    <w:rsid w:val="45C543A0"/>
    <w:rsid w:val="45C67B21"/>
    <w:rsid w:val="45C75D73"/>
    <w:rsid w:val="45C85F51"/>
    <w:rsid w:val="45C86107"/>
    <w:rsid w:val="45CC15DB"/>
    <w:rsid w:val="45CE5353"/>
    <w:rsid w:val="45CF4D82"/>
    <w:rsid w:val="45D67D64"/>
    <w:rsid w:val="45D72B32"/>
    <w:rsid w:val="45DE30BD"/>
    <w:rsid w:val="45DE4E6B"/>
    <w:rsid w:val="45DF2CC9"/>
    <w:rsid w:val="45E259D1"/>
    <w:rsid w:val="45E435E2"/>
    <w:rsid w:val="45E5269D"/>
    <w:rsid w:val="45E611FC"/>
    <w:rsid w:val="45E74737"/>
    <w:rsid w:val="45EC3A2B"/>
    <w:rsid w:val="45ED1043"/>
    <w:rsid w:val="45ED50AE"/>
    <w:rsid w:val="45EF121D"/>
    <w:rsid w:val="45EF7078"/>
    <w:rsid w:val="45F610F0"/>
    <w:rsid w:val="45F621B4"/>
    <w:rsid w:val="45F85F7F"/>
    <w:rsid w:val="45F91CA4"/>
    <w:rsid w:val="45FD63F2"/>
    <w:rsid w:val="45FE72BB"/>
    <w:rsid w:val="460348D1"/>
    <w:rsid w:val="46035E4B"/>
    <w:rsid w:val="46050649"/>
    <w:rsid w:val="46052FFA"/>
    <w:rsid w:val="46056014"/>
    <w:rsid w:val="46144D30"/>
    <w:rsid w:val="461818B8"/>
    <w:rsid w:val="46185FCE"/>
    <w:rsid w:val="461928C0"/>
    <w:rsid w:val="461B348E"/>
    <w:rsid w:val="461D2811"/>
    <w:rsid w:val="461D3BE5"/>
    <w:rsid w:val="4622468B"/>
    <w:rsid w:val="46226C13"/>
    <w:rsid w:val="46245B19"/>
    <w:rsid w:val="4629258A"/>
    <w:rsid w:val="462C207A"/>
    <w:rsid w:val="462D06BA"/>
    <w:rsid w:val="462E5DF2"/>
    <w:rsid w:val="462F542D"/>
    <w:rsid w:val="46323D4A"/>
    <w:rsid w:val="463351B6"/>
    <w:rsid w:val="46366A55"/>
    <w:rsid w:val="463926E5"/>
    <w:rsid w:val="46394F03"/>
    <w:rsid w:val="463B4C52"/>
    <w:rsid w:val="46454EEA"/>
    <w:rsid w:val="46476EB4"/>
    <w:rsid w:val="464949DA"/>
    <w:rsid w:val="464E1EF3"/>
    <w:rsid w:val="464E341B"/>
    <w:rsid w:val="464E3D9E"/>
    <w:rsid w:val="46586D4B"/>
    <w:rsid w:val="465A4338"/>
    <w:rsid w:val="465B3C62"/>
    <w:rsid w:val="465C2A22"/>
    <w:rsid w:val="465E2BBD"/>
    <w:rsid w:val="46601D24"/>
    <w:rsid w:val="4662784A"/>
    <w:rsid w:val="466435C2"/>
    <w:rsid w:val="46690BD8"/>
    <w:rsid w:val="466A5972"/>
    <w:rsid w:val="466B2BA2"/>
    <w:rsid w:val="466E0464"/>
    <w:rsid w:val="466E773B"/>
    <w:rsid w:val="4670640B"/>
    <w:rsid w:val="46767799"/>
    <w:rsid w:val="467A2DE5"/>
    <w:rsid w:val="467F4AF1"/>
    <w:rsid w:val="468054CC"/>
    <w:rsid w:val="4686695F"/>
    <w:rsid w:val="468974CC"/>
    <w:rsid w:val="468B592A"/>
    <w:rsid w:val="468B5AEE"/>
    <w:rsid w:val="4694191B"/>
    <w:rsid w:val="46954FDF"/>
    <w:rsid w:val="46963997"/>
    <w:rsid w:val="469D0882"/>
    <w:rsid w:val="469F0A9E"/>
    <w:rsid w:val="469F3711"/>
    <w:rsid w:val="46A04C6D"/>
    <w:rsid w:val="46A12D50"/>
    <w:rsid w:val="46A2071E"/>
    <w:rsid w:val="46A50CD8"/>
    <w:rsid w:val="46A83B75"/>
    <w:rsid w:val="46AB4F07"/>
    <w:rsid w:val="46AC6D17"/>
    <w:rsid w:val="46AE6F33"/>
    <w:rsid w:val="46AE7BBD"/>
    <w:rsid w:val="46AF79F9"/>
    <w:rsid w:val="46B02465"/>
    <w:rsid w:val="46B22A95"/>
    <w:rsid w:val="46B502C1"/>
    <w:rsid w:val="46B9747D"/>
    <w:rsid w:val="46C027C2"/>
    <w:rsid w:val="46C2478C"/>
    <w:rsid w:val="46C36B78"/>
    <w:rsid w:val="46C500F1"/>
    <w:rsid w:val="46C71DA3"/>
    <w:rsid w:val="46C73B51"/>
    <w:rsid w:val="46C91405"/>
    <w:rsid w:val="46C93D6D"/>
    <w:rsid w:val="46CC0E18"/>
    <w:rsid w:val="46CC5A5D"/>
    <w:rsid w:val="46CD2079"/>
    <w:rsid w:val="46CE4EDF"/>
    <w:rsid w:val="46D0030E"/>
    <w:rsid w:val="46D14E32"/>
    <w:rsid w:val="46D1677D"/>
    <w:rsid w:val="46D544C0"/>
    <w:rsid w:val="46DA1AD6"/>
    <w:rsid w:val="46DC29FE"/>
    <w:rsid w:val="46DD1730"/>
    <w:rsid w:val="46DF70EC"/>
    <w:rsid w:val="46E86AE3"/>
    <w:rsid w:val="46EA301B"/>
    <w:rsid w:val="46EA58B1"/>
    <w:rsid w:val="46EA64F6"/>
    <w:rsid w:val="46EB3CE3"/>
    <w:rsid w:val="46ED7A5B"/>
    <w:rsid w:val="46EE04C6"/>
    <w:rsid w:val="46EE5581"/>
    <w:rsid w:val="46EF6F8D"/>
    <w:rsid w:val="46F336A8"/>
    <w:rsid w:val="46F34946"/>
    <w:rsid w:val="46F752D4"/>
    <w:rsid w:val="46F85D21"/>
    <w:rsid w:val="46F874DF"/>
    <w:rsid w:val="46F96318"/>
    <w:rsid w:val="46FA7354"/>
    <w:rsid w:val="46FF481C"/>
    <w:rsid w:val="47040901"/>
    <w:rsid w:val="47044DA5"/>
    <w:rsid w:val="47057685"/>
    <w:rsid w:val="47095F17"/>
    <w:rsid w:val="470D5A07"/>
    <w:rsid w:val="470E1780"/>
    <w:rsid w:val="470F55A1"/>
    <w:rsid w:val="470F6F45"/>
    <w:rsid w:val="471072A6"/>
    <w:rsid w:val="4712301E"/>
    <w:rsid w:val="47174AD8"/>
    <w:rsid w:val="471A6804"/>
    <w:rsid w:val="471E7C15"/>
    <w:rsid w:val="47243751"/>
    <w:rsid w:val="47255CCC"/>
    <w:rsid w:val="47264120"/>
    <w:rsid w:val="4729480B"/>
    <w:rsid w:val="472B0752"/>
    <w:rsid w:val="473236C0"/>
    <w:rsid w:val="47325CCF"/>
    <w:rsid w:val="473A2575"/>
    <w:rsid w:val="473B3092"/>
    <w:rsid w:val="473D7C6E"/>
    <w:rsid w:val="473E5455"/>
    <w:rsid w:val="4741335D"/>
    <w:rsid w:val="47431429"/>
    <w:rsid w:val="47444A9C"/>
    <w:rsid w:val="47456240"/>
    <w:rsid w:val="47466A45"/>
    <w:rsid w:val="47471B82"/>
    <w:rsid w:val="4749020E"/>
    <w:rsid w:val="47490A0A"/>
    <w:rsid w:val="47493E4B"/>
    <w:rsid w:val="474A00D9"/>
    <w:rsid w:val="474B6530"/>
    <w:rsid w:val="474C0428"/>
    <w:rsid w:val="474C107E"/>
    <w:rsid w:val="474D04FA"/>
    <w:rsid w:val="474D674C"/>
    <w:rsid w:val="474E46DC"/>
    <w:rsid w:val="47503B46"/>
    <w:rsid w:val="47517078"/>
    <w:rsid w:val="475441CE"/>
    <w:rsid w:val="475A6890"/>
    <w:rsid w:val="475C073D"/>
    <w:rsid w:val="475D7EB0"/>
    <w:rsid w:val="475E7B80"/>
    <w:rsid w:val="4760218C"/>
    <w:rsid w:val="47605BC6"/>
    <w:rsid w:val="476364D9"/>
    <w:rsid w:val="476561F7"/>
    <w:rsid w:val="4766336A"/>
    <w:rsid w:val="476870E2"/>
    <w:rsid w:val="476C22E6"/>
    <w:rsid w:val="476D68F2"/>
    <w:rsid w:val="476F0470"/>
    <w:rsid w:val="477041E8"/>
    <w:rsid w:val="477737C9"/>
    <w:rsid w:val="477948E8"/>
    <w:rsid w:val="477A5EA1"/>
    <w:rsid w:val="477A6E15"/>
    <w:rsid w:val="477B7331"/>
    <w:rsid w:val="477E24AA"/>
    <w:rsid w:val="477E657B"/>
    <w:rsid w:val="477F7169"/>
    <w:rsid w:val="47807760"/>
    <w:rsid w:val="47825EAA"/>
    <w:rsid w:val="47834097"/>
    <w:rsid w:val="47841A42"/>
    <w:rsid w:val="47863A0C"/>
    <w:rsid w:val="478A0415"/>
    <w:rsid w:val="478A34FC"/>
    <w:rsid w:val="478A6B4C"/>
    <w:rsid w:val="478D25DE"/>
    <w:rsid w:val="478D6B48"/>
    <w:rsid w:val="478F28C0"/>
    <w:rsid w:val="4791488A"/>
    <w:rsid w:val="4792415F"/>
    <w:rsid w:val="479609ED"/>
    <w:rsid w:val="47981849"/>
    <w:rsid w:val="4799729B"/>
    <w:rsid w:val="479A3013"/>
    <w:rsid w:val="479A7985"/>
    <w:rsid w:val="479C68A6"/>
    <w:rsid w:val="47A07C6C"/>
    <w:rsid w:val="47A143A2"/>
    <w:rsid w:val="47A31550"/>
    <w:rsid w:val="47A73CBB"/>
    <w:rsid w:val="47A85461"/>
    <w:rsid w:val="47AF2F63"/>
    <w:rsid w:val="47B02AE1"/>
    <w:rsid w:val="47B265AF"/>
    <w:rsid w:val="47B40579"/>
    <w:rsid w:val="47B70069"/>
    <w:rsid w:val="47BA00D0"/>
    <w:rsid w:val="47C00CCC"/>
    <w:rsid w:val="47C40755"/>
    <w:rsid w:val="47C46FB6"/>
    <w:rsid w:val="47C47B5E"/>
    <w:rsid w:val="47C57124"/>
    <w:rsid w:val="47C6205A"/>
    <w:rsid w:val="47CB141F"/>
    <w:rsid w:val="47D32185"/>
    <w:rsid w:val="47D429C9"/>
    <w:rsid w:val="47D604EF"/>
    <w:rsid w:val="47D97D4C"/>
    <w:rsid w:val="47DB3D58"/>
    <w:rsid w:val="47DE55F6"/>
    <w:rsid w:val="47E114CB"/>
    <w:rsid w:val="47E26E94"/>
    <w:rsid w:val="47E6777F"/>
    <w:rsid w:val="47EE23CD"/>
    <w:rsid w:val="47EF7803"/>
    <w:rsid w:val="47F066FE"/>
    <w:rsid w:val="47F24F0F"/>
    <w:rsid w:val="47F250C5"/>
    <w:rsid w:val="47F46BC7"/>
    <w:rsid w:val="47F53213"/>
    <w:rsid w:val="47F61467"/>
    <w:rsid w:val="47F6649C"/>
    <w:rsid w:val="47FC782A"/>
    <w:rsid w:val="47FD0A59"/>
    <w:rsid w:val="47FE1A9F"/>
    <w:rsid w:val="47FF0499"/>
    <w:rsid w:val="480212E4"/>
    <w:rsid w:val="48027536"/>
    <w:rsid w:val="48036E0A"/>
    <w:rsid w:val="480908C5"/>
    <w:rsid w:val="480F1EC9"/>
    <w:rsid w:val="48141018"/>
    <w:rsid w:val="48172BDB"/>
    <w:rsid w:val="481B4154"/>
    <w:rsid w:val="481B5CDF"/>
    <w:rsid w:val="481C5609"/>
    <w:rsid w:val="481D485C"/>
    <w:rsid w:val="481E5DAA"/>
    <w:rsid w:val="48223734"/>
    <w:rsid w:val="48285E78"/>
    <w:rsid w:val="482B6E84"/>
    <w:rsid w:val="482B7710"/>
    <w:rsid w:val="482D3E87"/>
    <w:rsid w:val="48311BC9"/>
    <w:rsid w:val="48324F29"/>
    <w:rsid w:val="483B0352"/>
    <w:rsid w:val="48401E0D"/>
    <w:rsid w:val="48425B85"/>
    <w:rsid w:val="484D0086"/>
    <w:rsid w:val="484E53A6"/>
    <w:rsid w:val="484E555F"/>
    <w:rsid w:val="484F3DFE"/>
    <w:rsid w:val="485052AE"/>
    <w:rsid w:val="485458B8"/>
    <w:rsid w:val="4856518C"/>
    <w:rsid w:val="48580801"/>
    <w:rsid w:val="485823E2"/>
    <w:rsid w:val="48592ECE"/>
    <w:rsid w:val="48594C7C"/>
    <w:rsid w:val="485E7326"/>
    <w:rsid w:val="48610E04"/>
    <w:rsid w:val="48647785"/>
    <w:rsid w:val="48653621"/>
    <w:rsid w:val="4867383D"/>
    <w:rsid w:val="48684EBF"/>
    <w:rsid w:val="486C2C02"/>
    <w:rsid w:val="48703717"/>
    <w:rsid w:val="48711C16"/>
    <w:rsid w:val="4873326A"/>
    <w:rsid w:val="48734766"/>
    <w:rsid w:val="48735D3E"/>
    <w:rsid w:val="48757D08"/>
    <w:rsid w:val="4879594A"/>
    <w:rsid w:val="487B176D"/>
    <w:rsid w:val="488066AD"/>
    <w:rsid w:val="488340A3"/>
    <w:rsid w:val="4883440E"/>
    <w:rsid w:val="48861F15"/>
    <w:rsid w:val="488810B4"/>
    <w:rsid w:val="48894D7A"/>
    <w:rsid w:val="488C6BD7"/>
    <w:rsid w:val="488F0C66"/>
    <w:rsid w:val="4890006E"/>
    <w:rsid w:val="48907EB9"/>
    <w:rsid w:val="48916F56"/>
    <w:rsid w:val="48923A9B"/>
    <w:rsid w:val="489451D8"/>
    <w:rsid w:val="489B5295"/>
    <w:rsid w:val="489D6C31"/>
    <w:rsid w:val="489E35F8"/>
    <w:rsid w:val="489F1E0A"/>
    <w:rsid w:val="489F24E0"/>
    <w:rsid w:val="48A203D1"/>
    <w:rsid w:val="48A67538"/>
    <w:rsid w:val="48A759E8"/>
    <w:rsid w:val="48AB372A"/>
    <w:rsid w:val="48AB3C02"/>
    <w:rsid w:val="48AB646F"/>
    <w:rsid w:val="48AC1250"/>
    <w:rsid w:val="48AD5394"/>
    <w:rsid w:val="48AE0D54"/>
    <w:rsid w:val="48B32D15"/>
    <w:rsid w:val="48BB1E89"/>
    <w:rsid w:val="48BD520B"/>
    <w:rsid w:val="48BF7D7E"/>
    <w:rsid w:val="48C04CFB"/>
    <w:rsid w:val="48C269A2"/>
    <w:rsid w:val="48CE566A"/>
    <w:rsid w:val="48D24046"/>
    <w:rsid w:val="48D3130D"/>
    <w:rsid w:val="48D31904"/>
    <w:rsid w:val="48D35608"/>
    <w:rsid w:val="48D52555"/>
    <w:rsid w:val="48D55147"/>
    <w:rsid w:val="48D727BB"/>
    <w:rsid w:val="48DA2FD2"/>
    <w:rsid w:val="48DA7B6B"/>
    <w:rsid w:val="48DB63FB"/>
    <w:rsid w:val="48E0229A"/>
    <w:rsid w:val="48E938EC"/>
    <w:rsid w:val="48EB47DC"/>
    <w:rsid w:val="48EC5AF0"/>
    <w:rsid w:val="48EC789E"/>
    <w:rsid w:val="48EE3617"/>
    <w:rsid w:val="48F00331"/>
    <w:rsid w:val="48F21359"/>
    <w:rsid w:val="48F36E7F"/>
    <w:rsid w:val="48F510A4"/>
    <w:rsid w:val="48F54724"/>
    <w:rsid w:val="48F771DF"/>
    <w:rsid w:val="48F93F0D"/>
    <w:rsid w:val="48FD385A"/>
    <w:rsid w:val="48FF3A76"/>
    <w:rsid w:val="4900334A"/>
    <w:rsid w:val="490049BE"/>
    <w:rsid w:val="49007B4D"/>
    <w:rsid w:val="49016A01"/>
    <w:rsid w:val="49025314"/>
    <w:rsid w:val="49043360"/>
    <w:rsid w:val="4906716C"/>
    <w:rsid w:val="49067E78"/>
    <w:rsid w:val="49082166"/>
    <w:rsid w:val="490873D4"/>
    <w:rsid w:val="490948F4"/>
    <w:rsid w:val="490E3CB9"/>
    <w:rsid w:val="49125CF3"/>
    <w:rsid w:val="49180694"/>
    <w:rsid w:val="491A08B0"/>
    <w:rsid w:val="491C0184"/>
    <w:rsid w:val="49292CBC"/>
    <w:rsid w:val="492A45BA"/>
    <w:rsid w:val="492E435B"/>
    <w:rsid w:val="492E7FF1"/>
    <w:rsid w:val="49303111"/>
    <w:rsid w:val="4931055C"/>
    <w:rsid w:val="49315AE0"/>
    <w:rsid w:val="49331971"/>
    <w:rsid w:val="4933371F"/>
    <w:rsid w:val="49354F8D"/>
    <w:rsid w:val="49374FBE"/>
    <w:rsid w:val="49380B90"/>
    <w:rsid w:val="4943606A"/>
    <w:rsid w:val="49454889"/>
    <w:rsid w:val="49463A85"/>
    <w:rsid w:val="494951F7"/>
    <w:rsid w:val="494A3F41"/>
    <w:rsid w:val="494B6CBB"/>
    <w:rsid w:val="494E0559"/>
    <w:rsid w:val="494F5D56"/>
    <w:rsid w:val="49524A49"/>
    <w:rsid w:val="49535B70"/>
    <w:rsid w:val="4957740E"/>
    <w:rsid w:val="49595E62"/>
    <w:rsid w:val="495A6EFE"/>
    <w:rsid w:val="495C67D2"/>
    <w:rsid w:val="495C6F05"/>
    <w:rsid w:val="495E76CE"/>
    <w:rsid w:val="4960017D"/>
    <w:rsid w:val="49627B61"/>
    <w:rsid w:val="49691876"/>
    <w:rsid w:val="49697141"/>
    <w:rsid w:val="496B1CD2"/>
    <w:rsid w:val="49702BD3"/>
    <w:rsid w:val="49726FD4"/>
    <w:rsid w:val="49753D38"/>
    <w:rsid w:val="498413E9"/>
    <w:rsid w:val="49853F87"/>
    <w:rsid w:val="49886BFF"/>
    <w:rsid w:val="498A3B1A"/>
    <w:rsid w:val="498A77E3"/>
    <w:rsid w:val="498E6BA8"/>
    <w:rsid w:val="499106D6"/>
    <w:rsid w:val="49920446"/>
    <w:rsid w:val="49924E7D"/>
    <w:rsid w:val="49927773"/>
    <w:rsid w:val="4998477E"/>
    <w:rsid w:val="499917D4"/>
    <w:rsid w:val="49991A37"/>
    <w:rsid w:val="499B2377"/>
    <w:rsid w:val="499F0DB5"/>
    <w:rsid w:val="49A44BF7"/>
    <w:rsid w:val="49A62143"/>
    <w:rsid w:val="49A62E0C"/>
    <w:rsid w:val="49A62FC2"/>
    <w:rsid w:val="49A66B2F"/>
    <w:rsid w:val="49A81A17"/>
    <w:rsid w:val="49AA34F9"/>
    <w:rsid w:val="49AD5AB1"/>
    <w:rsid w:val="49AD702E"/>
    <w:rsid w:val="49B04D70"/>
    <w:rsid w:val="49B22896"/>
    <w:rsid w:val="49B45E75"/>
    <w:rsid w:val="49B51A7F"/>
    <w:rsid w:val="49BE748D"/>
    <w:rsid w:val="49C113FF"/>
    <w:rsid w:val="49C11920"/>
    <w:rsid w:val="49C2281B"/>
    <w:rsid w:val="49C371CF"/>
    <w:rsid w:val="49C57766"/>
    <w:rsid w:val="49C702D2"/>
    <w:rsid w:val="49C779E4"/>
    <w:rsid w:val="49CA264A"/>
    <w:rsid w:val="49CA5E32"/>
    <w:rsid w:val="49CB1BAA"/>
    <w:rsid w:val="49D02E2F"/>
    <w:rsid w:val="49D2773F"/>
    <w:rsid w:val="49DA21D2"/>
    <w:rsid w:val="49E32CDC"/>
    <w:rsid w:val="49E428E9"/>
    <w:rsid w:val="49E609F9"/>
    <w:rsid w:val="49EA4A66"/>
    <w:rsid w:val="49EB7B56"/>
    <w:rsid w:val="49ED78C9"/>
    <w:rsid w:val="49EF3AEA"/>
    <w:rsid w:val="49EF6290"/>
    <w:rsid w:val="49F70BF1"/>
    <w:rsid w:val="49FB5BEF"/>
    <w:rsid w:val="4A001853"/>
    <w:rsid w:val="4A037596"/>
    <w:rsid w:val="4A0433F5"/>
    <w:rsid w:val="4A070CAF"/>
    <w:rsid w:val="4A070E34"/>
    <w:rsid w:val="4A0751ED"/>
    <w:rsid w:val="4A082D3D"/>
    <w:rsid w:val="4A0A26D2"/>
    <w:rsid w:val="4A0B3920"/>
    <w:rsid w:val="4A0D6300"/>
    <w:rsid w:val="4A1031C5"/>
    <w:rsid w:val="4A120BED"/>
    <w:rsid w:val="4A1672C9"/>
    <w:rsid w:val="4A196CF5"/>
    <w:rsid w:val="4A1A5D92"/>
    <w:rsid w:val="4A2975C0"/>
    <w:rsid w:val="4A297B2E"/>
    <w:rsid w:val="4A2B4D78"/>
    <w:rsid w:val="4A2C1FD5"/>
    <w:rsid w:val="4A2E2C6A"/>
    <w:rsid w:val="4A302CAC"/>
    <w:rsid w:val="4A3600DE"/>
    <w:rsid w:val="4A37573A"/>
    <w:rsid w:val="4A3A6717"/>
    <w:rsid w:val="4A3B47D7"/>
    <w:rsid w:val="4A3B69AF"/>
    <w:rsid w:val="4A3E68EF"/>
    <w:rsid w:val="4A403CEB"/>
    <w:rsid w:val="4A404346"/>
    <w:rsid w:val="4A4200BE"/>
    <w:rsid w:val="4A436B62"/>
    <w:rsid w:val="4A45370A"/>
    <w:rsid w:val="4A477482"/>
    <w:rsid w:val="4A495EF6"/>
    <w:rsid w:val="4A4A7727"/>
    <w:rsid w:val="4A4B02C6"/>
    <w:rsid w:val="4A4C2CEB"/>
    <w:rsid w:val="4A4C4A99"/>
    <w:rsid w:val="4A4F2DB8"/>
    <w:rsid w:val="4A527BD5"/>
    <w:rsid w:val="4A5443D8"/>
    <w:rsid w:val="4A5472C5"/>
    <w:rsid w:val="4A551AFA"/>
    <w:rsid w:val="4A556518"/>
    <w:rsid w:val="4A5A0E8A"/>
    <w:rsid w:val="4A5D14ED"/>
    <w:rsid w:val="4A5F0258"/>
    <w:rsid w:val="4A61284F"/>
    <w:rsid w:val="4A621AA2"/>
    <w:rsid w:val="4A697EBF"/>
    <w:rsid w:val="4A6A13C3"/>
    <w:rsid w:val="4A7144FF"/>
    <w:rsid w:val="4A72394E"/>
    <w:rsid w:val="4A732ADF"/>
    <w:rsid w:val="4A761460"/>
    <w:rsid w:val="4A762BF0"/>
    <w:rsid w:val="4A7706DB"/>
    <w:rsid w:val="4A771F18"/>
    <w:rsid w:val="4A7B35D0"/>
    <w:rsid w:val="4A804742"/>
    <w:rsid w:val="4A8113B6"/>
    <w:rsid w:val="4A8246BB"/>
    <w:rsid w:val="4A8561FD"/>
    <w:rsid w:val="4A86619B"/>
    <w:rsid w:val="4A8F4985"/>
    <w:rsid w:val="4A913ECA"/>
    <w:rsid w:val="4A914BA1"/>
    <w:rsid w:val="4A930919"/>
    <w:rsid w:val="4A934476"/>
    <w:rsid w:val="4A981A8C"/>
    <w:rsid w:val="4A993A56"/>
    <w:rsid w:val="4A9D5D4B"/>
    <w:rsid w:val="4A9D70A2"/>
    <w:rsid w:val="4A9E066B"/>
    <w:rsid w:val="4A9F72BE"/>
    <w:rsid w:val="4AA03036"/>
    <w:rsid w:val="4AA77F21"/>
    <w:rsid w:val="4AA91EEB"/>
    <w:rsid w:val="4AAA17BF"/>
    <w:rsid w:val="4AAC764D"/>
    <w:rsid w:val="4AAD305D"/>
    <w:rsid w:val="4AAE558F"/>
    <w:rsid w:val="4AB23A41"/>
    <w:rsid w:val="4AB54F41"/>
    <w:rsid w:val="4AB663B6"/>
    <w:rsid w:val="4AB8212E"/>
    <w:rsid w:val="4AB926A2"/>
    <w:rsid w:val="4ABA40F8"/>
    <w:rsid w:val="4ABE526B"/>
    <w:rsid w:val="4AC05487"/>
    <w:rsid w:val="4AC40AD3"/>
    <w:rsid w:val="4AC52021"/>
    <w:rsid w:val="4AC72E43"/>
    <w:rsid w:val="4AC80D07"/>
    <w:rsid w:val="4AC819BF"/>
    <w:rsid w:val="4AC960E9"/>
    <w:rsid w:val="4AD351BA"/>
    <w:rsid w:val="4AD45CF1"/>
    <w:rsid w:val="4AD6546A"/>
    <w:rsid w:val="4AD75C2B"/>
    <w:rsid w:val="4ADA450D"/>
    <w:rsid w:val="4ADB406F"/>
    <w:rsid w:val="4ADD1B95"/>
    <w:rsid w:val="4AE3590F"/>
    <w:rsid w:val="4AE57227"/>
    <w:rsid w:val="4AE83716"/>
    <w:rsid w:val="4AF13892"/>
    <w:rsid w:val="4AF31677"/>
    <w:rsid w:val="4AF403AA"/>
    <w:rsid w:val="4AF40687"/>
    <w:rsid w:val="4AF511B4"/>
    <w:rsid w:val="4AF6539D"/>
    <w:rsid w:val="4AF87040"/>
    <w:rsid w:val="4AF96D45"/>
    <w:rsid w:val="4AFC31B1"/>
    <w:rsid w:val="4AFD7946"/>
    <w:rsid w:val="4AFF1B0B"/>
    <w:rsid w:val="4B014375"/>
    <w:rsid w:val="4B014C01"/>
    <w:rsid w:val="4B0215FB"/>
    <w:rsid w:val="4B023C9F"/>
    <w:rsid w:val="4B0615B6"/>
    <w:rsid w:val="4B090BDC"/>
    <w:rsid w:val="4B0B1EC1"/>
    <w:rsid w:val="4B0D60AB"/>
    <w:rsid w:val="4B106111"/>
    <w:rsid w:val="4B125CE2"/>
    <w:rsid w:val="4B132F8D"/>
    <w:rsid w:val="4B13605E"/>
    <w:rsid w:val="4B13769D"/>
    <w:rsid w:val="4B1405F6"/>
    <w:rsid w:val="4B16705D"/>
    <w:rsid w:val="4B176459"/>
    <w:rsid w:val="4B1B446B"/>
    <w:rsid w:val="4B246E03"/>
    <w:rsid w:val="4B271062"/>
    <w:rsid w:val="4B296806"/>
    <w:rsid w:val="4B2B0B52"/>
    <w:rsid w:val="4B2B2900"/>
    <w:rsid w:val="4B2E1C48"/>
    <w:rsid w:val="4B2F1571"/>
    <w:rsid w:val="4B307F16"/>
    <w:rsid w:val="4B35377F"/>
    <w:rsid w:val="4B397174"/>
    <w:rsid w:val="4B3B2BA2"/>
    <w:rsid w:val="4B3B2D08"/>
    <w:rsid w:val="4B3D3F04"/>
    <w:rsid w:val="4B3F31DE"/>
    <w:rsid w:val="4B410375"/>
    <w:rsid w:val="4B41360A"/>
    <w:rsid w:val="4B417D35"/>
    <w:rsid w:val="4B441C14"/>
    <w:rsid w:val="4B447E66"/>
    <w:rsid w:val="4B447FCE"/>
    <w:rsid w:val="4B4905A6"/>
    <w:rsid w:val="4B4C5CA0"/>
    <w:rsid w:val="4B5160DF"/>
    <w:rsid w:val="4B58746D"/>
    <w:rsid w:val="4B591595"/>
    <w:rsid w:val="4B5A07E8"/>
    <w:rsid w:val="4B5F07FC"/>
    <w:rsid w:val="4B602D44"/>
    <w:rsid w:val="4B614574"/>
    <w:rsid w:val="4B652C46"/>
    <w:rsid w:val="4B654B87"/>
    <w:rsid w:val="4B663938"/>
    <w:rsid w:val="4B674969"/>
    <w:rsid w:val="4B683330"/>
    <w:rsid w:val="4B683F27"/>
    <w:rsid w:val="4B686B9A"/>
    <w:rsid w:val="4B69450F"/>
    <w:rsid w:val="4B6978CC"/>
    <w:rsid w:val="4B6A7A80"/>
    <w:rsid w:val="4B757146"/>
    <w:rsid w:val="4B775B45"/>
    <w:rsid w:val="4B785B6A"/>
    <w:rsid w:val="4B8169C4"/>
    <w:rsid w:val="4B826C53"/>
    <w:rsid w:val="4B863FDA"/>
    <w:rsid w:val="4B897627"/>
    <w:rsid w:val="4B8D7117"/>
    <w:rsid w:val="4B914A2D"/>
    <w:rsid w:val="4B9444ED"/>
    <w:rsid w:val="4B990D30"/>
    <w:rsid w:val="4B9A5CD8"/>
    <w:rsid w:val="4B9B6430"/>
    <w:rsid w:val="4B9C55AC"/>
    <w:rsid w:val="4B9E1324"/>
    <w:rsid w:val="4B9E7576"/>
    <w:rsid w:val="4BA001F4"/>
    <w:rsid w:val="4BA33FD7"/>
    <w:rsid w:val="4BA3693A"/>
    <w:rsid w:val="4BA601D9"/>
    <w:rsid w:val="4BB60FCD"/>
    <w:rsid w:val="4BB9338F"/>
    <w:rsid w:val="4BBA3C84"/>
    <w:rsid w:val="4BBD6412"/>
    <w:rsid w:val="4BBE5256"/>
    <w:rsid w:val="4BBF74EC"/>
    <w:rsid w:val="4BC27510"/>
    <w:rsid w:val="4BC62629"/>
    <w:rsid w:val="4BC67321"/>
    <w:rsid w:val="4BC973E3"/>
    <w:rsid w:val="4BCD7E5B"/>
    <w:rsid w:val="4BCE576F"/>
    <w:rsid w:val="4BD277C7"/>
    <w:rsid w:val="4BD411EA"/>
    <w:rsid w:val="4BD765E4"/>
    <w:rsid w:val="4BDA4326"/>
    <w:rsid w:val="4BDC6CF8"/>
    <w:rsid w:val="4BDF36EB"/>
    <w:rsid w:val="4BE11211"/>
    <w:rsid w:val="4BE551A5"/>
    <w:rsid w:val="4BE55EEE"/>
    <w:rsid w:val="4BE60F1D"/>
    <w:rsid w:val="4BE66030"/>
    <w:rsid w:val="4BE77D9B"/>
    <w:rsid w:val="4BEF4DD3"/>
    <w:rsid w:val="4BF21D7C"/>
    <w:rsid w:val="4BF312F5"/>
    <w:rsid w:val="4BF7115D"/>
    <w:rsid w:val="4BF92D50"/>
    <w:rsid w:val="4BFB6776"/>
    <w:rsid w:val="4BFE0015"/>
    <w:rsid w:val="4C0D364D"/>
    <w:rsid w:val="4C101AF6"/>
    <w:rsid w:val="4C1079C5"/>
    <w:rsid w:val="4C12586E"/>
    <w:rsid w:val="4C172E84"/>
    <w:rsid w:val="4C184C5E"/>
    <w:rsid w:val="4C20442F"/>
    <w:rsid w:val="4C2430DE"/>
    <w:rsid w:val="4C2537F3"/>
    <w:rsid w:val="4C261319"/>
    <w:rsid w:val="4C276D84"/>
    <w:rsid w:val="4C2866BD"/>
    <w:rsid w:val="4C2A52EF"/>
    <w:rsid w:val="4C2C2DD4"/>
    <w:rsid w:val="4C2E7C65"/>
    <w:rsid w:val="4C3337D0"/>
    <w:rsid w:val="4C343A36"/>
    <w:rsid w:val="4C390AD2"/>
    <w:rsid w:val="4C3B3017"/>
    <w:rsid w:val="4C3F6085"/>
    <w:rsid w:val="4C46376A"/>
    <w:rsid w:val="4C465518"/>
    <w:rsid w:val="4C4C578B"/>
    <w:rsid w:val="4C4D7146"/>
    <w:rsid w:val="4C5456DA"/>
    <w:rsid w:val="4C547C35"/>
    <w:rsid w:val="4C5916EF"/>
    <w:rsid w:val="4C5B7215"/>
    <w:rsid w:val="4C650D18"/>
    <w:rsid w:val="4C651E42"/>
    <w:rsid w:val="4C67735C"/>
    <w:rsid w:val="4C6C1422"/>
    <w:rsid w:val="4C6C480D"/>
    <w:rsid w:val="4C7163EA"/>
    <w:rsid w:val="4C757967"/>
    <w:rsid w:val="4C76404F"/>
    <w:rsid w:val="4C765DFD"/>
    <w:rsid w:val="4C7668EC"/>
    <w:rsid w:val="4C770C39"/>
    <w:rsid w:val="4C772209"/>
    <w:rsid w:val="4C787DC7"/>
    <w:rsid w:val="4C7D362F"/>
    <w:rsid w:val="4C7E3C6D"/>
    <w:rsid w:val="4C7F3F66"/>
    <w:rsid w:val="4C813780"/>
    <w:rsid w:val="4C8524E4"/>
    <w:rsid w:val="4C85574F"/>
    <w:rsid w:val="4C855949"/>
    <w:rsid w:val="4C8A387B"/>
    <w:rsid w:val="4C8C73CE"/>
    <w:rsid w:val="4C8E75EA"/>
    <w:rsid w:val="4C8F2D15"/>
    <w:rsid w:val="4C9028AE"/>
    <w:rsid w:val="4C912C37"/>
    <w:rsid w:val="4C956F44"/>
    <w:rsid w:val="4C9952B8"/>
    <w:rsid w:val="4C9A375E"/>
    <w:rsid w:val="4CA478EC"/>
    <w:rsid w:val="4CA62F89"/>
    <w:rsid w:val="4CA7772A"/>
    <w:rsid w:val="4CA86CE8"/>
    <w:rsid w:val="4CA87053"/>
    <w:rsid w:val="4CA95044"/>
    <w:rsid w:val="4CAD6628"/>
    <w:rsid w:val="4CB132D9"/>
    <w:rsid w:val="4CB16E35"/>
    <w:rsid w:val="4CBA03DF"/>
    <w:rsid w:val="4CBB5F06"/>
    <w:rsid w:val="4CBE5242"/>
    <w:rsid w:val="4CC0176E"/>
    <w:rsid w:val="4CC44899"/>
    <w:rsid w:val="4CC50B32"/>
    <w:rsid w:val="4CCE0B6D"/>
    <w:rsid w:val="4CD243C2"/>
    <w:rsid w:val="4CD367EB"/>
    <w:rsid w:val="4CD45A3E"/>
    <w:rsid w:val="4CD572C9"/>
    <w:rsid w:val="4CD90FCB"/>
    <w:rsid w:val="4CD929E2"/>
    <w:rsid w:val="4CDA4863"/>
    <w:rsid w:val="4CE15218"/>
    <w:rsid w:val="4CE2021B"/>
    <w:rsid w:val="4CE30FB8"/>
    <w:rsid w:val="4CE54D31"/>
    <w:rsid w:val="4CE760BC"/>
    <w:rsid w:val="4CE77488"/>
    <w:rsid w:val="4CE86476"/>
    <w:rsid w:val="4CE90CC5"/>
    <w:rsid w:val="4CE91E20"/>
    <w:rsid w:val="4CEC1FC8"/>
    <w:rsid w:val="4CF07A69"/>
    <w:rsid w:val="4CF15576"/>
    <w:rsid w:val="4CF15896"/>
    <w:rsid w:val="4CF20306"/>
    <w:rsid w:val="4CF2277F"/>
    <w:rsid w:val="4CF341B4"/>
    <w:rsid w:val="4CF60CEC"/>
    <w:rsid w:val="4CF67CBB"/>
    <w:rsid w:val="4CF80F08"/>
    <w:rsid w:val="4CF87845"/>
    <w:rsid w:val="4CF907DC"/>
    <w:rsid w:val="4CFD720C"/>
    <w:rsid w:val="4CFE58AB"/>
    <w:rsid w:val="4D0314F6"/>
    <w:rsid w:val="4D057181"/>
    <w:rsid w:val="4D072EF9"/>
    <w:rsid w:val="4D083ED2"/>
    <w:rsid w:val="4D0A2F51"/>
    <w:rsid w:val="4D0A4170"/>
    <w:rsid w:val="4D0C6761"/>
    <w:rsid w:val="4D0E0E1F"/>
    <w:rsid w:val="4D0E24D9"/>
    <w:rsid w:val="4D0F1DAD"/>
    <w:rsid w:val="4D0F4B70"/>
    <w:rsid w:val="4D106251"/>
    <w:rsid w:val="4D183358"/>
    <w:rsid w:val="4D183E14"/>
    <w:rsid w:val="4D186EB4"/>
    <w:rsid w:val="4D1A0E7E"/>
    <w:rsid w:val="4D1B2D86"/>
    <w:rsid w:val="4D1C1AB9"/>
    <w:rsid w:val="4D1F45CA"/>
    <w:rsid w:val="4D205169"/>
    <w:rsid w:val="4D237C5B"/>
    <w:rsid w:val="4D26727B"/>
    <w:rsid w:val="4D267823"/>
    <w:rsid w:val="4D2717ED"/>
    <w:rsid w:val="4D275349"/>
    <w:rsid w:val="4D292E6F"/>
    <w:rsid w:val="4D2C295F"/>
    <w:rsid w:val="4D2F15DC"/>
    <w:rsid w:val="4D331F40"/>
    <w:rsid w:val="4D36558C"/>
    <w:rsid w:val="4D365861"/>
    <w:rsid w:val="4D396A73"/>
    <w:rsid w:val="4D3A4EA9"/>
    <w:rsid w:val="4D3B4D64"/>
    <w:rsid w:val="4D3D469F"/>
    <w:rsid w:val="4D3D4B6D"/>
    <w:rsid w:val="4D3E590F"/>
    <w:rsid w:val="4D44414D"/>
    <w:rsid w:val="4D445EFB"/>
    <w:rsid w:val="4D446D30"/>
    <w:rsid w:val="4D453663"/>
    <w:rsid w:val="4D4802EE"/>
    <w:rsid w:val="4D4952BF"/>
    <w:rsid w:val="4D497541"/>
    <w:rsid w:val="4D4B0133"/>
    <w:rsid w:val="4D502AF2"/>
    <w:rsid w:val="4D554104"/>
    <w:rsid w:val="4D5763B7"/>
    <w:rsid w:val="4D5B4FF3"/>
    <w:rsid w:val="4D5C1497"/>
    <w:rsid w:val="4D5C1A47"/>
    <w:rsid w:val="4D5D6FBD"/>
    <w:rsid w:val="4D5F2D35"/>
    <w:rsid w:val="4D6B16DA"/>
    <w:rsid w:val="4D6B3488"/>
    <w:rsid w:val="4D6C2B08"/>
    <w:rsid w:val="4D7020FE"/>
    <w:rsid w:val="4D75441B"/>
    <w:rsid w:val="4D7F0CE1"/>
    <w:rsid w:val="4D812E59"/>
    <w:rsid w:val="4D8230EA"/>
    <w:rsid w:val="4D860C39"/>
    <w:rsid w:val="4D871483"/>
    <w:rsid w:val="4D875DE8"/>
    <w:rsid w:val="4D896004"/>
    <w:rsid w:val="4D8C0196"/>
    <w:rsid w:val="4D8E5687"/>
    <w:rsid w:val="4D902EEE"/>
    <w:rsid w:val="4D904369"/>
    <w:rsid w:val="4D913C92"/>
    <w:rsid w:val="4D922B7A"/>
    <w:rsid w:val="4D950505"/>
    <w:rsid w:val="4D96420E"/>
    <w:rsid w:val="4D970721"/>
    <w:rsid w:val="4D987FF5"/>
    <w:rsid w:val="4D9B019C"/>
    <w:rsid w:val="4D9D2C0C"/>
    <w:rsid w:val="4D9F2566"/>
    <w:rsid w:val="4D9F6625"/>
    <w:rsid w:val="4D9F6990"/>
    <w:rsid w:val="4DA00CDA"/>
    <w:rsid w:val="4DA06E58"/>
    <w:rsid w:val="4DA22C22"/>
    <w:rsid w:val="4DA4699A"/>
    <w:rsid w:val="4DA63EC5"/>
    <w:rsid w:val="4DA7365D"/>
    <w:rsid w:val="4DAE7818"/>
    <w:rsid w:val="4DAF0C66"/>
    <w:rsid w:val="4DAF77C9"/>
    <w:rsid w:val="4DB03AF9"/>
    <w:rsid w:val="4DB554AD"/>
    <w:rsid w:val="4DB841F3"/>
    <w:rsid w:val="4DBE1A86"/>
    <w:rsid w:val="4DC94815"/>
    <w:rsid w:val="4DCA5F72"/>
    <w:rsid w:val="4DCB51C5"/>
    <w:rsid w:val="4DCE1C69"/>
    <w:rsid w:val="4DCF2582"/>
    <w:rsid w:val="4DD059E1"/>
    <w:rsid w:val="4DD06E74"/>
    <w:rsid w:val="4DD92AE7"/>
    <w:rsid w:val="4DD9702C"/>
    <w:rsid w:val="4DDE00FE"/>
    <w:rsid w:val="4DE33966"/>
    <w:rsid w:val="4DF200CA"/>
    <w:rsid w:val="4DF52DA3"/>
    <w:rsid w:val="4DF551E8"/>
    <w:rsid w:val="4DF55447"/>
    <w:rsid w:val="4DF60C5B"/>
    <w:rsid w:val="4DF7368F"/>
    <w:rsid w:val="4DF8087A"/>
    <w:rsid w:val="4DFA480C"/>
    <w:rsid w:val="4DFC0584"/>
    <w:rsid w:val="4DFE254E"/>
    <w:rsid w:val="4DFE60AA"/>
    <w:rsid w:val="4E070B9A"/>
    <w:rsid w:val="4E0833CC"/>
    <w:rsid w:val="4E0A20C3"/>
    <w:rsid w:val="4E121E37"/>
    <w:rsid w:val="4E141D71"/>
    <w:rsid w:val="4E14323F"/>
    <w:rsid w:val="4E151983"/>
    <w:rsid w:val="4E162199"/>
    <w:rsid w:val="4E1A59EE"/>
    <w:rsid w:val="4E1E04FA"/>
    <w:rsid w:val="4E1F107E"/>
    <w:rsid w:val="4E23259A"/>
    <w:rsid w:val="4E255D2C"/>
    <w:rsid w:val="4E265A89"/>
    <w:rsid w:val="4E2776C4"/>
    <w:rsid w:val="4E28353F"/>
    <w:rsid w:val="4E28581D"/>
    <w:rsid w:val="4E2A6045"/>
    <w:rsid w:val="4E2B5295"/>
    <w:rsid w:val="4E2F68D1"/>
    <w:rsid w:val="4E30596E"/>
    <w:rsid w:val="4E3072E6"/>
    <w:rsid w:val="4E341CC8"/>
    <w:rsid w:val="4E39442C"/>
    <w:rsid w:val="4E3A2A1E"/>
    <w:rsid w:val="4E3B43F9"/>
    <w:rsid w:val="4E3C6544"/>
    <w:rsid w:val="4E3D6F1E"/>
    <w:rsid w:val="4E3E0B8D"/>
    <w:rsid w:val="4E3F04B7"/>
    <w:rsid w:val="4E417993"/>
    <w:rsid w:val="4E42314D"/>
    <w:rsid w:val="4E4B1494"/>
    <w:rsid w:val="4E4B32B9"/>
    <w:rsid w:val="4E4C1E6E"/>
    <w:rsid w:val="4E4D13DF"/>
    <w:rsid w:val="4E4D1F7D"/>
    <w:rsid w:val="4E5008D0"/>
    <w:rsid w:val="4E5114A7"/>
    <w:rsid w:val="4E516B22"/>
    <w:rsid w:val="4E522680"/>
    <w:rsid w:val="4E592873"/>
    <w:rsid w:val="4E5B4F82"/>
    <w:rsid w:val="4E5C1022"/>
    <w:rsid w:val="4E685C19"/>
    <w:rsid w:val="4E6879C7"/>
    <w:rsid w:val="4E6A7E03"/>
    <w:rsid w:val="4E704ACE"/>
    <w:rsid w:val="4E724CEA"/>
    <w:rsid w:val="4E772F0B"/>
    <w:rsid w:val="4E792D2D"/>
    <w:rsid w:val="4E797A6F"/>
    <w:rsid w:val="4E7A03B1"/>
    <w:rsid w:val="4E7B184A"/>
    <w:rsid w:val="4E7E1845"/>
    <w:rsid w:val="4E7F6FD1"/>
    <w:rsid w:val="4E853C5A"/>
    <w:rsid w:val="4E872543"/>
    <w:rsid w:val="4E8C2811"/>
    <w:rsid w:val="4E8D5680"/>
    <w:rsid w:val="4E8D742E"/>
    <w:rsid w:val="4E8E2B40"/>
    <w:rsid w:val="4E902871"/>
    <w:rsid w:val="4E914DD6"/>
    <w:rsid w:val="4E9569A3"/>
    <w:rsid w:val="4E9702AC"/>
    <w:rsid w:val="4E9B4352"/>
    <w:rsid w:val="4E9C0BA0"/>
    <w:rsid w:val="4EA00746"/>
    <w:rsid w:val="4EA21CBF"/>
    <w:rsid w:val="4EA30F2B"/>
    <w:rsid w:val="4EA84268"/>
    <w:rsid w:val="4EA92A2A"/>
    <w:rsid w:val="4EAD7AD0"/>
    <w:rsid w:val="4EB32690"/>
    <w:rsid w:val="4EB34307"/>
    <w:rsid w:val="4EB8094F"/>
    <w:rsid w:val="4EBD37C1"/>
    <w:rsid w:val="4EBF3405"/>
    <w:rsid w:val="4EC14021"/>
    <w:rsid w:val="4EC24B02"/>
    <w:rsid w:val="4EC24CB8"/>
    <w:rsid w:val="4EC76DE4"/>
    <w:rsid w:val="4EC8382D"/>
    <w:rsid w:val="4EC92B5C"/>
    <w:rsid w:val="4ECA0682"/>
    <w:rsid w:val="4ECA68D4"/>
    <w:rsid w:val="4ECE20D4"/>
    <w:rsid w:val="4ED14431"/>
    <w:rsid w:val="4ED62774"/>
    <w:rsid w:val="4ED67027"/>
    <w:rsid w:val="4ED817CF"/>
    <w:rsid w:val="4EDB3B9F"/>
    <w:rsid w:val="4EDC6C92"/>
    <w:rsid w:val="4EE447E9"/>
    <w:rsid w:val="4EEC7927"/>
    <w:rsid w:val="4EED4B25"/>
    <w:rsid w:val="4EED611E"/>
    <w:rsid w:val="4EEE2FCC"/>
    <w:rsid w:val="4EEF00E8"/>
    <w:rsid w:val="4EEF36B6"/>
    <w:rsid w:val="4EF0709E"/>
    <w:rsid w:val="4EF61477"/>
    <w:rsid w:val="4EFB2EC4"/>
    <w:rsid w:val="4EFB6A8D"/>
    <w:rsid w:val="4EFB766D"/>
    <w:rsid w:val="4EFD0A57"/>
    <w:rsid w:val="4EFD4BB2"/>
    <w:rsid w:val="4EFE636C"/>
    <w:rsid w:val="4F0022F6"/>
    <w:rsid w:val="4F0033FB"/>
    <w:rsid w:val="4F02606E"/>
    <w:rsid w:val="4F043B94"/>
    <w:rsid w:val="4F07768F"/>
    <w:rsid w:val="4F080A79"/>
    <w:rsid w:val="4F0A5E14"/>
    <w:rsid w:val="4F0A5FD9"/>
    <w:rsid w:val="4F0A6CD0"/>
    <w:rsid w:val="4F0C78AF"/>
    <w:rsid w:val="4F133DD7"/>
    <w:rsid w:val="4F1456D4"/>
    <w:rsid w:val="4F147BB7"/>
    <w:rsid w:val="4F1C3D51"/>
    <w:rsid w:val="4F1D07B2"/>
    <w:rsid w:val="4F1D2EA8"/>
    <w:rsid w:val="4F1E452A"/>
    <w:rsid w:val="4F230A22"/>
    <w:rsid w:val="4F2B1B4F"/>
    <w:rsid w:val="4F2C0EED"/>
    <w:rsid w:val="4F2C4E99"/>
    <w:rsid w:val="4F301FFB"/>
    <w:rsid w:val="4F3300BE"/>
    <w:rsid w:val="4F367A88"/>
    <w:rsid w:val="4F3A5808"/>
    <w:rsid w:val="4F405AE9"/>
    <w:rsid w:val="4F424AE8"/>
    <w:rsid w:val="4F42646A"/>
    <w:rsid w:val="4F473A81"/>
    <w:rsid w:val="4F4D5382"/>
    <w:rsid w:val="4F4F0B87"/>
    <w:rsid w:val="4F501413"/>
    <w:rsid w:val="4F512B51"/>
    <w:rsid w:val="4F5902E8"/>
    <w:rsid w:val="4F5B752C"/>
    <w:rsid w:val="4F5E4BF7"/>
    <w:rsid w:val="4F5F0DCA"/>
    <w:rsid w:val="4F602D94"/>
    <w:rsid w:val="4F616CC8"/>
    <w:rsid w:val="4F6603AB"/>
    <w:rsid w:val="4F661CD0"/>
    <w:rsid w:val="4F691C49"/>
    <w:rsid w:val="4F6E5963"/>
    <w:rsid w:val="4F756840"/>
    <w:rsid w:val="4F797EA5"/>
    <w:rsid w:val="4F7B372A"/>
    <w:rsid w:val="4F7D1600"/>
    <w:rsid w:val="4F7E4024"/>
    <w:rsid w:val="4F7F2836"/>
    <w:rsid w:val="4F810D6C"/>
    <w:rsid w:val="4F8239B1"/>
    <w:rsid w:val="4F8503B4"/>
    <w:rsid w:val="4F86182F"/>
    <w:rsid w:val="4F8627FB"/>
    <w:rsid w:val="4F8847C5"/>
    <w:rsid w:val="4F8B1BBF"/>
    <w:rsid w:val="4F8B7266"/>
    <w:rsid w:val="4F8E742F"/>
    <w:rsid w:val="4F95228F"/>
    <w:rsid w:val="4F964D9C"/>
    <w:rsid w:val="4F980780"/>
    <w:rsid w:val="4F9A44F8"/>
    <w:rsid w:val="4F9C77F0"/>
    <w:rsid w:val="4F9D4064"/>
    <w:rsid w:val="4F9D6BF9"/>
    <w:rsid w:val="4F9E636D"/>
    <w:rsid w:val="4F9F2878"/>
    <w:rsid w:val="4FA15887"/>
    <w:rsid w:val="4FA4714D"/>
    <w:rsid w:val="4FA90297"/>
    <w:rsid w:val="4FAE3B00"/>
    <w:rsid w:val="4FAF2FEB"/>
    <w:rsid w:val="4FB05ACA"/>
    <w:rsid w:val="4FB102E7"/>
    <w:rsid w:val="4FB16BA6"/>
    <w:rsid w:val="4FB46DE1"/>
    <w:rsid w:val="4FB641E3"/>
    <w:rsid w:val="4FB7572D"/>
    <w:rsid w:val="4FB758F2"/>
    <w:rsid w:val="4FB94B15"/>
    <w:rsid w:val="4FBA3BB3"/>
    <w:rsid w:val="4FBB733F"/>
    <w:rsid w:val="4FBE2337"/>
    <w:rsid w:val="4FBF5290"/>
    <w:rsid w:val="4FC13833"/>
    <w:rsid w:val="4FC14613"/>
    <w:rsid w:val="4FC35464"/>
    <w:rsid w:val="4FC6067D"/>
    <w:rsid w:val="4FD45086"/>
    <w:rsid w:val="4FD74E04"/>
    <w:rsid w:val="4FD856E5"/>
    <w:rsid w:val="4FE4651D"/>
    <w:rsid w:val="4FE5334A"/>
    <w:rsid w:val="4FE86141"/>
    <w:rsid w:val="4FEB4D54"/>
    <w:rsid w:val="4FF21C3E"/>
    <w:rsid w:val="4FF359B6"/>
    <w:rsid w:val="4FF4152A"/>
    <w:rsid w:val="4FF5172F"/>
    <w:rsid w:val="4FF97471"/>
    <w:rsid w:val="50012A5F"/>
    <w:rsid w:val="50020304"/>
    <w:rsid w:val="50027A78"/>
    <w:rsid w:val="50027C2E"/>
    <w:rsid w:val="50027F99"/>
    <w:rsid w:val="50037B8F"/>
    <w:rsid w:val="5005393F"/>
    <w:rsid w:val="50091D29"/>
    <w:rsid w:val="50094E91"/>
    <w:rsid w:val="50100316"/>
    <w:rsid w:val="50102C97"/>
    <w:rsid w:val="501222E0"/>
    <w:rsid w:val="50124AB3"/>
    <w:rsid w:val="501C6CBB"/>
    <w:rsid w:val="501D2551"/>
    <w:rsid w:val="501E0C85"/>
    <w:rsid w:val="50200EF3"/>
    <w:rsid w:val="50243DC2"/>
    <w:rsid w:val="5026374E"/>
    <w:rsid w:val="50291142"/>
    <w:rsid w:val="502D6EA4"/>
    <w:rsid w:val="502E249B"/>
    <w:rsid w:val="502E3492"/>
    <w:rsid w:val="502F72FA"/>
    <w:rsid w:val="50307100"/>
    <w:rsid w:val="50317C72"/>
    <w:rsid w:val="50330791"/>
    <w:rsid w:val="50333DEC"/>
    <w:rsid w:val="503618C9"/>
    <w:rsid w:val="503C19ED"/>
    <w:rsid w:val="503D08D5"/>
    <w:rsid w:val="503D78E7"/>
    <w:rsid w:val="503E1327"/>
    <w:rsid w:val="503E228D"/>
    <w:rsid w:val="503E4E84"/>
    <w:rsid w:val="503F0BFC"/>
    <w:rsid w:val="50412BC6"/>
    <w:rsid w:val="504639A3"/>
    <w:rsid w:val="504A7E49"/>
    <w:rsid w:val="504B341D"/>
    <w:rsid w:val="504B393E"/>
    <w:rsid w:val="50504A55"/>
    <w:rsid w:val="5051105B"/>
    <w:rsid w:val="50546455"/>
    <w:rsid w:val="505A5A36"/>
    <w:rsid w:val="505B3C87"/>
    <w:rsid w:val="505F30B9"/>
    <w:rsid w:val="5060176B"/>
    <w:rsid w:val="5060304C"/>
    <w:rsid w:val="50666188"/>
    <w:rsid w:val="506A6A8B"/>
    <w:rsid w:val="506B379F"/>
    <w:rsid w:val="50724B2D"/>
    <w:rsid w:val="50733C5E"/>
    <w:rsid w:val="50746AF7"/>
    <w:rsid w:val="507765E7"/>
    <w:rsid w:val="507C1E50"/>
    <w:rsid w:val="507C7F21"/>
    <w:rsid w:val="508036EE"/>
    <w:rsid w:val="50814E31"/>
    <w:rsid w:val="50824D12"/>
    <w:rsid w:val="5083613E"/>
    <w:rsid w:val="508814BC"/>
    <w:rsid w:val="50897CB4"/>
    <w:rsid w:val="508A1E77"/>
    <w:rsid w:val="508D7BB9"/>
    <w:rsid w:val="508F3931"/>
    <w:rsid w:val="50927EDA"/>
    <w:rsid w:val="50972065"/>
    <w:rsid w:val="5099030C"/>
    <w:rsid w:val="509B4BDF"/>
    <w:rsid w:val="509C1BAA"/>
    <w:rsid w:val="50A05B3E"/>
    <w:rsid w:val="50A11C75"/>
    <w:rsid w:val="50A153E8"/>
    <w:rsid w:val="50A3118B"/>
    <w:rsid w:val="50AA42C7"/>
    <w:rsid w:val="50AD025B"/>
    <w:rsid w:val="50B12FCF"/>
    <w:rsid w:val="50B45146"/>
    <w:rsid w:val="50B60EBE"/>
    <w:rsid w:val="50B9275C"/>
    <w:rsid w:val="50BE4216"/>
    <w:rsid w:val="50C05441"/>
    <w:rsid w:val="50C17863"/>
    <w:rsid w:val="50C21AA1"/>
    <w:rsid w:val="50D47596"/>
    <w:rsid w:val="50D650BC"/>
    <w:rsid w:val="50DC23A1"/>
    <w:rsid w:val="50E21CB3"/>
    <w:rsid w:val="50E579F5"/>
    <w:rsid w:val="50E62941"/>
    <w:rsid w:val="50E750E8"/>
    <w:rsid w:val="50EC1556"/>
    <w:rsid w:val="50F57C05"/>
    <w:rsid w:val="50F61095"/>
    <w:rsid w:val="50F74B58"/>
    <w:rsid w:val="50F80683"/>
    <w:rsid w:val="50FA6609"/>
    <w:rsid w:val="51022355"/>
    <w:rsid w:val="51031C29"/>
    <w:rsid w:val="510460CD"/>
    <w:rsid w:val="51063CEB"/>
    <w:rsid w:val="510936E3"/>
    <w:rsid w:val="510949ED"/>
    <w:rsid w:val="510A12E0"/>
    <w:rsid w:val="510A745C"/>
    <w:rsid w:val="510D4856"/>
    <w:rsid w:val="510E1BA5"/>
    <w:rsid w:val="510E6463"/>
    <w:rsid w:val="51113EED"/>
    <w:rsid w:val="5115563D"/>
    <w:rsid w:val="51165E00"/>
    <w:rsid w:val="51204589"/>
    <w:rsid w:val="51273B6A"/>
    <w:rsid w:val="512A365A"/>
    <w:rsid w:val="512F6EC2"/>
    <w:rsid w:val="51312C3A"/>
    <w:rsid w:val="513149E8"/>
    <w:rsid w:val="51330760"/>
    <w:rsid w:val="51355098"/>
    <w:rsid w:val="51360251"/>
    <w:rsid w:val="51362A17"/>
    <w:rsid w:val="51365736"/>
    <w:rsid w:val="51395321"/>
    <w:rsid w:val="513C382A"/>
    <w:rsid w:val="513E0EB3"/>
    <w:rsid w:val="5141379C"/>
    <w:rsid w:val="514205CA"/>
    <w:rsid w:val="514209A3"/>
    <w:rsid w:val="51425D58"/>
    <w:rsid w:val="51453FF0"/>
    <w:rsid w:val="514630BC"/>
    <w:rsid w:val="51481DCD"/>
    <w:rsid w:val="51497F84"/>
    <w:rsid w:val="514E5C3F"/>
    <w:rsid w:val="51500619"/>
    <w:rsid w:val="51501312"/>
    <w:rsid w:val="5151508A"/>
    <w:rsid w:val="51516E38"/>
    <w:rsid w:val="51581D21"/>
    <w:rsid w:val="515A3F3F"/>
    <w:rsid w:val="515C2DD9"/>
    <w:rsid w:val="515E4352"/>
    <w:rsid w:val="516059AF"/>
    <w:rsid w:val="51622473"/>
    <w:rsid w:val="51631477"/>
    <w:rsid w:val="51644CE4"/>
    <w:rsid w:val="51644DBE"/>
    <w:rsid w:val="51667545"/>
    <w:rsid w:val="51673238"/>
    <w:rsid w:val="5167665C"/>
    <w:rsid w:val="516A5418"/>
    <w:rsid w:val="516E3507"/>
    <w:rsid w:val="51713037"/>
    <w:rsid w:val="51713BAA"/>
    <w:rsid w:val="51714156"/>
    <w:rsid w:val="51714DE5"/>
    <w:rsid w:val="51750D79"/>
    <w:rsid w:val="517D3175"/>
    <w:rsid w:val="517F39A6"/>
    <w:rsid w:val="518032CD"/>
    <w:rsid w:val="51805A47"/>
    <w:rsid w:val="51810C92"/>
    <w:rsid w:val="51826FF2"/>
    <w:rsid w:val="51831161"/>
    <w:rsid w:val="51833A43"/>
    <w:rsid w:val="5188781F"/>
    <w:rsid w:val="518920BE"/>
    <w:rsid w:val="518A40F8"/>
    <w:rsid w:val="518B5B07"/>
    <w:rsid w:val="518C1C1F"/>
    <w:rsid w:val="518F1282"/>
    <w:rsid w:val="51907961"/>
    <w:rsid w:val="51944BC6"/>
    <w:rsid w:val="519531C9"/>
    <w:rsid w:val="51955765"/>
    <w:rsid w:val="519751EE"/>
    <w:rsid w:val="51981FF4"/>
    <w:rsid w:val="51986815"/>
    <w:rsid w:val="519D6281"/>
    <w:rsid w:val="519E1325"/>
    <w:rsid w:val="51A34DC2"/>
    <w:rsid w:val="51AB479B"/>
    <w:rsid w:val="51AD6979"/>
    <w:rsid w:val="51AD7AEB"/>
    <w:rsid w:val="51AE6039"/>
    <w:rsid w:val="51AF590D"/>
    <w:rsid w:val="51B01DB1"/>
    <w:rsid w:val="51B27343"/>
    <w:rsid w:val="51B549B9"/>
    <w:rsid w:val="51B5627D"/>
    <w:rsid w:val="51B568D7"/>
    <w:rsid w:val="51B65B2B"/>
    <w:rsid w:val="51B82A14"/>
    <w:rsid w:val="51B86EB8"/>
    <w:rsid w:val="51B9766F"/>
    <w:rsid w:val="51BE389E"/>
    <w:rsid w:val="51C32097"/>
    <w:rsid w:val="51C82784"/>
    <w:rsid w:val="51D04201"/>
    <w:rsid w:val="51D35A9F"/>
    <w:rsid w:val="51D7550F"/>
    <w:rsid w:val="51D76030"/>
    <w:rsid w:val="51D82144"/>
    <w:rsid w:val="51DD18E7"/>
    <w:rsid w:val="51DD3D61"/>
    <w:rsid w:val="51DD75E8"/>
    <w:rsid w:val="51DE4358"/>
    <w:rsid w:val="51E25CE3"/>
    <w:rsid w:val="51E33014"/>
    <w:rsid w:val="51E62634"/>
    <w:rsid w:val="51E62B73"/>
    <w:rsid w:val="51E67581"/>
    <w:rsid w:val="51ED6B61"/>
    <w:rsid w:val="51EE0B2B"/>
    <w:rsid w:val="51F15F26"/>
    <w:rsid w:val="51F657D7"/>
    <w:rsid w:val="51F81805"/>
    <w:rsid w:val="51F85506"/>
    <w:rsid w:val="51FA127E"/>
    <w:rsid w:val="520174DB"/>
    <w:rsid w:val="520209E2"/>
    <w:rsid w:val="52036EEE"/>
    <w:rsid w:val="52045C59"/>
    <w:rsid w:val="520619D1"/>
    <w:rsid w:val="5208399B"/>
    <w:rsid w:val="520C318F"/>
    <w:rsid w:val="520C46EE"/>
    <w:rsid w:val="520C48A4"/>
    <w:rsid w:val="520F125D"/>
    <w:rsid w:val="520F18C0"/>
    <w:rsid w:val="520F675D"/>
    <w:rsid w:val="52114A6A"/>
    <w:rsid w:val="5214298C"/>
    <w:rsid w:val="5215352B"/>
    <w:rsid w:val="52181704"/>
    <w:rsid w:val="521A36CE"/>
    <w:rsid w:val="521D477A"/>
    <w:rsid w:val="521D5888"/>
    <w:rsid w:val="52214A5D"/>
    <w:rsid w:val="5227638C"/>
    <w:rsid w:val="522B0162"/>
    <w:rsid w:val="522B77E3"/>
    <w:rsid w:val="522C63AF"/>
    <w:rsid w:val="522D1654"/>
    <w:rsid w:val="522E717A"/>
    <w:rsid w:val="523200B5"/>
    <w:rsid w:val="523429E2"/>
    <w:rsid w:val="52377DDC"/>
    <w:rsid w:val="52380DE1"/>
    <w:rsid w:val="523E560F"/>
    <w:rsid w:val="523F2203"/>
    <w:rsid w:val="52413940"/>
    <w:rsid w:val="52426781"/>
    <w:rsid w:val="524840C7"/>
    <w:rsid w:val="52497B10"/>
    <w:rsid w:val="524B7D2C"/>
    <w:rsid w:val="524F4A57"/>
    <w:rsid w:val="525070F0"/>
    <w:rsid w:val="525210BA"/>
    <w:rsid w:val="525302BD"/>
    <w:rsid w:val="5253098E"/>
    <w:rsid w:val="525D38C4"/>
    <w:rsid w:val="525E7A5F"/>
    <w:rsid w:val="525F5585"/>
    <w:rsid w:val="52612D59"/>
    <w:rsid w:val="526130AB"/>
    <w:rsid w:val="52630BD1"/>
    <w:rsid w:val="526426BA"/>
    <w:rsid w:val="526565AE"/>
    <w:rsid w:val="5266011F"/>
    <w:rsid w:val="526606C2"/>
    <w:rsid w:val="52687572"/>
    <w:rsid w:val="52696B19"/>
    <w:rsid w:val="526B0601"/>
    <w:rsid w:val="526C31B7"/>
    <w:rsid w:val="526D1A50"/>
    <w:rsid w:val="526F7C67"/>
    <w:rsid w:val="527432BC"/>
    <w:rsid w:val="5277467D"/>
    <w:rsid w:val="527E7795"/>
    <w:rsid w:val="528704B8"/>
    <w:rsid w:val="528A0854"/>
    <w:rsid w:val="52904DEF"/>
    <w:rsid w:val="52953EDE"/>
    <w:rsid w:val="52992679"/>
    <w:rsid w:val="529E3361"/>
    <w:rsid w:val="529E7462"/>
    <w:rsid w:val="52A3399C"/>
    <w:rsid w:val="52A435C3"/>
    <w:rsid w:val="52A64F62"/>
    <w:rsid w:val="52A766E1"/>
    <w:rsid w:val="52AB2578"/>
    <w:rsid w:val="52AD47C0"/>
    <w:rsid w:val="52AF02BB"/>
    <w:rsid w:val="52B03D9A"/>
    <w:rsid w:val="52B21B59"/>
    <w:rsid w:val="52B458D1"/>
    <w:rsid w:val="52B551A5"/>
    <w:rsid w:val="52B940B1"/>
    <w:rsid w:val="52BC6534"/>
    <w:rsid w:val="52BE405A"/>
    <w:rsid w:val="52C03E49"/>
    <w:rsid w:val="52C451E0"/>
    <w:rsid w:val="52C553E8"/>
    <w:rsid w:val="52C673B2"/>
    <w:rsid w:val="52C92E63"/>
    <w:rsid w:val="52CA1D4B"/>
    <w:rsid w:val="52CA50F4"/>
    <w:rsid w:val="52CB0DE9"/>
    <w:rsid w:val="52CE19E6"/>
    <w:rsid w:val="52CF44B9"/>
    <w:rsid w:val="52D15D94"/>
    <w:rsid w:val="52D24131"/>
    <w:rsid w:val="52D675F5"/>
    <w:rsid w:val="52D93896"/>
    <w:rsid w:val="52D95337"/>
    <w:rsid w:val="52DA30A5"/>
    <w:rsid w:val="52DE294E"/>
    <w:rsid w:val="52DF6735"/>
    <w:rsid w:val="52E32FC0"/>
    <w:rsid w:val="52E37FD9"/>
    <w:rsid w:val="52E77071"/>
    <w:rsid w:val="52E77A54"/>
    <w:rsid w:val="52ED4362"/>
    <w:rsid w:val="52F7756C"/>
    <w:rsid w:val="52FC01F9"/>
    <w:rsid w:val="5305612D"/>
    <w:rsid w:val="53081779"/>
    <w:rsid w:val="530A729F"/>
    <w:rsid w:val="53134755"/>
    <w:rsid w:val="53144AF9"/>
    <w:rsid w:val="53146A66"/>
    <w:rsid w:val="531843A0"/>
    <w:rsid w:val="531D3476"/>
    <w:rsid w:val="5322283B"/>
    <w:rsid w:val="532365B3"/>
    <w:rsid w:val="53236C00"/>
    <w:rsid w:val="532A1846"/>
    <w:rsid w:val="532A1EFC"/>
    <w:rsid w:val="532A5B93"/>
    <w:rsid w:val="532C2225"/>
    <w:rsid w:val="532D1216"/>
    <w:rsid w:val="532D3DB9"/>
    <w:rsid w:val="5339476F"/>
    <w:rsid w:val="533B7B79"/>
    <w:rsid w:val="533C051F"/>
    <w:rsid w:val="533D4D64"/>
    <w:rsid w:val="533F1F43"/>
    <w:rsid w:val="533F3F25"/>
    <w:rsid w:val="534103F4"/>
    <w:rsid w:val="534327B1"/>
    <w:rsid w:val="53460C5F"/>
    <w:rsid w:val="534970BE"/>
    <w:rsid w:val="534A7FE3"/>
    <w:rsid w:val="534D108E"/>
    <w:rsid w:val="534F1156"/>
    <w:rsid w:val="53507E24"/>
    <w:rsid w:val="53542C10"/>
    <w:rsid w:val="53584867"/>
    <w:rsid w:val="535A6FA7"/>
    <w:rsid w:val="535B2362"/>
    <w:rsid w:val="535D3B69"/>
    <w:rsid w:val="535F6489"/>
    <w:rsid w:val="53654E1D"/>
    <w:rsid w:val="53671AC7"/>
    <w:rsid w:val="53672943"/>
    <w:rsid w:val="53694B2E"/>
    <w:rsid w:val="536A3D92"/>
    <w:rsid w:val="536A3F48"/>
    <w:rsid w:val="5370275D"/>
    <w:rsid w:val="537137C2"/>
    <w:rsid w:val="53734875"/>
    <w:rsid w:val="53795B2E"/>
    <w:rsid w:val="53795D3A"/>
    <w:rsid w:val="537A06C8"/>
    <w:rsid w:val="53852DC9"/>
    <w:rsid w:val="5386066A"/>
    <w:rsid w:val="53870D4D"/>
    <w:rsid w:val="538928BA"/>
    <w:rsid w:val="53896B1D"/>
    <w:rsid w:val="538A6EF7"/>
    <w:rsid w:val="53987211"/>
    <w:rsid w:val="53A414A2"/>
    <w:rsid w:val="53A4293A"/>
    <w:rsid w:val="53A457E6"/>
    <w:rsid w:val="53A53FF8"/>
    <w:rsid w:val="53A566CC"/>
    <w:rsid w:val="53A70F92"/>
    <w:rsid w:val="53AC0356"/>
    <w:rsid w:val="53AC65A8"/>
    <w:rsid w:val="53AE0572"/>
    <w:rsid w:val="53B37061"/>
    <w:rsid w:val="53B601E9"/>
    <w:rsid w:val="53B8749A"/>
    <w:rsid w:val="53BF0089"/>
    <w:rsid w:val="53BF536C"/>
    <w:rsid w:val="53C25DCC"/>
    <w:rsid w:val="53C30570"/>
    <w:rsid w:val="53C40496"/>
    <w:rsid w:val="53C50E71"/>
    <w:rsid w:val="53C51418"/>
    <w:rsid w:val="53C54A55"/>
    <w:rsid w:val="53C740FC"/>
    <w:rsid w:val="53C9715A"/>
    <w:rsid w:val="53CA3915"/>
    <w:rsid w:val="53CB2ED2"/>
    <w:rsid w:val="53D53D51"/>
    <w:rsid w:val="53D64DCE"/>
    <w:rsid w:val="53DA1367"/>
    <w:rsid w:val="53DC38BE"/>
    <w:rsid w:val="53DF24DA"/>
    <w:rsid w:val="53E30BC0"/>
    <w:rsid w:val="53E775E0"/>
    <w:rsid w:val="53E81058"/>
    <w:rsid w:val="53E92138"/>
    <w:rsid w:val="53EB521C"/>
    <w:rsid w:val="53ED1C72"/>
    <w:rsid w:val="53EE096F"/>
    <w:rsid w:val="53EE72C6"/>
    <w:rsid w:val="53F358CF"/>
    <w:rsid w:val="53F52DB0"/>
    <w:rsid w:val="53F570AB"/>
    <w:rsid w:val="53FC2EA8"/>
    <w:rsid w:val="53FD001A"/>
    <w:rsid w:val="53FD13CD"/>
    <w:rsid w:val="5402266C"/>
    <w:rsid w:val="54023739"/>
    <w:rsid w:val="54061346"/>
    <w:rsid w:val="54065CB8"/>
    <w:rsid w:val="540B4280"/>
    <w:rsid w:val="540C500F"/>
    <w:rsid w:val="54134879"/>
    <w:rsid w:val="54136627"/>
    <w:rsid w:val="54173089"/>
    <w:rsid w:val="54181E8F"/>
    <w:rsid w:val="541A0B61"/>
    <w:rsid w:val="541A26B0"/>
    <w:rsid w:val="541B04B2"/>
    <w:rsid w:val="541C2E61"/>
    <w:rsid w:val="541C372E"/>
    <w:rsid w:val="542645AC"/>
    <w:rsid w:val="54272352"/>
    <w:rsid w:val="54280337"/>
    <w:rsid w:val="542A3A4D"/>
    <w:rsid w:val="543309F3"/>
    <w:rsid w:val="543547C4"/>
    <w:rsid w:val="5435659E"/>
    <w:rsid w:val="54363D83"/>
    <w:rsid w:val="54372316"/>
    <w:rsid w:val="543A1709"/>
    <w:rsid w:val="543D36A4"/>
    <w:rsid w:val="54414F42"/>
    <w:rsid w:val="544639AB"/>
    <w:rsid w:val="544834D5"/>
    <w:rsid w:val="54484523"/>
    <w:rsid w:val="54492049"/>
    <w:rsid w:val="54492650"/>
    <w:rsid w:val="544967CB"/>
    <w:rsid w:val="544D7D8B"/>
    <w:rsid w:val="54505185"/>
    <w:rsid w:val="54521AE9"/>
    <w:rsid w:val="545253A1"/>
    <w:rsid w:val="54527725"/>
    <w:rsid w:val="545310A8"/>
    <w:rsid w:val="54546ABC"/>
    <w:rsid w:val="54547C25"/>
    <w:rsid w:val="545509EE"/>
    <w:rsid w:val="5455702E"/>
    <w:rsid w:val="545F361A"/>
    <w:rsid w:val="54604831"/>
    <w:rsid w:val="54613B4D"/>
    <w:rsid w:val="54640C31"/>
    <w:rsid w:val="54672BCB"/>
    <w:rsid w:val="54684BC5"/>
    <w:rsid w:val="546B6463"/>
    <w:rsid w:val="54724115"/>
    <w:rsid w:val="5473551E"/>
    <w:rsid w:val="54754356"/>
    <w:rsid w:val="547846DC"/>
    <w:rsid w:val="54790B80"/>
    <w:rsid w:val="547C020E"/>
    <w:rsid w:val="547C5F7A"/>
    <w:rsid w:val="547D0BE8"/>
    <w:rsid w:val="547E083F"/>
    <w:rsid w:val="54873841"/>
    <w:rsid w:val="548B2661"/>
    <w:rsid w:val="548C2E67"/>
    <w:rsid w:val="548C3CFC"/>
    <w:rsid w:val="5490553F"/>
    <w:rsid w:val="54962859"/>
    <w:rsid w:val="549B087B"/>
    <w:rsid w:val="549E2395"/>
    <w:rsid w:val="549F7EBB"/>
    <w:rsid w:val="54A379AB"/>
    <w:rsid w:val="54A7306B"/>
    <w:rsid w:val="54A92AE8"/>
    <w:rsid w:val="54A97AB6"/>
    <w:rsid w:val="54AA0D3A"/>
    <w:rsid w:val="54AB4AB2"/>
    <w:rsid w:val="54B12114"/>
    <w:rsid w:val="54B2360E"/>
    <w:rsid w:val="54B27EE3"/>
    <w:rsid w:val="54B3342C"/>
    <w:rsid w:val="54B41297"/>
    <w:rsid w:val="54B83F4D"/>
    <w:rsid w:val="54BA25CA"/>
    <w:rsid w:val="54BC694F"/>
    <w:rsid w:val="54BD717C"/>
    <w:rsid w:val="54BE47E5"/>
    <w:rsid w:val="54BE5581"/>
    <w:rsid w:val="54BF6A11"/>
    <w:rsid w:val="54C142D5"/>
    <w:rsid w:val="54C16083"/>
    <w:rsid w:val="54C6319F"/>
    <w:rsid w:val="54C813CA"/>
    <w:rsid w:val="54C85830"/>
    <w:rsid w:val="54C87878"/>
    <w:rsid w:val="54CA59EA"/>
    <w:rsid w:val="54CB2383"/>
    <w:rsid w:val="54CC5154"/>
    <w:rsid w:val="54CE6D46"/>
    <w:rsid w:val="54CF69F2"/>
    <w:rsid w:val="54D364A4"/>
    <w:rsid w:val="54E029C8"/>
    <w:rsid w:val="54E1091A"/>
    <w:rsid w:val="54E405A7"/>
    <w:rsid w:val="54E44363"/>
    <w:rsid w:val="54E50AF9"/>
    <w:rsid w:val="54E56216"/>
    <w:rsid w:val="54E63D3C"/>
    <w:rsid w:val="54E81862"/>
    <w:rsid w:val="54EA382C"/>
    <w:rsid w:val="54EB4A86"/>
    <w:rsid w:val="54ED201E"/>
    <w:rsid w:val="54F226E1"/>
    <w:rsid w:val="54F46D90"/>
    <w:rsid w:val="54F770D8"/>
    <w:rsid w:val="54F827B1"/>
    <w:rsid w:val="54F93A6F"/>
    <w:rsid w:val="54F93EBC"/>
    <w:rsid w:val="54FB1595"/>
    <w:rsid w:val="5501720B"/>
    <w:rsid w:val="55055F70"/>
    <w:rsid w:val="5507618C"/>
    <w:rsid w:val="5509261F"/>
    <w:rsid w:val="55126890"/>
    <w:rsid w:val="551663CF"/>
    <w:rsid w:val="5517656B"/>
    <w:rsid w:val="55197C6D"/>
    <w:rsid w:val="551B3330"/>
    <w:rsid w:val="551B39E5"/>
    <w:rsid w:val="551E7032"/>
    <w:rsid w:val="55242E4B"/>
    <w:rsid w:val="55250118"/>
    <w:rsid w:val="55254864"/>
    <w:rsid w:val="55272DF9"/>
    <w:rsid w:val="5529453F"/>
    <w:rsid w:val="552A7D90"/>
    <w:rsid w:val="552C0EDB"/>
    <w:rsid w:val="552C4622"/>
    <w:rsid w:val="552E25A8"/>
    <w:rsid w:val="552F3B91"/>
    <w:rsid w:val="55346855"/>
    <w:rsid w:val="5536079B"/>
    <w:rsid w:val="55366A71"/>
    <w:rsid w:val="553B0720"/>
    <w:rsid w:val="553B5E36"/>
    <w:rsid w:val="553B6A94"/>
    <w:rsid w:val="553C4AF4"/>
    <w:rsid w:val="553C5611"/>
    <w:rsid w:val="553D09E1"/>
    <w:rsid w:val="553F399A"/>
    <w:rsid w:val="554112B2"/>
    <w:rsid w:val="554747DA"/>
    <w:rsid w:val="55482300"/>
    <w:rsid w:val="554859C7"/>
    <w:rsid w:val="55490F06"/>
    <w:rsid w:val="554D1BF6"/>
    <w:rsid w:val="554E3689"/>
    <w:rsid w:val="554F7907"/>
    <w:rsid w:val="555313D1"/>
    <w:rsid w:val="5559450E"/>
    <w:rsid w:val="555D5DAC"/>
    <w:rsid w:val="5562515D"/>
    <w:rsid w:val="55630EE8"/>
    <w:rsid w:val="55650480"/>
    <w:rsid w:val="55664241"/>
    <w:rsid w:val="556E620B"/>
    <w:rsid w:val="55712719"/>
    <w:rsid w:val="55713605"/>
    <w:rsid w:val="557305CA"/>
    <w:rsid w:val="55733FA0"/>
    <w:rsid w:val="5576721A"/>
    <w:rsid w:val="55776623"/>
    <w:rsid w:val="55780E38"/>
    <w:rsid w:val="557C4EC1"/>
    <w:rsid w:val="55821CB6"/>
    <w:rsid w:val="55841BAC"/>
    <w:rsid w:val="55853555"/>
    <w:rsid w:val="55860208"/>
    <w:rsid w:val="5588393C"/>
    <w:rsid w:val="55894DF3"/>
    <w:rsid w:val="558B5132"/>
    <w:rsid w:val="558D118A"/>
    <w:rsid w:val="558F6181"/>
    <w:rsid w:val="55915A56"/>
    <w:rsid w:val="55940062"/>
    <w:rsid w:val="559429E6"/>
    <w:rsid w:val="559A7000"/>
    <w:rsid w:val="559B0682"/>
    <w:rsid w:val="559B4B26"/>
    <w:rsid w:val="559C480F"/>
    <w:rsid w:val="559F41E6"/>
    <w:rsid w:val="55A16125"/>
    <w:rsid w:val="55A16D1C"/>
    <w:rsid w:val="55A1776B"/>
    <w:rsid w:val="55A97243"/>
    <w:rsid w:val="55A97406"/>
    <w:rsid w:val="55AA4D69"/>
    <w:rsid w:val="55AA58ED"/>
    <w:rsid w:val="55AE0F7D"/>
    <w:rsid w:val="55AF16AF"/>
    <w:rsid w:val="55B1434A"/>
    <w:rsid w:val="55B55BE8"/>
    <w:rsid w:val="55B55D4B"/>
    <w:rsid w:val="55BC79F4"/>
    <w:rsid w:val="55BF05E4"/>
    <w:rsid w:val="55C05FE5"/>
    <w:rsid w:val="55C4232C"/>
    <w:rsid w:val="55C55CCE"/>
    <w:rsid w:val="55CC1183"/>
    <w:rsid w:val="55CC4CE0"/>
    <w:rsid w:val="55CD5551"/>
    <w:rsid w:val="55CE2806"/>
    <w:rsid w:val="55CF198F"/>
    <w:rsid w:val="55D549F2"/>
    <w:rsid w:val="55D818D6"/>
    <w:rsid w:val="55DA0770"/>
    <w:rsid w:val="55DD5E69"/>
    <w:rsid w:val="55E1008E"/>
    <w:rsid w:val="55E2477E"/>
    <w:rsid w:val="55E76415"/>
    <w:rsid w:val="55E9402C"/>
    <w:rsid w:val="55E942F8"/>
    <w:rsid w:val="55E95892"/>
    <w:rsid w:val="55EB785C"/>
    <w:rsid w:val="55EC3199"/>
    <w:rsid w:val="55EC35D4"/>
    <w:rsid w:val="55ED323B"/>
    <w:rsid w:val="55EE2EA8"/>
    <w:rsid w:val="55F01A8B"/>
    <w:rsid w:val="55F14746"/>
    <w:rsid w:val="55F52488"/>
    <w:rsid w:val="55F61D5C"/>
    <w:rsid w:val="55F67FAE"/>
    <w:rsid w:val="55F81F79"/>
    <w:rsid w:val="55F84CE8"/>
    <w:rsid w:val="55F8618A"/>
    <w:rsid w:val="55FA2598"/>
    <w:rsid w:val="55FA48CB"/>
    <w:rsid w:val="55FB55C5"/>
    <w:rsid w:val="55FB7373"/>
    <w:rsid w:val="55FE41C5"/>
    <w:rsid w:val="55FF50B5"/>
    <w:rsid w:val="5600257F"/>
    <w:rsid w:val="56020701"/>
    <w:rsid w:val="560644C2"/>
    <w:rsid w:val="56076DEF"/>
    <w:rsid w:val="56086042"/>
    <w:rsid w:val="56097CE2"/>
    <w:rsid w:val="560A3631"/>
    <w:rsid w:val="560B3A5A"/>
    <w:rsid w:val="560D7FFA"/>
    <w:rsid w:val="561074EC"/>
    <w:rsid w:val="56116B96"/>
    <w:rsid w:val="56151416"/>
    <w:rsid w:val="561548D9"/>
    <w:rsid w:val="56160B8B"/>
    <w:rsid w:val="56170651"/>
    <w:rsid w:val="56177A73"/>
    <w:rsid w:val="561A5A4B"/>
    <w:rsid w:val="561F3FB8"/>
    <w:rsid w:val="56204D1B"/>
    <w:rsid w:val="562148B0"/>
    <w:rsid w:val="5621502B"/>
    <w:rsid w:val="562253FD"/>
    <w:rsid w:val="56244B1C"/>
    <w:rsid w:val="562543F0"/>
    <w:rsid w:val="56287FA8"/>
    <w:rsid w:val="56293EE0"/>
    <w:rsid w:val="562B4FB5"/>
    <w:rsid w:val="562C0486"/>
    <w:rsid w:val="562E70CC"/>
    <w:rsid w:val="562E7748"/>
    <w:rsid w:val="56312D95"/>
    <w:rsid w:val="56326065"/>
    <w:rsid w:val="563263D1"/>
    <w:rsid w:val="56333137"/>
    <w:rsid w:val="56334D5F"/>
    <w:rsid w:val="563805C7"/>
    <w:rsid w:val="56382375"/>
    <w:rsid w:val="563A12AE"/>
    <w:rsid w:val="564077EB"/>
    <w:rsid w:val="56411FA1"/>
    <w:rsid w:val="56450363"/>
    <w:rsid w:val="5647080A"/>
    <w:rsid w:val="564B5A93"/>
    <w:rsid w:val="564B683B"/>
    <w:rsid w:val="564C5FB4"/>
    <w:rsid w:val="564C7BCE"/>
    <w:rsid w:val="564F2794"/>
    <w:rsid w:val="56521689"/>
    <w:rsid w:val="56527255"/>
    <w:rsid w:val="56535401"/>
    <w:rsid w:val="565B7EBC"/>
    <w:rsid w:val="56632DAB"/>
    <w:rsid w:val="566B153D"/>
    <w:rsid w:val="566B4549"/>
    <w:rsid w:val="566C201F"/>
    <w:rsid w:val="566E3FE9"/>
    <w:rsid w:val="566F7685"/>
    <w:rsid w:val="567333AD"/>
    <w:rsid w:val="56755377"/>
    <w:rsid w:val="56760CC4"/>
    <w:rsid w:val="56783B41"/>
    <w:rsid w:val="567A1253"/>
    <w:rsid w:val="567A473C"/>
    <w:rsid w:val="567D15B1"/>
    <w:rsid w:val="567E247E"/>
    <w:rsid w:val="56825435"/>
    <w:rsid w:val="5684185A"/>
    <w:rsid w:val="568455BA"/>
    <w:rsid w:val="568A3B11"/>
    <w:rsid w:val="568A7075"/>
    <w:rsid w:val="568B06F7"/>
    <w:rsid w:val="568B1FB7"/>
    <w:rsid w:val="568B6949"/>
    <w:rsid w:val="568D4391"/>
    <w:rsid w:val="5690488C"/>
    <w:rsid w:val="56981066"/>
    <w:rsid w:val="56985DCD"/>
    <w:rsid w:val="56995D14"/>
    <w:rsid w:val="569A40BE"/>
    <w:rsid w:val="569A6B8C"/>
    <w:rsid w:val="569E0803"/>
    <w:rsid w:val="56A416CE"/>
    <w:rsid w:val="56A71388"/>
    <w:rsid w:val="56A8574D"/>
    <w:rsid w:val="56A93273"/>
    <w:rsid w:val="56AB7432"/>
    <w:rsid w:val="56AB7E73"/>
    <w:rsid w:val="56AF238F"/>
    <w:rsid w:val="56B0015D"/>
    <w:rsid w:val="56B31269"/>
    <w:rsid w:val="56B51C18"/>
    <w:rsid w:val="56BA2859"/>
    <w:rsid w:val="56BB686A"/>
    <w:rsid w:val="56BE7A10"/>
    <w:rsid w:val="56C35989"/>
    <w:rsid w:val="56C453AF"/>
    <w:rsid w:val="56C63E25"/>
    <w:rsid w:val="56CA1443"/>
    <w:rsid w:val="56D54068"/>
    <w:rsid w:val="56D93B58"/>
    <w:rsid w:val="56D95906"/>
    <w:rsid w:val="56DA744F"/>
    <w:rsid w:val="56DA7E86"/>
    <w:rsid w:val="56DD78A0"/>
    <w:rsid w:val="56E021B3"/>
    <w:rsid w:val="56E0419E"/>
    <w:rsid w:val="56E11407"/>
    <w:rsid w:val="56E147BB"/>
    <w:rsid w:val="56E46059"/>
    <w:rsid w:val="56E803BD"/>
    <w:rsid w:val="56E944F1"/>
    <w:rsid w:val="56EA7B13"/>
    <w:rsid w:val="56EB2722"/>
    <w:rsid w:val="56ED315F"/>
    <w:rsid w:val="56ED4D91"/>
    <w:rsid w:val="56F03D99"/>
    <w:rsid w:val="56F049FE"/>
    <w:rsid w:val="56F16594"/>
    <w:rsid w:val="56F62932"/>
    <w:rsid w:val="56F664B8"/>
    <w:rsid w:val="56F73FDE"/>
    <w:rsid w:val="5702606B"/>
    <w:rsid w:val="57030A48"/>
    <w:rsid w:val="57056CF2"/>
    <w:rsid w:val="570861EB"/>
    <w:rsid w:val="570D3802"/>
    <w:rsid w:val="570F1750"/>
    <w:rsid w:val="57131414"/>
    <w:rsid w:val="571719F0"/>
    <w:rsid w:val="57184310"/>
    <w:rsid w:val="571B1801"/>
    <w:rsid w:val="571B3530"/>
    <w:rsid w:val="571C1EF8"/>
    <w:rsid w:val="571C2784"/>
    <w:rsid w:val="5721105B"/>
    <w:rsid w:val="572A52CC"/>
    <w:rsid w:val="572B3C88"/>
    <w:rsid w:val="572C012C"/>
    <w:rsid w:val="572C3407"/>
    <w:rsid w:val="572C53C8"/>
    <w:rsid w:val="572D17AE"/>
    <w:rsid w:val="572F19CA"/>
    <w:rsid w:val="57320C56"/>
    <w:rsid w:val="57352234"/>
    <w:rsid w:val="57364B06"/>
    <w:rsid w:val="57367E83"/>
    <w:rsid w:val="57392849"/>
    <w:rsid w:val="573A1E53"/>
    <w:rsid w:val="573C40E7"/>
    <w:rsid w:val="573F7E85"/>
    <w:rsid w:val="57405985"/>
    <w:rsid w:val="574115C2"/>
    <w:rsid w:val="57435475"/>
    <w:rsid w:val="57435E3C"/>
    <w:rsid w:val="57454E17"/>
    <w:rsid w:val="57471324"/>
    <w:rsid w:val="57482A8C"/>
    <w:rsid w:val="57493616"/>
    <w:rsid w:val="574B60D8"/>
    <w:rsid w:val="574E2F4F"/>
    <w:rsid w:val="574F2FF2"/>
    <w:rsid w:val="574F3B38"/>
    <w:rsid w:val="57541431"/>
    <w:rsid w:val="575C534A"/>
    <w:rsid w:val="575E5E0B"/>
    <w:rsid w:val="57601018"/>
    <w:rsid w:val="57603931"/>
    <w:rsid w:val="5761539F"/>
    <w:rsid w:val="576378C6"/>
    <w:rsid w:val="57650F48"/>
    <w:rsid w:val="57655531"/>
    <w:rsid w:val="57662666"/>
    <w:rsid w:val="57672F12"/>
    <w:rsid w:val="576D42A0"/>
    <w:rsid w:val="576D7F4B"/>
    <w:rsid w:val="576F5263"/>
    <w:rsid w:val="57715B3F"/>
    <w:rsid w:val="57746F62"/>
    <w:rsid w:val="57756BF6"/>
    <w:rsid w:val="57776ECD"/>
    <w:rsid w:val="577C1069"/>
    <w:rsid w:val="577D0987"/>
    <w:rsid w:val="5780342F"/>
    <w:rsid w:val="578F2469"/>
    <w:rsid w:val="578F5F96"/>
    <w:rsid w:val="57911D3D"/>
    <w:rsid w:val="57913F1C"/>
    <w:rsid w:val="579503DD"/>
    <w:rsid w:val="579D0773"/>
    <w:rsid w:val="57A04676"/>
    <w:rsid w:val="57A2219C"/>
    <w:rsid w:val="57A43192"/>
    <w:rsid w:val="57A44166"/>
    <w:rsid w:val="57A53A3A"/>
    <w:rsid w:val="57A56669"/>
    <w:rsid w:val="57A852D8"/>
    <w:rsid w:val="57AB2575"/>
    <w:rsid w:val="57AC3163"/>
    <w:rsid w:val="57AE1B0B"/>
    <w:rsid w:val="57B0552D"/>
    <w:rsid w:val="57B158A0"/>
    <w:rsid w:val="57B27F05"/>
    <w:rsid w:val="57B3519B"/>
    <w:rsid w:val="57B446C6"/>
    <w:rsid w:val="57B603C2"/>
    <w:rsid w:val="57BA777E"/>
    <w:rsid w:val="57BD2C71"/>
    <w:rsid w:val="57BD4896"/>
    <w:rsid w:val="57BD6FD6"/>
    <w:rsid w:val="57C14700"/>
    <w:rsid w:val="57C245EC"/>
    <w:rsid w:val="57C95893"/>
    <w:rsid w:val="57D00E8A"/>
    <w:rsid w:val="57D2075F"/>
    <w:rsid w:val="57D52B76"/>
    <w:rsid w:val="57D670A6"/>
    <w:rsid w:val="57D90B8E"/>
    <w:rsid w:val="57DA7B88"/>
    <w:rsid w:val="57DB2592"/>
    <w:rsid w:val="57DB28FB"/>
    <w:rsid w:val="57DD5BC6"/>
    <w:rsid w:val="57E04A72"/>
    <w:rsid w:val="57E17FBA"/>
    <w:rsid w:val="57E207EA"/>
    <w:rsid w:val="57E36310"/>
    <w:rsid w:val="57E65FD8"/>
    <w:rsid w:val="57E7388C"/>
    <w:rsid w:val="57E914A6"/>
    <w:rsid w:val="57E91811"/>
    <w:rsid w:val="57EF1159"/>
    <w:rsid w:val="57F14ED1"/>
    <w:rsid w:val="57F624E8"/>
    <w:rsid w:val="57F7450F"/>
    <w:rsid w:val="57F81DBC"/>
    <w:rsid w:val="57FA3D86"/>
    <w:rsid w:val="57FF1C50"/>
    <w:rsid w:val="58035BF4"/>
    <w:rsid w:val="58047FBA"/>
    <w:rsid w:val="5806440C"/>
    <w:rsid w:val="580B5816"/>
    <w:rsid w:val="580B643A"/>
    <w:rsid w:val="580C1D0B"/>
    <w:rsid w:val="580C5867"/>
    <w:rsid w:val="580E5A83"/>
    <w:rsid w:val="5811240B"/>
    <w:rsid w:val="58123023"/>
    <w:rsid w:val="58160494"/>
    <w:rsid w:val="581806B0"/>
    <w:rsid w:val="58183D5E"/>
    <w:rsid w:val="581A12F1"/>
    <w:rsid w:val="581A1377"/>
    <w:rsid w:val="581A7F84"/>
    <w:rsid w:val="581D5CC6"/>
    <w:rsid w:val="581F4981"/>
    <w:rsid w:val="581F559B"/>
    <w:rsid w:val="58247055"/>
    <w:rsid w:val="58250EC9"/>
    <w:rsid w:val="58311772"/>
    <w:rsid w:val="583152CE"/>
    <w:rsid w:val="58315521"/>
    <w:rsid w:val="583239BD"/>
    <w:rsid w:val="58325001"/>
    <w:rsid w:val="58354DBE"/>
    <w:rsid w:val="58366235"/>
    <w:rsid w:val="58372679"/>
    <w:rsid w:val="5838665C"/>
    <w:rsid w:val="583919DC"/>
    <w:rsid w:val="583B7EFB"/>
    <w:rsid w:val="583C5D85"/>
    <w:rsid w:val="58413A99"/>
    <w:rsid w:val="584C2108"/>
    <w:rsid w:val="584D65AC"/>
    <w:rsid w:val="584F5BB0"/>
    <w:rsid w:val="585039A6"/>
    <w:rsid w:val="58507E4A"/>
    <w:rsid w:val="58535244"/>
    <w:rsid w:val="5854400C"/>
    <w:rsid w:val="58564D34"/>
    <w:rsid w:val="5859375E"/>
    <w:rsid w:val="585A4825"/>
    <w:rsid w:val="585B6812"/>
    <w:rsid w:val="585D4315"/>
    <w:rsid w:val="585E4925"/>
    <w:rsid w:val="58613A3F"/>
    <w:rsid w:val="58637111"/>
    <w:rsid w:val="58653850"/>
    <w:rsid w:val="58690F0C"/>
    <w:rsid w:val="58705DF6"/>
    <w:rsid w:val="58710F7D"/>
    <w:rsid w:val="5872396D"/>
    <w:rsid w:val="587358E6"/>
    <w:rsid w:val="58737694"/>
    <w:rsid w:val="58773629"/>
    <w:rsid w:val="5878286A"/>
    <w:rsid w:val="58782EFD"/>
    <w:rsid w:val="587873A1"/>
    <w:rsid w:val="587D46A8"/>
    <w:rsid w:val="587F24DD"/>
    <w:rsid w:val="587F428B"/>
    <w:rsid w:val="58801B99"/>
    <w:rsid w:val="58801DB1"/>
    <w:rsid w:val="5880260C"/>
    <w:rsid w:val="58816255"/>
    <w:rsid w:val="588673C8"/>
    <w:rsid w:val="588A371E"/>
    <w:rsid w:val="588F0029"/>
    <w:rsid w:val="589113DD"/>
    <w:rsid w:val="5894304C"/>
    <w:rsid w:val="58957D45"/>
    <w:rsid w:val="58960F95"/>
    <w:rsid w:val="58963BB0"/>
    <w:rsid w:val="58A12453"/>
    <w:rsid w:val="58A27F7A"/>
    <w:rsid w:val="58A34925"/>
    <w:rsid w:val="58A571CD"/>
    <w:rsid w:val="58A638B4"/>
    <w:rsid w:val="58A837E2"/>
    <w:rsid w:val="58AB1524"/>
    <w:rsid w:val="58AC51CA"/>
    <w:rsid w:val="58AF60A7"/>
    <w:rsid w:val="58B04375"/>
    <w:rsid w:val="58B2640F"/>
    <w:rsid w:val="58B66751"/>
    <w:rsid w:val="58BA6694"/>
    <w:rsid w:val="58BE7660"/>
    <w:rsid w:val="58C0702C"/>
    <w:rsid w:val="58C1657A"/>
    <w:rsid w:val="58C16652"/>
    <w:rsid w:val="58C26C80"/>
    <w:rsid w:val="58C67F77"/>
    <w:rsid w:val="58C779E0"/>
    <w:rsid w:val="58D901AF"/>
    <w:rsid w:val="58DA3BB7"/>
    <w:rsid w:val="58DA5965"/>
    <w:rsid w:val="58DB4DC2"/>
    <w:rsid w:val="58DC502F"/>
    <w:rsid w:val="58DF241C"/>
    <w:rsid w:val="58DF5C1C"/>
    <w:rsid w:val="58E10AA2"/>
    <w:rsid w:val="58E14F7F"/>
    <w:rsid w:val="58E20154"/>
    <w:rsid w:val="58E32A6C"/>
    <w:rsid w:val="58E36164"/>
    <w:rsid w:val="58E74233"/>
    <w:rsid w:val="58E86CA3"/>
    <w:rsid w:val="58EB36CF"/>
    <w:rsid w:val="58EE3E4C"/>
    <w:rsid w:val="58F34DD8"/>
    <w:rsid w:val="58F46A27"/>
    <w:rsid w:val="58FB67C7"/>
    <w:rsid w:val="58FB7220"/>
    <w:rsid w:val="58FB7C62"/>
    <w:rsid w:val="58FC7EC5"/>
    <w:rsid w:val="59030A18"/>
    <w:rsid w:val="59060509"/>
    <w:rsid w:val="59085D97"/>
    <w:rsid w:val="590D7AE9"/>
    <w:rsid w:val="59120156"/>
    <w:rsid w:val="59126EAD"/>
    <w:rsid w:val="59127D64"/>
    <w:rsid w:val="59142A73"/>
    <w:rsid w:val="59154BEF"/>
    <w:rsid w:val="59162550"/>
    <w:rsid w:val="5919023C"/>
    <w:rsid w:val="591935E3"/>
    <w:rsid w:val="59193B04"/>
    <w:rsid w:val="5919648E"/>
    <w:rsid w:val="591A2D58"/>
    <w:rsid w:val="591B6943"/>
    <w:rsid w:val="592163C9"/>
    <w:rsid w:val="5923730C"/>
    <w:rsid w:val="59260BAB"/>
    <w:rsid w:val="59266D23"/>
    <w:rsid w:val="59282B75"/>
    <w:rsid w:val="59284923"/>
    <w:rsid w:val="592D018B"/>
    <w:rsid w:val="592F3F03"/>
    <w:rsid w:val="59326E77"/>
    <w:rsid w:val="593405B4"/>
    <w:rsid w:val="59374B66"/>
    <w:rsid w:val="5937711B"/>
    <w:rsid w:val="5939268C"/>
    <w:rsid w:val="593C03CE"/>
    <w:rsid w:val="593C68FB"/>
    <w:rsid w:val="5943175D"/>
    <w:rsid w:val="594326C6"/>
    <w:rsid w:val="594613D7"/>
    <w:rsid w:val="59492A03"/>
    <w:rsid w:val="594A0E70"/>
    <w:rsid w:val="594B1E26"/>
    <w:rsid w:val="5952614F"/>
    <w:rsid w:val="595351ED"/>
    <w:rsid w:val="595C325E"/>
    <w:rsid w:val="59606A98"/>
    <w:rsid w:val="5963315C"/>
    <w:rsid w:val="59660CA5"/>
    <w:rsid w:val="59684D1F"/>
    <w:rsid w:val="596A0289"/>
    <w:rsid w:val="596A1B67"/>
    <w:rsid w:val="596A4F3B"/>
    <w:rsid w:val="596C0CB3"/>
    <w:rsid w:val="596F2552"/>
    <w:rsid w:val="59703091"/>
    <w:rsid w:val="5972443C"/>
    <w:rsid w:val="59733F3A"/>
    <w:rsid w:val="597A4752"/>
    <w:rsid w:val="597D4C6F"/>
    <w:rsid w:val="597E09E7"/>
    <w:rsid w:val="597E4543"/>
    <w:rsid w:val="597F3196"/>
    <w:rsid w:val="59812B44"/>
    <w:rsid w:val="59815DE1"/>
    <w:rsid w:val="59822285"/>
    <w:rsid w:val="59843637"/>
    <w:rsid w:val="5988716F"/>
    <w:rsid w:val="598C3104"/>
    <w:rsid w:val="598E476E"/>
    <w:rsid w:val="598E529C"/>
    <w:rsid w:val="599042AB"/>
    <w:rsid w:val="59954610"/>
    <w:rsid w:val="59967ADE"/>
    <w:rsid w:val="599D70BF"/>
    <w:rsid w:val="599E55BB"/>
    <w:rsid w:val="59A214D7"/>
    <w:rsid w:val="59A47FB3"/>
    <w:rsid w:val="59A73A9A"/>
    <w:rsid w:val="59AA453F"/>
    <w:rsid w:val="59B14918"/>
    <w:rsid w:val="59B15C12"/>
    <w:rsid w:val="59B52E52"/>
    <w:rsid w:val="59B85EB7"/>
    <w:rsid w:val="59C06909"/>
    <w:rsid w:val="59C16C5B"/>
    <w:rsid w:val="59C2148F"/>
    <w:rsid w:val="59C56616"/>
    <w:rsid w:val="59C669A8"/>
    <w:rsid w:val="59C7757C"/>
    <w:rsid w:val="59C856BE"/>
    <w:rsid w:val="59CA3C2C"/>
    <w:rsid w:val="59CA59DA"/>
    <w:rsid w:val="59CB138A"/>
    <w:rsid w:val="59CB77D5"/>
    <w:rsid w:val="59D32AE1"/>
    <w:rsid w:val="59D61F0E"/>
    <w:rsid w:val="59DB30C9"/>
    <w:rsid w:val="59DD63C3"/>
    <w:rsid w:val="59E135B0"/>
    <w:rsid w:val="59E20F76"/>
    <w:rsid w:val="59E3084A"/>
    <w:rsid w:val="59E52169"/>
    <w:rsid w:val="59E71202"/>
    <w:rsid w:val="59EC032B"/>
    <w:rsid w:val="59EC06C3"/>
    <w:rsid w:val="59EC09A6"/>
    <w:rsid w:val="59EC3BA2"/>
    <w:rsid w:val="59ED3476"/>
    <w:rsid w:val="59EF17BB"/>
    <w:rsid w:val="59EF316C"/>
    <w:rsid w:val="59EF5B1B"/>
    <w:rsid w:val="59F3611C"/>
    <w:rsid w:val="59F36CDF"/>
    <w:rsid w:val="59F36D13"/>
    <w:rsid w:val="59F67BEB"/>
    <w:rsid w:val="59F91179"/>
    <w:rsid w:val="59FB3DE5"/>
    <w:rsid w:val="59FF6B39"/>
    <w:rsid w:val="5A0013FC"/>
    <w:rsid w:val="5A0740B4"/>
    <w:rsid w:val="5A0752CB"/>
    <w:rsid w:val="5A0F1A20"/>
    <w:rsid w:val="5A0F3A5D"/>
    <w:rsid w:val="5A155F76"/>
    <w:rsid w:val="5A156629"/>
    <w:rsid w:val="5A171214"/>
    <w:rsid w:val="5A1A1AF5"/>
    <w:rsid w:val="5A1B6236"/>
    <w:rsid w:val="5A1F56FD"/>
    <w:rsid w:val="5A2055FA"/>
    <w:rsid w:val="5A266FC0"/>
    <w:rsid w:val="5A290952"/>
    <w:rsid w:val="5A364E1D"/>
    <w:rsid w:val="5A391297"/>
    <w:rsid w:val="5A3B2434"/>
    <w:rsid w:val="5A3D3D89"/>
    <w:rsid w:val="5A3F0176"/>
    <w:rsid w:val="5A407A4A"/>
    <w:rsid w:val="5A421A14"/>
    <w:rsid w:val="5A451531"/>
    <w:rsid w:val="5A472451"/>
    <w:rsid w:val="5A4A5760"/>
    <w:rsid w:val="5A4B6B1B"/>
    <w:rsid w:val="5A5359CF"/>
    <w:rsid w:val="5A557999"/>
    <w:rsid w:val="5A5654C0"/>
    <w:rsid w:val="5A581238"/>
    <w:rsid w:val="5A587151"/>
    <w:rsid w:val="5A5968C5"/>
    <w:rsid w:val="5A5A5B18"/>
    <w:rsid w:val="5A5A6003"/>
    <w:rsid w:val="5A5B7189"/>
    <w:rsid w:val="5A5E55CA"/>
    <w:rsid w:val="5A623E64"/>
    <w:rsid w:val="5A64389C"/>
    <w:rsid w:val="5A662370"/>
    <w:rsid w:val="5A67147B"/>
    <w:rsid w:val="5A687090"/>
    <w:rsid w:val="5A693983"/>
    <w:rsid w:val="5A6951F3"/>
    <w:rsid w:val="5A6976FE"/>
    <w:rsid w:val="5A6978B4"/>
    <w:rsid w:val="5A6C083F"/>
    <w:rsid w:val="5A6C31FA"/>
    <w:rsid w:val="5A7122F9"/>
    <w:rsid w:val="5A7140A7"/>
    <w:rsid w:val="5A736072"/>
    <w:rsid w:val="5A763F4F"/>
    <w:rsid w:val="5A76552B"/>
    <w:rsid w:val="5A783DD9"/>
    <w:rsid w:val="5A786312"/>
    <w:rsid w:val="5A7A07C2"/>
    <w:rsid w:val="5A7A3EAC"/>
    <w:rsid w:val="5A81774A"/>
    <w:rsid w:val="5A8368E8"/>
    <w:rsid w:val="5A871B1D"/>
    <w:rsid w:val="5A8A680E"/>
    <w:rsid w:val="5A9304C2"/>
    <w:rsid w:val="5A937A8D"/>
    <w:rsid w:val="5A951B44"/>
    <w:rsid w:val="5A955FE8"/>
    <w:rsid w:val="5A9776E6"/>
    <w:rsid w:val="5A993AC9"/>
    <w:rsid w:val="5A9D4E9D"/>
    <w:rsid w:val="5A9F3CAF"/>
    <w:rsid w:val="5AA125D5"/>
    <w:rsid w:val="5AAE2C06"/>
    <w:rsid w:val="5AAF59A9"/>
    <w:rsid w:val="5AB22733"/>
    <w:rsid w:val="5AB26243"/>
    <w:rsid w:val="5AB3021C"/>
    <w:rsid w:val="5AB43B91"/>
    <w:rsid w:val="5AB52C6E"/>
    <w:rsid w:val="5AB741B0"/>
    <w:rsid w:val="5ABD553F"/>
    <w:rsid w:val="5ABE3BC9"/>
    <w:rsid w:val="5ABF3065"/>
    <w:rsid w:val="5AC051B0"/>
    <w:rsid w:val="5AC24903"/>
    <w:rsid w:val="5AC62645"/>
    <w:rsid w:val="5AC661A1"/>
    <w:rsid w:val="5AC71F19"/>
    <w:rsid w:val="5AC73CC7"/>
    <w:rsid w:val="5AC939BB"/>
    <w:rsid w:val="5ACC7530"/>
    <w:rsid w:val="5ACD5782"/>
    <w:rsid w:val="5ACE08E9"/>
    <w:rsid w:val="5ACE5056"/>
    <w:rsid w:val="5AD26C54"/>
    <w:rsid w:val="5AD54636"/>
    <w:rsid w:val="5AD9663A"/>
    <w:rsid w:val="5ADA004A"/>
    <w:rsid w:val="5ADA4C20"/>
    <w:rsid w:val="5ADA7E9F"/>
    <w:rsid w:val="5ADB4A6A"/>
    <w:rsid w:val="5ADD24CF"/>
    <w:rsid w:val="5ADE798F"/>
    <w:rsid w:val="5AE26D53"/>
    <w:rsid w:val="5AE46A98"/>
    <w:rsid w:val="5AE5073C"/>
    <w:rsid w:val="5AE52B24"/>
    <w:rsid w:val="5AE57637"/>
    <w:rsid w:val="5AE66844"/>
    <w:rsid w:val="5AE91F64"/>
    <w:rsid w:val="5AE969BB"/>
    <w:rsid w:val="5AE97247"/>
    <w:rsid w:val="5AEB22B8"/>
    <w:rsid w:val="5AEB36A2"/>
    <w:rsid w:val="5AEB7D90"/>
    <w:rsid w:val="5AF104D1"/>
    <w:rsid w:val="5AF42587"/>
    <w:rsid w:val="5AF716B9"/>
    <w:rsid w:val="5AF71B62"/>
    <w:rsid w:val="5AF83B0A"/>
    <w:rsid w:val="5AFA409D"/>
    <w:rsid w:val="5AFC6067"/>
    <w:rsid w:val="5B046CCA"/>
    <w:rsid w:val="5B062A42"/>
    <w:rsid w:val="5B063B2B"/>
    <w:rsid w:val="5B081706"/>
    <w:rsid w:val="5B090DC3"/>
    <w:rsid w:val="5B092532"/>
    <w:rsid w:val="5B0B0058"/>
    <w:rsid w:val="5B0B24BB"/>
    <w:rsid w:val="5B10566E"/>
    <w:rsid w:val="5B116C41"/>
    <w:rsid w:val="5B117888"/>
    <w:rsid w:val="5B12588A"/>
    <w:rsid w:val="5B150ED7"/>
    <w:rsid w:val="5B17428E"/>
    <w:rsid w:val="5B181D5A"/>
    <w:rsid w:val="5B196DC7"/>
    <w:rsid w:val="5B1A3CB1"/>
    <w:rsid w:val="5B1C0B9A"/>
    <w:rsid w:val="5B1E1EC1"/>
    <w:rsid w:val="5B20299D"/>
    <w:rsid w:val="5B230259"/>
    <w:rsid w:val="5B2348F0"/>
    <w:rsid w:val="5B242EC8"/>
    <w:rsid w:val="5B243A15"/>
    <w:rsid w:val="5B264E92"/>
    <w:rsid w:val="5B294420"/>
    <w:rsid w:val="5B2A225C"/>
    <w:rsid w:val="5B2B06FA"/>
    <w:rsid w:val="5B301190"/>
    <w:rsid w:val="5B302DB0"/>
    <w:rsid w:val="5B331769"/>
    <w:rsid w:val="5B3524F6"/>
    <w:rsid w:val="5B3550D5"/>
    <w:rsid w:val="5B3B6725"/>
    <w:rsid w:val="5B3C46B5"/>
    <w:rsid w:val="5B3D3F8A"/>
    <w:rsid w:val="5B3E0678"/>
    <w:rsid w:val="5B3E21DC"/>
    <w:rsid w:val="5B3E4539"/>
    <w:rsid w:val="5B3F1217"/>
    <w:rsid w:val="5B4213BB"/>
    <w:rsid w:val="5B4219B2"/>
    <w:rsid w:val="5B4236BA"/>
    <w:rsid w:val="5B46096D"/>
    <w:rsid w:val="5B4B4BE9"/>
    <w:rsid w:val="5B4D0671"/>
    <w:rsid w:val="5B4F53EC"/>
    <w:rsid w:val="5B503CBD"/>
    <w:rsid w:val="5B547C51"/>
    <w:rsid w:val="5B5A4B3C"/>
    <w:rsid w:val="5B5F1D9F"/>
    <w:rsid w:val="5B625688"/>
    <w:rsid w:val="5B665E5D"/>
    <w:rsid w:val="5B6800B4"/>
    <w:rsid w:val="5B6B0AF7"/>
    <w:rsid w:val="5B6E240F"/>
    <w:rsid w:val="5B6E25C5"/>
    <w:rsid w:val="5B6F3900"/>
    <w:rsid w:val="5B7044EE"/>
    <w:rsid w:val="5B7065B7"/>
    <w:rsid w:val="5B767BC7"/>
    <w:rsid w:val="5B783BA2"/>
    <w:rsid w:val="5B7E6A7C"/>
    <w:rsid w:val="5B7F16F0"/>
    <w:rsid w:val="5B800A46"/>
    <w:rsid w:val="5B89006B"/>
    <w:rsid w:val="5B8A6E6F"/>
    <w:rsid w:val="5B8A78EA"/>
    <w:rsid w:val="5B8B15E4"/>
    <w:rsid w:val="5B8B705E"/>
    <w:rsid w:val="5B8C62B2"/>
    <w:rsid w:val="5B8D4E58"/>
    <w:rsid w:val="5B9163B2"/>
    <w:rsid w:val="5B94004E"/>
    <w:rsid w:val="5B9538B5"/>
    <w:rsid w:val="5B955B74"/>
    <w:rsid w:val="5B9927E7"/>
    <w:rsid w:val="5B9D4491"/>
    <w:rsid w:val="5BA0450A"/>
    <w:rsid w:val="5BA27B68"/>
    <w:rsid w:val="5BA627FE"/>
    <w:rsid w:val="5BA752A8"/>
    <w:rsid w:val="5BA949C7"/>
    <w:rsid w:val="5BAC41E1"/>
    <w:rsid w:val="5BAD110F"/>
    <w:rsid w:val="5BB92542"/>
    <w:rsid w:val="5BB93F58"/>
    <w:rsid w:val="5BB95D06"/>
    <w:rsid w:val="5BBA55DA"/>
    <w:rsid w:val="5BBD2443"/>
    <w:rsid w:val="5BBF0F6C"/>
    <w:rsid w:val="5BBF4A30"/>
    <w:rsid w:val="5BC00E43"/>
    <w:rsid w:val="5BC03346"/>
    <w:rsid w:val="5BC30933"/>
    <w:rsid w:val="5BC4708B"/>
    <w:rsid w:val="5BC57D05"/>
    <w:rsid w:val="5BCB77E7"/>
    <w:rsid w:val="5BCF0901"/>
    <w:rsid w:val="5BCF3F2F"/>
    <w:rsid w:val="5BD243D6"/>
    <w:rsid w:val="5BD62414"/>
    <w:rsid w:val="5BD97373"/>
    <w:rsid w:val="5BDA54F9"/>
    <w:rsid w:val="5BE13ECB"/>
    <w:rsid w:val="5BE2700B"/>
    <w:rsid w:val="5BE340C8"/>
    <w:rsid w:val="5BE3427E"/>
    <w:rsid w:val="5BE53F27"/>
    <w:rsid w:val="5BE557D4"/>
    <w:rsid w:val="5BE801BD"/>
    <w:rsid w:val="5BEA75B7"/>
    <w:rsid w:val="5BEB53B8"/>
    <w:rsid w:val="5BEF05B4"/>
    <w:rsid w:val="5BEF1728"/>
    <w:rsid w:val="5BF1653A"/>
    <w:rsid w:val="5BF523B9"/>
    <w:rsid w:val="5BF907F8"/>
    <w:rsid w:val="5BFC56EB"/>
    <w:rsid w:val="5BFD2097"/>
    <w:rsid w:val="5BFD3E45"/>
    <w:rsid w:val="5BFE2A26"/>
    <w:rsid w:val="5BFE3B60"/>
    <w:rsid w:val="5C001B87"/>
    <w:rsid w:val="5C007110"/>
    <w:rsid w:val="5C021228"/>
    <w:rsid w:val="5C052CF9"/>
    <w:rsid w:val="5C092144"/>
    <w:rsid w:val="5C0C58DA"/>
    <w:rsid w:val="5C0F5926"/>
    <w:rsid w:val="5C186ED1"/>
    <w:rsid w:val="5C1C63A8"/>
    <w:rsid w:val="5C216BC7"/>
    <w:rsid w:val="5C245875"/>
    <w:rsid w:val="5C272C70"/>
    <w:rsid w:val="5C291C9D"/>
    <w:rsid w:val="5C295FAD"/>
    <w:rsid w:val="5C2A15C6"/>
    <w:rsid w:val="5C2A2760"/>
    <w:rsid w:val="5C2D0B90"/>
    <w:rsid w:val="5C34538D"/>
    <w:rsid w:val="5C357C0E"/>
    <w:rsid w:val="5C384E7D"/>
    <w:rsid w:val="5C391A9C"/>
    <w:rsid w:val="5C392C8B"/>
    <w:rsid w:val="5C3C0B70"/>
    <w:rsid w:val="5C440336"/>
    <w:rsid w:val="5C466C57"/>
    <w:rsid w:val="5C4708E2"/>
    <w:rsid w:val="5C4730AB"/>
    <w:rsid w:val="5C473312"/>
    <w:rsid w:val="5C4757D4"/>
    <w:rsid w:val="5C475989"/>
    <w:rsid w:val="5C4849EC"/>
    <w:rsid w:val="5C4A6E10"/>
    <w:rsid w:val="5C4B310C"/>
    <w:rsid w:val="5C4C0928"/>
    <w:rsid w:val="5C4D7325"/>
    <w:rsid w:val="5C4E46A0"/>
    <w:rsid w:val="5C4F7D15"/>
    <w:rsid w:val="5C5477DD"/>
    <w:rsid w:val="5C574268"/>
    <w:rsid w:val="5C583A83"/>
    <w:rsid w:val="5C593045"/>
    <w:rsid w:val="5C5B0B6B"/>
    <w:rsid w:val="5C5F354F"/>
    <w:rsid w:val="5C62014C"/>
    <w:rsid w:val="5C6204C3"/>
    <w:rsid w:val="5C6225D0"/>
    <w:rsid w:val="5C6336F0"/>
    <w:rsid w:val="5C65130B"/>
    <w:rsid w:val="5C674D34"/>
    <w:rsid w:val="5C695E9B"/>
    <w:rsid w:val="5C6E0033"/>
    <w:rsid w:val="5C6E3295"/>
    <w:rsid w:val="5C761E49"/>
    <w:rsid w:val="5C7E4CC3"/>
    <w:rsid w:val="5C841E70"/>
    <w:rsid w:val="5C86202D"/>
    <w:rsid w:val="5C871960"/>
    <w:rsid w:val="5C872843"/>
    <w:rsid w:val="5C875E04"/>
    <w:rsid w:val="5C877BB2"/>
    <w:rsid w:val="5C8949A7"/>
    <w:rsid w:val="5C8956D8"/>
    <w:rsid w:val="5C8C6A72"/>
    <w:rsid w:val="5C8D2242"/>
    <w:rsid w:val="5C8F20DB"/>
    <w:rsid w:val="5C922FC1"/>
    <w:rsid w:val="5C950521"/>
    <w:rsid w:val="5C954F7D"/>
    <w:rsid w:val="5C967DF5"/>
    <w:rsid w:val="5C977095"/>
    <w:rsid w:val="5C981DBF"/>
    <w:rsid w:val="5C983B6D"/>
    <w:rsid w:val="5CA15BF1"/>
    <w:rsid w:val="5CA51446"/>
    <w:rsid w:val="5CA95D7B"/>
    <w:rsid w:val="5CAC6D2A"/>
    <w:rsid w:val="5CAE15E3"/>
    <w:rsid w:val="5CAE4E65"/>
    <w:rsid w:val="5CB12E81"/>
    <w:rsid w:val="5CB36BF9"/>
    <w:rsid w:val="5CB87D6C"/>
    <w:rsid w:val="5CBA7F88"/>
    <w:rsid w:val="5CBF10FA"/>
    <w:rsid w:val="5CC27C72"/>
    <w:rsid w:val="5CC3175A"/>
    <w:rsid w:val="5CC62FA9"/>
    <w:rsid w:val="5CC73353"/>
    <w:rsid w:val="5CC82B3B"/>
    <w:rsid w:val="5CCA2861"/>
    <w:rsid w:val="5CCC2C23"/>
    <w:rsid w:val="5CCD4B8F"/>
    <w:rsid w:val="5CD01559"/>
    <w:rsid w:val="5CD821BC"/>
    <w:rsid w:val="5CD94E88"/>
    <w:rsid w:val="5CDC09BC"/>
    <w:rsid w:val="5CDC1CAC"/>
    <w:rsid w:val="5CDD3C76"/>
    <w:rsid w:val="5CDD77D2"/>
    <w:rsid w:val="5CDE3232"/>
    <w:rsid w:val="5CE15186"/>
    <w:rsid w:val="5CE27E10"/>
    <w:rsid w:val="5CE60412"/>
    <w:rsid w:val="5CE655CD"/>
    <w:rsid w:val="5CE96177"/>
    <w:rsid w:val="5CEF2BD6"/>
    <w:rsid w:val="5CF42225"/>
    <w:rsid w:val="5CF51FF8"/>
    <w:rsid w:val="5CF54B1C"/>
    <w:rsid w:val="5CF60D2A"/>
    <w:rsid w:val="5CF80BE2"/>
    <w:rsid w:val="5CF8460C"/>
    <w:rsid w:val="5CF95B91"/>
    <w:rsid w:val="5CF96FBB"/>
    <w:rsid w:val="5CFB5EAA"/>
    <w:rsid w:val="5CFC3A31"/>
    <w:rsid w:val="5CFD5EAA"/>
    <w:rsid w:val="5CFD769F"/>
    <w:rsid w:val="5CFE7777"/>
    <w:rsid w:val="5D01407E"/>
    <w:rsid w:val="5D03345B"/>
    <w:rsid w:val="5D034B40"/>
    <w:rsid w:val="5D052E31"/>
    <w:rsid w:val="5D05319C"/>
    <w:rsid w:val="5D0536BD"/>
    <w:rsid w:val="5D071531"/>
    <w:rsid w:val="5D0905C7"/>
    <w:rsid w:val="5D0928E5"/>
    <w:rsid w:val="5D094A6B"/>
    <w:rsid w:val="5D0A3484"/>
    <w:rsid w:val="5D0A3648"/>
    <w:rsid w:val="5D0C4BC1"/>
    <w:rsid w:val="5D0D6309"/>
    <w:rsid w:val="5D10089E"/>
    <w:rsid w:val="5D101956"/>
    <w:rsid w:val="5D1452A3"/>
    <w:rsid w:val="5D1458EA"/>
    <w:rsid w:val="5D166C6E"/>
    <w:rsid w:val="5D170F36"/>
    <w:rsid w:val="5D1D2296"/>
    <w:rsid w:val="5D246832"/>
    <w:rsid w:val="5D2C7825"/>
    <w:rsid w:val="5D3120A8"/>
    <w:rsid w:val="5D323FC2"/>
    <w:rsid w:val="5D327B1E"/>
    <w:rsid w:val="5D373386"/>
    <w:rsid w:val="5D3C274B"/>
    <w:rsid w:val="5D3C6BEF"/>
    <w:rsid w:val="5D3F4885"/>
    <w:rsid w:val="5D4144AA"/>
    <w:rsid w:val="5D4C0A06"/>
    <w:rsid w:val="5D4D4B30"/>
    <w:rsid w:val="5D537A94"/>
    <w:rsid w:val="5D666327"/>
    <w:rsid w:val="5D6677C8"/>
    <w:rsid w:val="5D6B3030"/>
    <w:rsid w:val="5D6E48CE"/>
    <w:rsid w:val="5D72033C"/>
    <w:rsid w:val="5D720862"/>
    <w:rsid w:val="5D72779D"/>
    <w:rsid w:val="5D7630E5"/>
    <w:rsid w:val="5D777C27"/>
    <w:rsid w:val="5D782C0D"/>
    <w:rsid w:val="5D7869AF"/>
    <w:rsid w:val="5D7A14C5"/>
    <w:rsid w:val="5D7B6862"/>
    <w:rsid w:val="5D7C523D"/>
    <w:rsid w:val="5D7E7207"/>
    <w:rsid w:val="5D827F8E"/>
    <w:rsid w:val="5D830B47"/>
    <w:rsid w:val="5D860532"/>
    <w:rsid w:val="5D870900"/>
    <w:rsid w:val="5D8774BB"/>
    <w:rsid w:val="5D887E95"/>
    <w:rsid w:val="5D8F2E94"/>
    <w:rsid w:val="5D9205BD"/>
    <w:rsid w:val="5D944335"/>
    <w:rsid w:val="5D9630DD"/>
    <w:rsid w:val="5D973E25"/>
    <w:rsid w:val="5D9C58DF"/>
    <w:rsid w:val="5D9E1657"/>
    <w:rsid w:val="5D9E3405"/>
    <w:rsid w:val="5D9E6F62"/>
    <w:rsid w:val="5D9E70D5"/>
    <w:rsid w:val="5DA62893"/>
    <w:rsid w:val="5DAF116F"/>
    <w:rsid w:val="5DB1138B"/>
    <w:rsid w:val="5DB46785"/>
    <w:rsid w:val="5DB70023"/>
    <w:rsid w:val="5DB723C2"/>
    <w:rsid w:val="5DB72F61"/>
    <w:rsid w:val="5DB821B2"/>
    <w:rsid w:val="5DB93D9B"/>
    <w:rsid w:val="5DB944DA"/>
    <w:rsid w:val="5DBA0ECD"/>
    <w:rsid w:val="5DC0337C"/>
    <w:rsid w:val="5DC2175C"/>
    <w:rsid w:val="5DC40E54"/>
    <w:rsid w:val="5DC44938"/>
    <w:rsid w:val="5DCF5051"/>
    <w:rsid w:val="5DD0445A"/>
    <w:rsid w:val="5DD155AC"/>
    <w:rsid w:val="5DD21301"/>
    <w:rsid w:val="5DD230AF"/>
    <w:rsid w:val="5DD25566"/>
    <w:rsid w:val="5DD2630F"/>
    <w:rsid w:val="5DD84AC7"/>
    <w:rsid w:val="5DDB1F64"/>
    <w:rsid w:val="5DDB5188"/>
    <w:rsid w:val="5DDC11E9"/>
    <w:rsid w:val="5DDE6F83"/>
    <w:rsid w:val="5DE00AA9"/>
    <w:rsid w:val="5DE0757A"/>
    <w:rsid w:val="5DE13BCB"/>
    <w:rsid w:val="5DE3106E"/>
    <w:rsid w:val="5DE350B0"/>
    <w:rsid w:val="5DE9235D"/>
    <w:rsid w:val="5DEB5F1F"/>
    <w:rsid w:val="5DEF7705"/>
    <w:rsid w:val="5DF23751"/>
    <w:rsid w:val="5DF92166"/>
    <w:rsid w:val="5DFA3515"/>
    <w:rsid w:val="5DFB1B13"/>
    <w:rsid w:val="5DFB598F"/>
    <w:rsid w:val="5E053D08"/>
    <w:rsid w:val="5E061A7C"/>
    <w:rsid w:val="5E0771FD"/>
    <w:rsid w:val="5E084D23"/>
    <w:rsid w:val="5E086AD1"/>
    <w:rsid w:val="5E0A45F7"/>
    <w:rsid w:val="5E0D2339"/>
    <w:rsid w:val="5E0D40E7"/>
    <w:rsid w:val="5E0E5D24"/>
    <w:rsid w:val="5E0F095E"/>
    <w:rsid w:val="5E133E89"/>
    <w:rsid w:val="5E1360BA"/>
    <w:rsid w:val="5E1611EE"/>
    <w:rsid w:val="5E174F66"/>
    <w:rsid w:val="5E1810CC"/>
    <w:rsid w:val="5E187A5F"/>
    <w:rsid w:val="5E1B2CA8"/>
    <w:rsid w:val="5E1C7DE3"/>
    <w:rsid w:val="5E220C7E"/>
    <w:rsid w:val="5E2338A9"/>
    <w:rsid w:val="5E272E68"/>
    <w:rsid w:val="5E2733FB"/>
    <w:rsid w:val="5E2A7350"/>
    <w:rsid w:val="5E2E58FB"/>
    <w:rsid w:val="5E2F22B0"/>
    <w:rsid w:val="5E3277CE"/>
    <w:rsid w:val="5E371164"/>
    <w:rsid w:val="5E3873B6"/>
    <w:rsid w:val="5E3B0C54"/>
    <w:rsid w:val="5E3D2C1E"/>
    <w:rsid w:val="5E447596"/>
    <w:rsid w:val="5E4A3D26"/>
    <w:rsid w:val="5E53313F"/>
    <w:rsid w:val="5E542F71"/>
    <w:rsid w:val="5E54429A"/>
    <w:rsid w:val="5E551D41"/>
    <w:rsid w:val="5E55537D"/>
    <w:rsid w:val="5E556D0B"/>
    <w:rsid w:val="5E563CE0"/>
    <w:rsid w:val="5E59557E"/>
    <w:rsid w:val="5E59732C"/>
    <w:rsid w:val="5E5B30A5"/>
    <w:rsid w:val="5E6301AB"/>
    <w:rsid w:val="5E6526B6"/>
    <w:rsid w:val="5E665061"/>
    <w:rsid w:val="5E671A49"/>
    <w:rsid w:val="5E6912A0"/>
    <w:rsid w:val="5E6C0022"/>
    <w:rsid w:val="5E7058AA"/>
    <w:rsid w:val="5E71501E"/>
    <w:rsid w:val="5E71553F"/>
    <w:rsid w:val="5E75517C"/>
    <w:rsid w:val="5E783C56"/>
    <w:rsid w:val="5E7A5C21"/>
    <w:rsid w:val="5E7D301B"/>
    <w:rsid w:val="5E7D74BF"/>
    <w:rsid w:val="5E7E119F"/>
    <w:rsid w:val="5E7E508A"/>
    <w:rsid w:val="5E802B0B"/>
    <w:rsid w:val="5E8048B9"/>
    <w:rsid w:val="5E806821"/>
    <w:rsid w:val="5E84084D"/>
    <w:rsid w:val="5E8545C5"/>
    <w:rsid w:val="5E857041"/>
    <w:rsid w:val="5E87563B"/>
    <w:rsid w:val="5E8B5F88"/>
    <w:rsid w:val="5E8B6A61"/>
    <w:rsid w:val="5E8D14AD"/>
    <w:rsid w:val="5E993BCD"/>
    <w:rsid w:val="5E9B51F7"/>
    <w:rsid w:val="5E9D36BD"/>
    <w:rsid w:val="5E9F4AE4"/>
    <w:rsid w:val="5EA031AD"/>
    <w:rsid w:val="5EA51C4A"/>
    <w:rsid w:val="5EAA52DB"/>
    <w:rsid w:val="5EAA79D4"/>
    <w:rsid w:val="5EAB603E"/>
    <w:rsid w:val="5EAD072D"/>
    <w:rsid w:val="5EAE0B30"/>
    <w:rsid w:val="5EB14C3F"/>
    <w:rsid w:val="5EB23C41"/>
    <w:rsid w:val="5EB33521"/>
    <w:rsid w:val="5EB629D1"/>
    <w:rsid w:val="5EB90BDF"/>
    <w:rsid w:val="5EB9176F"/>
    <w:rsid w:val="5EB91C0B"/>
    <w:rsid w:val="5EB935FE"/>
    <w:rsid w:val="5EBD1A1C"/>
    <w:rsid w:val="5EBE53E1"/>
    <w:rsid w:val="5EC073AC"/>
    <w:rsid w:val="5EC21376"/>
    <w:rsid w:val="5EC272D5"/>
    <w:rsid w:val="5EC759C2"/>
    <w:rsid w:val="5EC837BF"/>
    <w:rsid w:val="5EC92704"/>
    <w:rsid w:val="5ECB6A11"/>
    <w:rsid w:val="5ECE1AC8"/>
    <w:rsid w:val="5ED05841"/>
    <w:rsid w:val="5EDB41E5"/>
    <w:rsid w:val="5EDC5D8E"/>
    <w:rsid w:val="5EDD7F5D"/>
    <w:rsid w:val="5EE4067B"/>
    <w:rsid w:val="5EE578CE"/>
    <w:rsid w:val="5EE7005F"/>
    <w:rsid w:val="5EEF2AC7"/>
    <w:rsid w:val="5EF07C91"/>
    <w:rsid w:val="5EF157B7"/>
    <w:rsid w:val="5EF32AEC"/>
    <w:rsid w:val="5EF77271"/>
    <w:rsid w:val="5EF86B45"/>
    <w:rsid w:val="5EFA0B0F"/>
    <w:rsid w:val="5EFF1C82"/>
    <w:rsid w:val="5F01512C"/>
    <w:rsid w:val="5F0454EA"/>
    <w:rsid w:val="5F0A3E4D"/>
    <w:rsid w:val="5F0B4827"/>
    <w:rsid w:val="5F0B4ACB"/>
    <w:rsid w:val="5F0C25F1"/>
    <w:rsid w:val="5F0C558A"/>
    <w:rsid w:val="5F0D0843"/>
    <w:rsid w:val="5F116F65"/>
    <w:rsid w:val="5F136978"/>
    <w:rsid w:val="5F1576F7"/>
    <w:rsid w:val="5F196D9D"/>
    <w:rsid w:val="5F1A4D0E"/>
    <w:rsid w:val="5F1A6ABC"/>
    <w:rsid w:val="5F1C0A86"/>
    <w:rsid w:val="5F1D2CC5"/>
    <w:rsid w:val="5F224B68"/>
    <w:rsid w:val="5F250023"/>
    <w:rsid w:val="5F2A3265"/>
    <w:rsid w:val="5F2C7468"/>
    <w:rsid w:val="5F2F4D3A"/>
    <w:rsid w:val="5F305C95"/>
    <w:rsid w:val="5F310BD2"/>
    <w:rsid w:val="5F3229FB"/>
    <w:rsid w:val="5F3D51C4"/>
    <w:rsid w:val="5F4467D8"/>
    <w:rsid w:val="5F4633A5"/>
    <w:rsid w:val="5F463D55"/>
    <w:rsid w:val="5F48187B"/>
    <w:rsid w:val="5F481947"/>
    <w:rsid w:val="5F4B3119"/>
    <w:rsid w:val="5F4C0C3F"/>
    <w:rsid w:val="5F4E21AE"/>
    <w:rsid w:val="5F4E2C09"/>
    <w:rsid w:val="5F4F0E5B"/>
    <w:rsid w:val="5F534EAA"/>
    <w:rsid w:val="5F5521EA"/>
    <w:rsid w:val="5F5A15AE"/>
    <w:rsid w:val="5F5D4BFA"/>
    <w:rsid w:val="5F5E109E"/>
    <w:rsid w:val="5F5E1B86"/>
    <w:rsid w:val="5F5F6BC4"/>
    <w:rsid w:val="5F616532"/>
    <w:rsid w:val="5F66666A"/>
    <w:rsid w:val="5F6B3399"/>
    <w:rsid w:val="5F6E6E08"/>
    <w:rsid w:val="5F750250"/>
    <w:rsid w:val="5F751F44"/>
    <w:rsid w:val="5F75376D"/>
    <w:rsid w:val="5F772E66"/>
    <w:rsid w:val="5F775CBC"/>
    <w:rsid w:val="5F782A73"/>
    <w:rsid w:val="5F7930A5"/>
    <w:rsid w:val="5F79574A"/>
    <w:rsid w:val="5F7A1C50"/>
    <w:rsid w:val="5F7F7910"/>
    <w:rsid w:val="5F8473FA"/>
    <w:rsid w:val="5F8623A3"/>
    <w:rsid w:val="5F881C77"/>
    <w:rsid w:val="5F8925BF"/>
    <w:rsid w:val="5F904FD0"/>
    <w:rsid w:val="5F93061C"/>
    <w:rsid w:val="5F933BD1"/>
    <w:rsid w:val="5F941697"/>
    <w:rsid w:val="5F941708"/>
    <w:rsid w:val="5F9737AE"/>
    <w:rsid w:val="5F9A19AB"/>
    <w:rsid w:val="5F9E389E"/>
    <w:rsid w:val="5F9F3465"/>
    <w:rsid w:val="5FA26F94"/>
    <w:rsid w:val="5FA36AB1"/>
    <w:rsid w:val="5FA42B27"/>
    <w:rsid w:val="5FA56CCD"/>
    <w:rsid w:val="5FA62A45"/>
    <w:rsid w:val="5FAA3C02"/>
    <w:rsid w:val="5FB0066B"/>
    <w:rsid w:val="5FB0504C"/>
    <w:rsid w:val="5FB137C1"/>
    <w:rsid w:val="5FB4164E"/>
    <w:rsid w:val="5FB7255D"/>
    <w:rsid w:val="5FB94527"/>
    <w:rsid w:val="5FB966E6"/>
    <w:rsid w:val="5FBE3F60"/>
    <w:rsid w:val="5FC07E13"/>
    <w:rsid w:val="5FC25337"/>
    <w:rsid w:val="5FC353A5"/>
    <w:rsid w:val="5FC609F2"/>
    <w:rsid w:val="5FC66C44"/>
    <w:rsid w:val="5FC8476A"/>
    <w:rsid w:val="5FCA6734"/>
    <w:rsid w:val="5FCC6B42"/>
    <w:rsid w:val="5FCD7FD2"/>
    <w:rsid w:val="5FCE46C2"/>
    <w:rsid w:val="5FCE4D99"/>
    <w:rsid w:val="5FCF3D4A"/>
    <w:rsid w:val="5FD16B14"/>
    <w:rsid w:val="5FD31743"/>
    <w:rsid w:val="5FD362BC"/>
    <w:rsid w:val="5FD41360"/>
    <w:rsid w:val="5FD4310E"/>
    <w:rsid w:val="5FD650D9"/>
    <w:rsid w:val="5FD72BFF"/>
    <w:rsid w:val="5FDB1B0B"/>
    <w:rsid w:val="5FDC3D8E"/>
    <w:rsid w:val="5FE24921"/>
    <w:rsid w:val="5FE5356E"/>
    <w:rsid w:val="5FEA625B"/>
    <w:rsid w:val="5FEB1323"/>
    <w:rsid w:val="5FEF6F25"/>
    <w:rsid w:val="5FF11F12"/>
    <w:rsid w:val="5FF732A1"/>
    <w:rsid w:val="5FFA4E12"/>
    <w:rsid w:val="5FFC4413"/>
    <w:rsid w:val="60012795"/>
    <w:rsid w:val="60033159"/>
    <w:rsid w:val="600339F4"/>
    <w:rsid w:val="60076D0D"/>
    <w:rsid w:val="60076EC3"/>
    <w:rsid w:val="6008100A"/>
    <w:rsid w:val="60082DB8"/>
    <w:rsid w:val="600951E3"/>
    <w:rsid w:val="600B4656"/>
    <w:rsid w:val="600D6066"/>
    <w:rsid w:val="601479AF"/>
    <w:rsid w:val="60150C40"/>
    <w:rsid w:val="60151A0B"/>
    <w:rsid w:val="6015606F"/>
    <w:rsid w:val="60160C5E"/>
    <w:rsid w:val="60182E76"/>
    <w:rsid w:val="601B4DC9"/>
    <w:rsid w:val="601C57A4"/>
    <w:rsid w:val="60200738"/>
    <w:rsid w:val="60255718"/>
    <w:rsid w:val="60256AAF"/>
    <w:rsid w:val="602C2C5E"/>
    <w:rsid w:val="602C3AFE"/>
    <w:rsid w:val="602D0A71"/>
    <w:rsid w:val="602D6CC3"/>
    <w:rsid w:val="602F2A3B"/>
    <w:rsid w:val="60317E77"/>
    <w:rsid w:val="603264A4"/>
    <w:rsid w:val="60327E35"/>
    <w:rsid w:val="603356F8"/>
    <w:rsid w:val="60344B00"/>
    <w:rsid w:val="60344CB6"/>
    <w:rsid w:val="60350178"/>
    <w:rsid w:val="603A3808"/>
    <w:rsid w:val="603B2CD6"/>
    <w:rsid w:val="603C3D15"/>
    <w:rsid w:val="603C4D81"/>
    <w:rsid w:val="603D5158"/>
    <w:rsid w:val="603D69BC"/>
    <w:rsid w:val="60427649"/>
    <w:rsid w:val="60443CBE"/>
    <w:rsid w:val="60484ED2"/>
    <w:rsid w:val="60485BB9"/>
    <w:rsid w:val="604A33D1"/>
    <w:rsid w:val="604F4E8B"/>
    <w:rsid w:val="60511E26"/>
    <w:rsid w:val="605160F1"/>
    <w:rsid w:val="605204D7"/>
    <w:rsid w:val="60536017"/>
    <w:rsid w:val="60554C43"/>
    <w:rsid w:val="6057789C"/>
    <w:rsid w:val="60583D40"/>
    <w:rsid w:val="60591866"/>
    <w:rsid w:val="60593614"/>
    <w:rsid w:val="605B5399"/>
    <w:rsid w:val="605D615C"/>
    <w:rsid w:val="605E50CE"/>
    <w:rsid w:val="605E5A20"/>
    <w:rsid w:val="605F3D77"/>
    <w:rsid w:val="606049A2"/>
    <w:rsid w:val="606063AF"/>
    <w:rsid w:val="606515C6"/>
    <w:rsid w:val="60671922"/>
    <w:rsid w:val="606C7B8D"/>
    <w:rsid w:val="606C7EF8"/>
    <w:rsid w:val="606F4BE5"/>
    <w:rsid w:val="607613F2"/>
    <w:rsid w:val="607D013A"/>
    <w:rsid w:val="607D02F0"/>
    <w:rsid w:val="607F7C54"/>
    <w:rsid w:val="608179AB"/>
    <w:rsid w:val="6082700E"/>
    <w:rsid w:val="60894EB2"/>
    <w:rsid w:val="608A1A1F"/>
    <w:rsid w:val="608A3879"/>
    <w:rsid w:val="608A5EC3"/>
    <w:rsid w:val="608F5287"/>
    <w:rsid w:val="60917251"/>
    <w:rsid w:val="60986FB9"/>
    <w:rsid w:val="609957CA"/>
    <w:rsid w:val="609D1752"/>
    <w:rsid w:val="609E70C1"/>
    <w:rsid w:val="60A17616"/>
    <w:rsid w:val="60A1795D"/>
    <w:rsid w:val="60A17B22"/>
    <w:rsid w:val="60A46F85"/>
    <w:rsid w:val="60A54AAB"/>
    <w:rsid w:val="60A67B8D"/>
    <w:rsid w:val="60A87FA8"/>
    <w:rsid w:val="60AA0313"/>
    <w:rsid w:val="60AF54BB"/>
    <w:rsid w:val="60AF76D8"/>
    <w:rsid w:val="60B13450"/>
    <w:rsid w:val="60B43F73"/>
    <w:rsid w:val="60B53011"/>
    <w:rsid w:val="60B62AF0"/>
    <w:rsid w:val="60B714B7"/>
    <w:rsid w:val="60BA121F"/>
    <w:rsid w:val="60BB42CE"/>
    <w:rsid w:val="60BF187B"/>
    <w:rsid w:val="60C0791C"/>
    <w:rsid w:val="60C211B9"/>
    <w:rsid w:val="60C51A2C"/>
    <w:rsid w:val="60C5514D"/>
    <w:rsid w:val="60CC028A"/>
    <w:rsid w:val="60CF38D6"/>
    <w:rsid w:val="60D0333D"/>
    <w:rsid w:val="60D13AF2"/>
    <w:rsid w:val="60D20857"/>
    <w:rsid w:val="60D21FA9"/>
    <w:rsid w:val="60D3721E"/>
    <w:rsid w:val="60D3786A"/>
    <w:rsid w:val="60D55390"/>
    <w:rsid w:val="60D62EB6"/>
    <w:rsid w:val="60DA0809"/>
    <w:rsid w:val="60DA339F"/>
    <w:rsid w:val="60E0467B"/>
    <w:rsid w:val="60E11BB1"/>
    <w:rsid w:val="60E3046B"/>
    <w:rsid w:val="60E3568C"/>
    <w:rsid w:val="60E66F95"/>
    <w:rsid w:val="60E70C20"/>
    <w:rsid w:val="60E867C1"/>
    <w:rsid w:val="60E90E3C"/>
    <w:rsid w:val="60E92681"/>
    <w:rsid w:val="60EF48AF"/>
    <w:rsid w:val="60F440E8"/>
    <w:rsid w:val="60F872D1"/>
    <w:rsid w:val="60FA4C7F"/>
    <w:rsid w:val="610110B7"/>
    <w:rsid w:val="61023CAB"/>
    <w:rsid w:val="61045C75"/>
    <w:rsid w:val="61093C77"/>
    <w:rsid w:val="610F0176"/>
    <w:rsid w:val="610F275A"/>
    <w:rsid w:val="61175BDA"/>
    <w:rsid w:val="611761E6"/>
    <w:rsid w:val="611834CF"/>
    <w:rsid w:val="61187F80"/>
    <w:rsid w:val="61192E81"/>
    <w:rsid w:val="611B16B9"/>
    <w:rsid w:val="611C2F2E"/>
    <w:rsid w:val="611F03B9"/>
    <w:rsid w:val="61291238"/>
    <w:rsid w:val="612B3202"/>
    <w:rsid w:val="612C28EB"/>
    <w:rsid w:val="612D1541"/>
    <w:rsid w:val="613657CA"/>
    <w:rsid w:val="61371BA7"/>
    <w:rsid w:val="61387EE8"/>
    <w:rsid w:val="613D4CE3"/>
    <w:rsid w:val="613E2F72"/>
    <w:rsid w:val="614213C8"/>
    <w:rsid w:val="61421664"/>
    <w:rsid w:val="61450556"/>
    <w:rsid w:val="614660AD"/>
    <w:rsid w:val="6147343A"/>
    <w:rsid w:val="61475B62"/>
    <w:rsid w:val="6148266D"/>
    <w:rsid w:val="61483DB4"/>
    <w:rsid w:val="614A3BE6"/>
    <w:rsid w:val="614B11AE"/>
    <w:rsid w:val="6151253D"/>
    <w:rsid w:val="61524620"/>
    <w:rsid w:val="61532759"/>
    <w:rsid w:val="615D5386"/>
    <w:rsid w:val="615E35D8"/>
    <w:rsid w:val="61642270"/>
    <w:rsid w:val="61652E80"/>
    <w:rsid w:val="616B7AA3"/>
    <w:rsid w:val="616E1341"/>
    <w:rsid w:val="61736957"/>
    <w:rsid w:val="61750921"/>
    <w:rsid w:val="61776447"/>
    <w:rsid w:val="617B6B51"/>
    <w:rsid w:val="61822C96"/>
    <w:rsid w:val="61842912"/>
    <w:rsid w:val="618457BC"/>
    <w:rsid w:val="61853427"/>
    <w:rsid w:val="61860438"/>
    <w:rsid w:val="61873034"/>
    <w:rsid w:val="6189617B"/>
    <w:rsid w:val="618A317B"/>
    <w:rsid w:val="618C05C4"/>
    <w:rsid w:val="618F68F6"/>
    <w:rsid w:val="6190699E"/>
    <w:rsid w:val="619146C6"/>
    <w:rsid w:val="61946FF9"/>
    <w:rsid w:val="619509B6"/>
    <w:rsid w:val="61974D16"/>
    <w:rsid w:val="619E5A94"/>
    <w:rsid w:val="619F22FA"/>
    <w:rsid w:val="619F7C50"/>
    <w:rsid w:val="61A60ADB"/>
    <w:rsid w:val="61A62CB1"/>
    <w:rsid w:val="61A84853"/>
    <w:rsid w:val="61A905CB"/>
    <w:rsid w:val="61AE670D"/>
    <w:rsid w:val="61AF3E33"/>
    <w:rsid w:val="61AF5DE8"/>
    <w:rsid w:val="61B01959"/>
    <w:rsid w:val="61B105CD"/>
    <w:rsid w:val="61B2122D"/>
    <w:rsid w:val="61B53942"/>
    <w:rsid w:val="61B852AB"/>
    <w:rsid w:val="61BC41C8"/>
    <w:rsid w:val="61BD341C"/>
    <w:rsid w:val="61BF4E97"/>
    <w:rsid w:val="61C2458D"/>
    <w:rsid w:val="61C251E9"/>
    <w:rsid w:val="61C93C9A"/>
    <w:rsid w:val="61CB6793"/>
    <w:rsid w:val="61CF5DA0"/>
    <w:rsid w:val="61DA7EB5"/>
    <w:rsid w:val="61DC62AA"/>
    <w:rsid w:val="61E37639"/>
    <w:rsid w:val="61E82EA1"/>
    <w:rsid w:val="61EA4E6B"/>
    <w:rsid w:val="61EB0BE3"/>
    <w:rsid w:val="61ED2443"/>
    <w:rsid w:val="61EF3031"/>
    <w:rsid w:val="61F01D56"/>
    <w:rsid w:val="61F07529"/>
    <w:rsid w:val="61F07FA8"/>
    <w:rsid w:val="61F23D20"/>
    <w:rsid w:val="61F335F4"/>
    <w:rsid w:val="61F52CDB"/>
    <w:rsid w:val="61F56D34"/>
    <w:rsid w:val="61F62B8D"/>
    <w:rsid w:val="61F65545"/>
    <w:rsid w:val="61F92102"/>
    <w:rsid w:val="61FA2BD4"/>
    <w:rsid w:val="61FA4982"/>
    <w:rsid w:val="61FB09A1"/>
    <w:rsid w:val="620403F9"/>
    <w:rsid w:val="62053A53"/>
    <w:rsid w:val="620677CB"/>
    <w:rsid w:val="62083543"/>
    <w:rsid w:val="620F48D2"/>
    <w:rsid w:val="62136969"/>
    <w:rsid w:val="62141EE8"/>
    <w:rsid w:val="62156CD8"/>
    <w:rsid w:val="6216396A"/>
    <w:rsid w:val="6218367B"/>
    <w:rsid w:val="621850DE"/>
    <w:rsid w:val="621912AD"/>
    <w:rsid w:val="621C2B4B"/>
    <w:rsid w:val="621C605E"/>
    <w:rsid w:val="621E68C3"/>
    <w:rsid w:val="622163B3"/>
    <w:rsid w:val="62287742"/>
    <w:rsid w:val="622C52FC"/>
    <w:rsid w:val="622E38B2"/>
    <w:rsid w:val="62306C2E"/>
    <w:rsid w:val="623720B9"/>
    <w:rsid w:val="623756CC"/>
    <w:rsid w:val="623954AB"/>
    <w:rsid w:val="62397BA1"/>
    <w:rsid w:val="623D2568"/>
    <w:rsid w:val="623D4A43"/>
    <w:rsid w:val="623E7365"/>
    <w:rsid w:val="623F10A0"/>
    <w:rsid w:val="62404A8B"/>
    <w:rsid w:val="62411A9B"/>
    <w:rsid w:val="624327CD"/>
    <w:rsid w:val="6245305F"/>
    <w:rsid w:val="62464A53"/>
    <w:rsid w:val="624707C3"/>
    <w:rsid w:val="62481B92"/>
    <w:rsid w:val="62483DB6"/>
    <w:rsid w:val="62485641"/>
    <w:rsid w:val="624A590A"/>
    <w:rsid w:val="624C0A27"/>
    <w:rsid w:val="62562501"/>
    <w:rsid w:val="62595B4D"/>
    <w:rsid w:val="625D4A21"/>
    <w:rsid w:val="625E3163"/>
    <w:rsid w:val="62642590"/>
    <w:rsid w:val="62645CF9"/>
    <w:rsid w:val="62694366"/>
    <w:rsid w:val="626A5FAC"/>
    <w:rsid w:val="626B762E"/>
    <w:rsid w:val="626C104E"/>
    <w:rsid w:val="626D1BCA"/>
    <w:rsid w:val="626D33A6"/>
    <w:rsid w:val="626F2755"/>
    <w:rsid w:val="626F5370"/>
    <w:rsid w:val="626F7694"/>
    <w:rsid w:val="6271733B"/>
    <w:rsid w:val="62724104"/>
    <w:rsid w:val="62735116"/>
    <w:rsid w:val="62735C88"/>
    <w:rsid w:val="627604AD"/>
    <w:rsid w:val="62775FD3"/>
    <w:rsid w:val="62791D4B"/>
    <w:rsid w:val="627961EF"/>
    <w:rsid w:val="62796B4D"/>
    <w:rsid w:val="627B4AE2"/>
    <w:rsid w:val="627D56B9"/>
    <w:rsid w:val="627F6C32"/>
    <w:rsid w:val="627F77D0"/>
    <w:rsid w:val="627F7995"/>
    <w:rsid w:val="628351C5"/>
    <w:rsid w:val="62853BC4"/>
    <w:rsid w:val="62862A2A"/>
    <w:rsid w:val="628D3A49"/>
    <w:rsid w:val="628D57F7"/>
    <w:rsid w:val="628F3483"/>
    <w:rsid w:val="62906FB9"/>
    <w:rsid w:val="62944DD7"/>
    <w:rsid w:val="62946B85"/>
    <w:rsid w:val="629969D1"/>
    <w:rsid w:val="629B6165"/>
    <w:rsid w:val="629C5252"/>
    <w:rsid w:val="629D5835"/>
    <w:rsid w:val="629E620F"/>
    <w:rsid w:val="62A104EB"/>
    <w:rsid w:val="62A2285E"/>
    <w:rsid w:val="62A50E07"/>
    <w:rsid w:val="62A51328"/>
    <w:rsid w:val="62A80882"/>
    <w:rsid w:val="62A82630"/>
    <w:rsid w:val="62AA0157"/>
    <w:rsid w:val="62AD3960"/>
    <w:rsid w:val="62B15989"/>
    <w:rsid w:val="62B3538E"/>
    <w:rsid w:val="62B72874"/>
    <w:rsid w:val="62BD2580"/>
    <w:rsid w:val="62BD5AEF"/>
    <w:rsid w:val="62C005D4"/>
    <w:rsid w:val="62C0797A"/>
    <w:rsid w:val="62C25536"/>
    <w:rsid w:val="62C25A56"/>
    <w:rsid w:val="62C34226"/>
    <w:rsid w:val="62C5728E"/>
    <w:rsid w:val="62C746D1"/>
    <w:rsid w:val="62CA6A4B"/>
    <w:rsid w:val="62CD7CFD"/>
    <w:rsid w:val="62CF118C"/>
    <w:rsid w:val="62CF186C"/>
    <w:rsid w:val="62CF1E79"/>
    <w:rsid w:val="62CF4061"/>
    <w:rsid w:val="62D17B5D"/>
    <w:rsid w:val="62D77FFB"/>
    <w:rsid w:val="62DB0C58"/>
    <w:rsid w:val="62DC18FC"/>
    <w:rsid w:val="62DD052C"/>
    <w:rsid w:val="62DD4049"/>
    <w:rsid w:val="62DE329C"/>
    <w:rsid w:val="62E17A7F"/>
    <w:rsid w:val="62E43D52"/>
    <w:rsid w:val="62EA0E9B"/>
    <w:rsid w:val="62EA49F7"/>
    <w:rsid w:val="62EE3F20"/>
    <w:rsid w:val="62F67840"/>
    <w:rsid w:val="62F81F17"/>
    <w:rsid w:val="62FA0AFC"/>
    <w:rsid w:val="62FB09B2"/>
    <w:rsid w:val="62FF66F4"/>
    <w:rsid w:val="6300421A"/>
    <w:rsid w:val="63051831"/>
    <w:rsid w:val="63065CD5"/>
    <w:rsid w:val="6309501A"/>
    <w:rsid w:val="630B1245"/>
    <w:rsid w:val="630F140E"/>
    <w:rsid w:val="631657EC"/>
    <w:rsid w:val="631C2C21"/>
    <w:rsid w:val="63202A83"/>
    <w:rsid w:val="63204905"/>
    <w:rsid w:val="6320666B"/>
    <w:rsid w:val="6323782A"/>
    <w:rsid w:val="63237D82"/>
    <w:rsid w:val="632679EE"/>
    <w:rsid w:val="63283C1D"/>
    <w:rsid w:val="632950E8"/>
    <w:rsid w:val="63343EC4"/>
    <w:rsid w:val="633D0FCB"/>
    <w:rsid w:val="633F11E7"/>
    <w:rsid w:val="633F4151"/>
    <w:rsid w:val="63471E49"/>
    <w:rsid w:val="63484489"/>
    <w:rsid w:val="634C1671"/>
    <w:rsid w:val="634C6E4A"/>
    <w:rsid w:val="634D1881"/>
    <w:rsid w:val="63544BEA"/>
    <w:rsid w:val="63601707"/>
    <w:rsid w:val="63617FBE"/>
    <w:rsid w:val="63636F83"/>
    <w:rsid w:val="63660F98"/>
    <w:rsid w:val="636F2E72"/>
    <w:rsid w:val="6370095A"/>
    <w:rsid w:val="637075F2"/>
    <w:rsid w:val="637349EC"/>
    <w:rsid w:val="63752CC9"/>
    <w:rsid w:val="637649C5"/>
    <w:rsid w:val="63786AEF"/>
    <w:rsid w:val="637C3161"/>
    <w:rsid w:val="637E786A"/>
    <w:rsid w:val="638030B4"/>
    <w:rsid w:val="63807109"/>
    <w:rsid w:val="638304BF"/>
    <w:rsid w:val="638D663E"/>
    <w:rsid w:val="638E6635"/>
    <w:rsid w:val="638E67FA"/>
    <w:rsid w:val="6390563C"/>
    <w:rsid w:val="63910911"/>
    <w:rsid w:val="63946A05"/>
    <w:rsid w:val="63951ED4"/>
    <w:rsid w:val="63955B53"/>
    <w:rsid w:val="63957059"/>
    <w:rsid w:val="63965006"/>
    <w:rsid w:val="63972DD1"/>
    <w:rsid w:val="639B185C"/>
    <w:rsid w:val="639B3D73"/>
    <w:rsid w:val="639C2195"/>
    <w:rsid w:val="63A1155A"/>
    <w:rsid w:val="63A61CF3"/>
    <w:rsid w:val="63A65BE7"/>
    <w:rsid w:val="63A948B2"/>
    <w:rsid w:val="63AD0754"/>
    <w:rsid w:val="63AD6CFD"/>
    <w:rsid w:val="63AF518C"/>
    <w:rsid w:val="63B219B9"/>
    <w:rsid w:val="63BF40D6"/>
    <w:rsid w:val="63C007C7"/>
    <w:rsid w:val="63C139AA"/>
    <w:rsid w:val="63C90AB0"/>
    <w:rsid w:val="63C93B8A"/>
    <w:rsid w:val="63C96C0E"/>
    <w:rsid w:val="63C96D02"/>
    <w:rsid w:val="63CB1C7B"/>
    <w:rsid w:val="63CB2A7A"/>
    <w:rsid w:val="63CB65D6"/>
    <w:rsid w:val="63CD05A1"/>
    <w:rsid w:val="63D335DC"/>
    <w:rsid w:val="63D7141F"/>
    <w:rsid w:val="63DA2CBD"/>
    <w:rsid w:val="63DF3305"/>
    <w:rsid w:val="63E8362C"/>
    <w:rsid w:val="63E87188"/>
    <w:rsid w:val="63E92F01"/>
    <w:rsid w:val="63E9766D"/>
    <w:rsid w:val="63EA33F3"/>
    <w:rsid w:val="63EB73BE"/>
    <w:rsid w:val="63ED479F"/>
    <w:rsid w:val="63EE51A7"/>
    <w:rsid w:val="63F35B2D"/>
    <w:rsid w:val="63F37308"/>
    <w:rsid w:val="63F4603A"/>
    <w:rsid w:val="63F47351"/>
    <w:rsid w:val="63F55D49"/>
    <w:rsid w:val="63F975E8"/>
    <w:rsid w:val="63FB7E15"/>
    <w:rsid w:val="63FB7F74"/>
    <w:rsid w:val="63FC2C34"/>
    <w:rsid w:val="640058F4"/>
    <w:rsid w:val="6401649C"/>
    <w:rsid w:val="64030466"/>
    <w:rsid w:val="64055F8C"/>
    <w:rsid w:val="64061D04"/>
    <w:rsid w:val="640A5F54"/>
    <w:rsid w:val="640B10C9"/>
    <w:rsid w:val="641307EF"/>
    <w:rsid w:val="64155AA4"/>
    <w:rsid w:val="64176ECE"/>
    <w:rsid w:val="641F3A4E"/>
    <w:rsid w:val="64223903"/>
    <w:rsid w:val="64267CB1"/>
    <w:rsid w:val="642804D7"/>
    <w:rsid w:val="64281C7B"/>
    <w:rsid w:val="64283A29"/>
    <w:rsid w:val="642B22AA"/>
    <w:rsid w:val="642D103F"/>
    <w:rsid w:val="642E1181"/>
    <w:rsid w:val="642E6B65"/>
    <w:rsid w:val="643249B5"/>
    <w:rsid w:val="64337E9E"/>
    <w:rsid w:val="643423CE"/>
    <w:rsid w:val="643447E4"/>
    <w:rsid w:val="643B3383"/>
    <w:rsid w:val="643B36EE"/>
    <w:rsid w:val="643B7C00"/>
    <w:rsid w:val="643C6AED"/>
    <w:rsid w:val="64406FC4"/>
    <w:rsid w:val="64410F8F"/>
    <w:rsid w:val="644665A5"/>
    <w:rsid w:val="64487926"/>
    <w:rsid w:val="644A4DB3"/>
    <w:rsid w:val="644B41BC"/>
    <w:rsid w:val="644C7A0C"/>
    <w:rsid w:val="64505A10"/>
    <w:rsid w:val="6452519C"/>
    <w:rsid w:val="64577652"/>
    <w:rsid w:val="64577906"/>
    <w:rsid w:val="64590086"/>
    <w:rsid w:val="645E38EF"/>
    <w:rsid w:val="645E7808"/>
    <w:rsid w:val="64634A61"/>
    <w:rsid w:val="64657690"/>
    <w:rsid w:val="64671BB7"/>
    <w:rsid w:val="646A4041"/>
    <w:rsid w:val="64721148"/>
    <w:rsid w:val="64746C6E"/>
    <w:rsid w:val="64760C38"/>
    <w:rsid w:val="6477675E"/>
    <w:rsid w:val="647A5AE9"/>
    <w:rsid w:val="647E78AA"/>
    <w:rsid w:val="648222B1"/>
    <w:rsid w:val="64855A5A"/>
    <w:rsid w:val="648D15E2"/>
    <w:rsid w:val="648F3AA8"/>
    <w:rsid w:val="64900237"/>
    <w:rsid w:val="6492134F"/>
    <w:rsid w:val="649C565F"/>
    <w:rsid w:val="649C7F73"/>
    <w:rsid w:val="64A04202"/>
    <w:rsid w:val="64A70DF2"/>
    <w:rsid w:val="64A7290B"/>
    <w:rsid w:val="64A73309"/>
    <w:rsid w:val="64A87848"/>
    <w:rsid w:val="64AE2BB3"/>
    <w:rsid w:val="64B04E86"/>
    <w:rsid w:val="64B1428F"/>
    <w:rsid w:val="64B1537D"/>
    <w:rsid w:val="64B259E8"/>
    <w:rsid w:val="64B452BD"/>
    <w:rsid w:val="64B90B25"/>
    <w:rsid w:val="64BE5FF1"/>
    <w:rsid w:val="64CD21AB"/>
    <w:rsid w:val="64CD637E"/>
    <w:rsid w:val="64CE0B72"/>
    <w:rsid w:val="64D370D9"/>
    <w:rsid w:val="64D57D88"/>
    <w:rsid w:val="64D94E4A"/>
    <w:rsid w:val="64DB0A9B"/>
    <w:rsid w:val="64DB4055"/>
    <w:rsid w:val="64DB4B3E"/>
    <w:rsid w:val="64DE77A6"/>
    <w:rsid w:val="64E20E23"/>
    <w:rsid w:val="64E35BA2"/>
    <w:rsid w:val="64E42046"/>
    <w:rsid w:val="64E96642"/>
    <w:rsid w:val="64EA33D4"/>
    <w:rsid w:val="64EA656E"/>
    <w:rsid w:val="64EB797F"/>
    <w:rsid w:val="64EC0EFA"/>
    <w:rsid w:val="64F41B5D"/>
    <w:rsid w:val="64F90B96"/>
    <w:rsid w:val="64FB2EEB"/>
    <w:rsid w:val="64FD4BAB"/>
    <w:rsid w:val="65004E5A"/>
    <w:rsid w:val="65034879"/>
    <w:rsid w:val="650370F5"/>
    <w:rsid w:val="65052D2D"/>
    <w:rsid w:val="65066B00"/>
    <w:rsid w:val="650A3F1F"/>
    <w:rsid w:val="650C2823"/>
    <w:rsid w:val="650E0E71"/>
    <w:rsid w:val="6511270F"/>
    <w:rsid w:val="65163A7D"/>
    <w:rsid w:val="651D2E62"/>
    <w:rsid w:val="651D5558"/>
    <w:rsid w:val="652266CA"/>
    <w:rsid w:val="65230D92"/>
    <w:rsid w:val="65280E39"/>
    <w:rsid w:val="65294FC1"/>
    <w:rsid w:val="652A1A23"/>
    <w:rsid w:val="65355DF9"/>
    <w:rsid w:val="653B3C30"/>
    <w:rsid w:val="653E3E3E"/>
    <w:rsid w:val="65404DA2"/>
    <w:rsid w:val="65405808"/>
    <w:rsid w:val="65405B73"/>
    <w:rsid w:val="65406093"/>
    <w:rsid w:val="65415E78"/>
    <w:rsid w:val="654523B9"/>
    <w:rsid w:val="654A79CF"/>
    <w:rsid w:val="654E5711"/>
    <w:rsid w:val="654E74BF"/>
    <w:rsid w:val="654F3237"/>
    <w:rsid w:val="654F6AA6"/>
    <w:rsid w:val="655062D6"/>
    <w:rsid w:val="65515BFF"/>
    <w:rsid w:val="65546448"/>
    <w:rsid w:val="65554CF2"/>
    <w:rsid w:val="655645C6"/>
    <w:rsid w:val="65586590"/>
    <w:rsid w:val="655C5A01"/>
    <w:rsid w:val="655D5954"/>
    <w:rsid w:val="65605444"/>
    <w:rsid w:val="65605670"/>
    <w:rsid w:val="6561620F"/>
    <w:rsid w:val="65644F35"/>
    <w:rsid w:val="65652A5B"/>
    <w:rsid w:val="65672FDC"/>
    <w:rsid w:val="65694555"/>
    <w:rsid w:val="656960A7"/>
    <w:rsid w:val="656C3DE9"/>
    <w:rsid w:val="656C48C9"/>
    <w:rsid w:val="656D7941"/>
    <w:rsid w:val="656E232E"/>
    <w:rsid w:val="656E5DB3"/>
    <w:rsid w:val="65711B39"/>
    <w:rsid w:val="65736F26"/>
    <w:rsid w:val="65772C72"/>
    <w:rsid w:val="65795592"/>
    <w:rsid w:val="657A0A1E"/>
    <w:rsid w:val="658148B3"/>
    <w:rsid w:val="6581787A"/>
    <w:rsid w:val="65847385"/>
    <w:rsid w:val="65872767"/>
    <w:rsid w:val="65875F01"/>
    <w:rsid w:val="658C7FE7"/>
    <w:rsid w:val="658D4E98"/>
    <w:rsid w:val="658E6328"/>
    <w:rsid w:val="659163EA"/>
    <w:rsid w:val="6592268F"/>
    <w:rsid w:val="65932AFC"/>
    <w:rsid w:val="65A25A5D"/>
    <w:rsid w:val="65A36D1C"/>
    <w:rsid w:val="65A842A2"/>
    <w:rsid w:val="65AB6F91"/>
    <w:rsid w:val="65B01829"/>
    <w:rsid w:val="65B110CD"/>
    <w:rsid w:val="65B25723"/>
    <w:rsid w:val="65B55790"/>
    <w:rsid w:val="65B75CD2"/>
    <w:rsid w:val="65B8702E"/>
    <w:rsid w:val="65BF216B"/>
    <w:rsid w:val="65C43C25"/>
    <w:rsid w:val="65C6799D"/>
    <w:rsid w:val="65C854C3"/>
    <w:rsid w:val="65CC6636"/>
    <w:rsid w:val="65CF28C3"/>
    <w:rsid w:val="65D77E83"/>
    <w:rsid w:val="65DA0D53"/>
    <w:rsid w:val="65DD16A8"/>
    <w:rsid w:val="65DF2BFC"/>
    <w:rsid w:val="65E120E1"/>
    <w:rsid w:val="65E240AB"/>
    <w:rsid w:val="65E816C2"/>
    <w:rsid w:val="65EB2F60"/>
    <w:rsid w:val="65ED6CD8"/>
    <w:rsid w:val="65EF161C"/>
    <w:rsid w:val="65F00576"/>
    <w:rsid w:val="65F454D6"/>
    <w:rsid w:val="65F63CF3"/>
    <w:rsid w:val="65F77819"/>
    <w:rsid w:val="65FA3192"/>
    <w:rsid w:val="65FC516D"/>
    <w:rsid w:val="65FC65E7"/>
    <w:rsid w:val="65FC6F1B"/>
    <w:rsid w:val="65FF3D2A"/>
    <w:rsid w:val="660035B2"/>
    <w:rsid w:val="66031C41"/>
    <w:rsid w:val="66033B3B"/>
    <w:rsid w:val="66056C42"/>
    <w:rsid w:val="660758C0"/>
    <w:rsid w:val="660808FD"/>
    <w:rsid w:val="660B084E"/>
    <w:rsid w:val="660C43EA"/>
    <w:rsid w:val="660C5D19"/>
    <w:rsid w:val="660D2ED6"/>
    <w:rsid w:val="660E4009"/>
    <w:rsid w:val="660F30F2"/>
    <w:rsid w:val="660F6502"/>
    <w:rsid w:val="66135F11"/>
    <w:rsid w:val="66195D1F"/>
    <w:rsid w:val="661A04F6"/>
    <w:rsid w:val="661A487A"/>
    <w:rsid w:val="66231D19"/>
    <w:rsid w:val="663366B5"/>
    <w:rsid w:val="663526E8"/>
    <w:rsid w:val="66372649"/>
    <w:rsid w:val="663947D9"/>
    <w:rsid w:val="663A7A43"/>
    <w:rsid w:val="663F505A"/>
    <w:rsid w:val="66415276"/>
    <w:rsid w:val="66426271"/>
    <w:rsid w:val="66432D9C"/>
    <w:rsid w:val="664A34AF"/>
    <w:rsid w:val="664F7E68"/>
    <w:rsid w:val="66506635"/>
    <w:rsid w:val="66560416"/>
    <w:rsid w:val="665905FC"/>
    <w:rsid w:val="665E6695"/>
    <w:rsid w:val="66617A23"/>
    <w:rsid w:val="6662369D"/>
    <w:rsid w:val="66642A17"/>
    <w:rsid w:val="66642F38"/>
    <w:rsid w:val="66644CE1"/>
    <w:rsid w:val="66656C08"/>
    <w:rsid w:val="66680A54"/>
    <w:rsid w:val="66682803"/>
    <w:rsid w:val="666B6E40"/>
    <w:rsid w:val="66703465"/>
    <w:rsid w:val="667276B1"/>
    <w:rsid w:val="66781E13"/>
    <w:rsid w:val="66801629"/>
    <w:rsid w:val="66811B16"/>
    <w:rsid w:val="66833819"/>
    <w:rsid w:val="6686712D"/>
    <w:rsid w:val="668F2EC9"/>
    <w:rsid w:val="66903D44"/>
    <w:rsid w:val="66964B2B"/>
    <w:rsid w:val="66966F99"/>
    <w:rsid w:val="669A6AFA"/>
    <w:rsid w:val="66A15D14"/>
    <w:rsid w:val="66A355E9"/>
    <w:rsid w:val="66A979FF"/>
    <w:rsid w:val="66AC783F"/>
    <w:rsid w:val="66AF0431"/>
    <w:rsid w:val="66B214DE"/>
    <w:rsid w:val="66B61212"/>
    <w:rsid w:val="66B75538"/>
    <w:rsid w:val="66B912B0"/>
    <w:rsid w:val="66BA1CB1"/>
    <w:rsid w:val="66BB693E"/>
    <w:rsid w:val="66BC0678"/>
    <w:rsid w:val="66C64D00"/>
    <w:rsid w:val="66CA0391"/>
    <w:rsid w:val="66CA352C"/>
    <w:rsid w:val="66CF63DE"/>
    <w:rsid w:val="66D02D41"/>
    <w:rsid w:val="66D103A8"/>
    <w:rsid w:val="66D24120"/>
    <w:rsid w:val="66D4097F"/>
    <w:rsid w:val="66D47E98"/>
    <w:rsid w:val="66D57E15"/>
    <w:rsid w:val="66D71736"/>
    <w:rsid w:val="66D76AB5"/>
    <w:rsid w:val="66E21627"/>
    <w:rsid w:val="66E63727"/>
    <w:rsid w:val="66E77BCB"/>
    <w:rsid w:val="66E853A9"/>
    <w:rsid w:val="66EC3434"/>
    <w:rsid w:val="66ED4AB6"/>
    <w:rsid w:val="66F127F8"/>
    <w:rsid w:val="66F2031E"/>
    <w:rsid w:val="66F25116"/>
    <w:rsid w:val="66F3668F"/>
    <w:rsid w:val="66F4354F"/>
    <w:rsid w:val="66F5302E"/>
    <w:rsid w:val="66F531E4"/>
    <w:rsid w:val="66F620CC"/>
    <w:rsid w:val="66FC2F4B"/>
    <w:rsid w:val="66FD73EF"/>
    <w:rsid w:val="67006EDF"/>
    <w:rsid w:val="67053AFC"/>
    <w:rsid w:val="6707201B"/>
    <w:rsid w:val="670C7632"/>
    <w:rsid w:val="670F0ED0"/>
    <w:rsid w:val="670F2C7E"/>
    <w:rsid w:val="671B7875"/>
    <w:rsid w:val="671D539B"/>
    <w:rsid w:val="672022A4"/>
    <w:rsid w:val="672056DD"/>
    <w:rsid w:val="67220075"/>
    <w:rsid w:val="67243CDD"/>
    <w:rsid w:val="672524A2"/>
    <w:rsid w:val="6737652B"/>
    <w:rsid w:val="67380715"/>
    <w:rsid w:val="67390D71"/>
    <w:rsid w:val="673E3563"/>
    <w:rsid w:val="6744501E"/>
    <w:rsid w:val="67446DCC"/>
    <w:rsid w:val="67452271"/>
    <w:rsid w:val="674548F2"/>
    <w:rsid w:val="674566A0"/>
    <w:rsid w:val="67470C4A"/>
    <w:rsid w:val="674A1F08"/>
    <w:rsid w:val="674C1365"/>
    <w:rsid w:val="674C5C80"/>
    <w:rsid w:val="674D0098"/>
    <w:rsid w:val="674D37A6"/>
    <w:rsid w:val="674F1BEB"/>
    <w:rsid w:val="674F47BC"/>
    <w:rsid w:val="67515045"/>
    <w:rsid w:val="67521CAD"/>
    <w:rsid w:val="67523AC3"/>
    <w:rsid w:val="67550FD9"/>
    <w:rsid w:val="67566AFF"/>
    <w:rsid w:val="675B4115"/>
    <w:rsid w:val="675D1C3B"/>
    <w:rsid w:val="675E13B5"/>
    <w:rsid w:val="675E2E21"/>
    <w:rsid w:val="675E58BD"/>
    <w:rsid w:val="675E59B4"/>
    <w:rsid w:val="676527E4"/>
    <w:rsid w:val="67660A12"/>
    <w:rsid w:val="676B40F0"/>
    <w:rsid w:val="676E5BF7"/>
    <w:rsid w:val="676F0484"/>
    <w:rsid w:val="67787D50"/>
    <w:rsid w:val="677D408C"/>
    <w:rsid w:val="677F0CCA"/>
    <w:rsid w:val="67831E17"/>
    <w:rsid w:val="67851192"/>
    <w:rsid w:val="67851845"/>
    <w:rsid w:val="6787237B"/>
    <w:rsid w:val="678E0B8C"/>
    <w:rsid w:val="678E44EB"/>
    <w:rsid w:val="679118E5"/>
    <w:rsid w:val="679124B9"/>
    <w:rsid w:val="67917B37"/>
    <w:rsid w:val="67941A60"/>
    <w:rsid w:val="67964380"/>
    <w:rsid w:val="67A36FC6"/>
    <w:rsid w:val="67A4673A"/>
    <w:rsid w:val="67A47DD5"/>
    <w:rsid w:val="67A510A1"/>
    <w:rsid w:val="67A75849"/>
    <w:rsid w:val="67A96C2F"/>
    <w:rsid w:val="67AA3C61"/>
    <w:rsid w:val="67AC1177"/>
    <w:rsid w:val="67AE784A"/>
    <w:rsid w:val="67B13D35"/>
    <w:rsid w:val="67B22418"/>
    <w:rsid w:val="67B32464"/>
    <w:rsid w:val="67B51A77"/>
    <w:rsid w:val="67B83316"/>
    <w:rsid w:val="67B94EBC"/>
    <w:rsid w:val="67BA24E3"/>
    <w:rsid w:val="67BB4BB4"/>
    <w:rsid w:val="67C019F6"/>
    <w:rsid w:val="67C036F4"/>
    <w:rsid w:val="67C04BAB"/>
    <w:rsid w:val="67C27CF0"/>
    <w:rsid w:val="67C42180"/>
    <w:rsid w:val="67C5088E"/>
    <w:rsid w:val="67C900A9"/>
    <w:rsid w:val="67CB4700"/>
    <w:rsid w:val="67D55C76"/>
    <w:rsid w:val="67D57A24"/>
    <w:rsid w:val="67D8681C"/>
    <w:rsid w:val="67DF3FC4"/>
    <w:rsid w:val="67E4235D"/>
    <w:rsid w:val="67E61C31"/>
    <w:rsid w:val="67E67E83"/>
    <w:rsid w:val="67E86684"/>
    <w:rsid w:val="67EB1865"/>
    <w:rsid w:val="67EB36EB"/>
    <w:rsid w:val="67EB7247"/>
    <w:rsid w:val="67F1102B"/>
    <w:rsid w:val="67F8017A"/>
    <w:rsid w:val="67F83DE0"/>
    <w:rsid w:val="67F87BB6"/>
    <w:rsid w:val="67FA56DC"/>
    <w:rsid w:val="67FB4706"/>
    <w:rsid w:val="68033400"/>
    <w:rsid w:val="6804655B"/>
    <w:rsid w:val="680523DC"/>
    <w:rsid w:val="68092C9C"/>
    <w:rsid w:val="680A5DCC"/>
    <w:rsid w:val="680B538A"/>
    <w:rsid w:val="680D18B3"/>
    <w:rsid w:val="6813679E"/>
    <w:rsid w:val="68185BEC"/>
    <w:rsid w:val="68190258"/>
    <w:rsid w:val="68197ED2"/>
    <w:rsid w:val="681A272F"/>
    <w:rsid w:val="681A6AB6"/>
    <w:rsid w:val="681E0F88"/>
    <w:rsid w:val="68264209"/>
    <w:rsid w:val="682A2C53"/>
    <w:rsid w:val="682D3D04"/>
    <w:rsid w:val="68331B39"/>
    <w:rsid w:val="68355718"/>
    <w:rsid w:val="68355DEF"/>
    <w:rsid w:val="68363783"/>
    <w:rsid w:val="68373F2A"/>
    <w:rsid w:val="683740E0"/>
    <w:rsid w:val="683A4772"/>
    <w:rsid w:val="683A6742"/>
    <w:rsid w:val="683E7CBF"/>
    <w:rsid w:val="684305CC"/>
    <w:rsid w:val="684A5B95"/>
    <w:rsid w:val="684B23DC"/>
    <w:rsid w:val="684B396E"/>
    <w:rsid w:val="684D1CB0"/>
    <w:rsid w:val="684E77D6"/>
    <w:rsid w:val="68511756"/>
    <w:rsid w:val="685226D3"/>
    <w:rsid w:val="685315BB"/>
    <w:rsid w:val="68550B65"/>
    <w:rsid w:val="68570D81"/>
    <w:rsid w:val="68572B2F"/>
    <w:rsid w:val="685B745D"/>
    <w:rsid w:val="685D39C4"/>
    <w:rsid w:val="68612B26"/>
    <w:rsid w:val="6861575B"/>
    <w:rsid w:val="68680898"/>
    <w:rsid w:val="686D44C4"/>
    <w:rsid w:val="686F2D59"/>
    <w:rsid w:val="686F716C"/>
    <w:rsid w:val="68721717"/>
    <w:rsid w:val="68725BBA"/>
    <w:rsid w:val="68727968"/>
    <w:rsid w:val="68741C6C"/>
    <w:rsid w:val="687E1949"/>
    <w:rsid w:val="687F3E33"/>
    <w:rsid w:val="68831B76"/>
    <w:rsid w:val="68857C1D"/>
    <w:rsid w:val="688B219F"/>
    <w:rsid w:val="68914293"/>
    <w:rsid w:val="68951101"/>
    <w:rsid w:val="689627C2"/>
    <w:rsid w:val="689773CF"/>
    <w:rsid w:val="689A6AB9"/>
    <w:rsid w:val="689B57EB"/>
    <w:rsid w:val="689F1260"/>
    <w:rsid w:val="68A33FC6"/>
    <w:rsid w:val="68A37B22"/>
    <w:rsid w:val="68A467A0"/>
    <w:rsid w:val="68A815DC"/>
    <w:rsid w:val="68A8338A"/>
    <w:rsid w:val="68A85138"/>
    <w:rsid w:val="68AB6B45"/>
    <w:rsid w:val="68AE0C98"/>
    <w:rsid w:val="68AE4302"/>
    <w:rsid w:val="68B22569"/>
    <w:rsid w:val="68B32A6E"/>
    <w:rsid w:val="68B52481"/>
    <w:rsid w:val="68C22A13"/>
    <w:rsid w:val="68C877E1"/>
    <w:rsid w:val="68CD1043"/>
    <w:rsid w:val="68CD34F0"/>
    <w:rsid w:val="68D128E1"/>
    <w:rsid w:val="68D2558C"/>
    <w:rsid w:val="68D658E1"/>
    <w:rsid w:val="68D75C06"/>
    <w:rsid w:val="68D91796"/>
    <w:rsid w:val="68DC1286"/>
    <w:rsid w:val="68DE0B5A"/>
    <w:rsid w:val="68E048D2"/>
    <w:rsid w:val="68E1064A"/>
    <w:rsid w:val="68E33FD1"/>
    <w:rsid w:val="68EA74FF"/>
    <w:rsid w:val="68EF4B15"/>
    <w:rsid w:val="68F55EA4"/>
    <w:rsid w:val="68FB795E"/>
    <w:rsid w:val="68FC5484"/>
    <w:rsid w:val="68FD6917"/>
    <w:rsid w:val="69006820"/>
    <w:rsid w:val="69011409"/>
    <w:rsid w:val="6902574C"/>
    <w:rsid w:val="69034A64"/>
    <w:rsid w:val="69036813"/>
    <w:rsid w:val="6905258B"/>
    <w:rsid w:val="69083E29"/>
    <w:rsid w:val="690B3E88"/>
    <w:rsid w:val="690B6068"/>
    <w:rsid w:val="69136635"/>
    <w:rsid w:val="691415D1"/>
    <w:rsid w:val="691427CE"/>
    <w:rsid w:val="69186B69"/>
    <w:rsid w:val="69197DE4"/>
    <w:rsid w:val="691B2548"/>
    <w:rsid w:val="691C73B4"/>
    <w:rsid w:val="691E53FA"/>
    <w:rsid w:val="692428AB"/>
    <w:rsid w:val="692A1FF1"/>
    <w:rsid w:val="692A3D9F"/>
    <w:rsid w:val="692E5ED2"/>
    <w:rsid w:val="69305F28"/>
    <w:rsid w:val="693108DB"/>
    <w:rsid w:val="693115D2"/>
    <w:rsid w:val="6937148E"/>
    <w:rsid w:val="69376D62"/>
    <w:rsid w:val="693A0CA8"/>
    <w:rsid w:val="693B303B"/>
    <w:rsid w:val="693C3AD3"/>
    <w:rsid w:val="693E5EAC"/>
    <w:rsid w:val="693F6A4B"/>
    <w:rsid w:val="69417DFF"/>
    <w:rsid w:val="6944654F"/>
    <w:rsid w:val="694A1939"/>
    <w:rsid w:val="69531DE4"/>
    <w:rsid w:val="69540E1C"/>
    <w:rsid w:val="69583CA4"/>
    <w:rsid w:val="6959351F"/>
    <w:rsid w:val="695936D5"/>
    <w:rsid w:val="6959388A"/>
    <w:rsid w:val="695A260F"/>
    <w:rsid w:val="695E7F4C"/>
    <w:rsid w:val="696077C1"/>
    <w:rsid w:val="696372B1"/>
    <w:rsid w:val="69641ECE"/>
    <w:rsid w:val="6966360B"/>
    <w:rsid w:val="69666096"/>
    <w:rsid w:val="69694879"/>
    <w:rsid w:val="696A0A6B"/>
    <w:rsid w:val="696C43B8"/>
    <w:rsid w:val="69724608"/>
    <w:rsid w:val="6974195C"/>
    <w:rsid w:val="6974326C"/>
    <w:rsid w:val="69760324"/>
    <w:rsid w:val="697604D9"/>
    <w:rsid w:val="6976772C"/>
    <w:rsid w:val="69767C4D"/>
    <w:rsid w:val="69767FB8"/>
    <w:rsid w:val="69784594"/>
    <w:rsid w:val="697D7C30"/>
    <w:rsid w:val="698A0CE2"/>
    <w:rsid w:val="698C2CAC"/>
    <w:rsid w:val="698C5A4E"/>
    <w:rsid w:val="6990454A"/>
    <w:rsid w:val="699163F6"/>
    <w:rsid w:val="69935128"/>
    <w:rsid w:val="69990F25"/>
    <w:rsid w:val="699D0A15"/>
    <w:rsid w:val="69A2427D"/>
    <w:rsid w:val="69A2734B"/>
    <w:rsid w:val="69AB1384"/>
    <w:rsid w:val="69AC118A"/>
    <w:rsid w:val="69AF5F2D"/>
    <w:rsid w:val="69B146F5"/>
    <w:rsid w:val="69B22581"/>
    <w:rsid w:val="69B53FB1"/>
    <w:rsid w:val="69BB70ED"/>
    <w:rsid w:val="69BD0616"/>
    <w:rsid w:val="69BE4A75"/>
    <w:rsid w:val="69BF53B0"/>
    <w:rsid w:val="69C26D7F"/>
    <w:rsid w:val="69CE5072"/>
    <w:rsid w:val="69CF4947"/>
    <w:rsid w:val="69D00B37"/>
    <w:rsid w:val="69D00DEB"/>
    <w:rsid w:val="69D16911"/>
    <w:rsid w:val="69D467B8"/>
    <w:rsid w:val="69D65AA7"/>
    <w:rsid w:val="69D95770"/>
    <w:rsid w:val="69DA187A"/>
    <w:rsid w:val="69DF734D"/>
    <w:rsid w:val="69E06B54"/>
    <w:rsid w:val="69E54ACE"/>
    <w:rsid w:val="69E860BE"/>
    <w:rsid w:val="69EA378A"/>
    <w:rsid w:val="69EB1FDC"/>
    <w:rsid w:val="69EF047B"/>
    <w:rsid w:val="69F2130A"/>
    <w:rsid w:val="69F764C9"/>
    <w:rsid w:val="69F9444E"/>
    <w:rsid w:val="69F947B9"/>
    <w:rsid w:val="69FF347E"/>
    <w:rsid w:val="6A0171F6"/>
    <w:rsid w:val="6A086555"/>
    <w:rsid w:val="6A0B4DA2"/>
    <w:rsid w:val="6A0C3022"/>
    <w:rsid w:val="6A100FD1"/>
    <w:rsid w:val="6A116D0D"/>
    <w:rsid w:val="6A1231B1"/>
    <w:rsid w:val="6A17065C"/>
    <w:rsid w:val="6A1725CC"/>
    <w:rsid w:val="6A172DAD"/>
    <w:rsid w:val="6A1C1987"/>
    <w:rsid w:val="6A222CC8"/>
    <w:rsid w:val="6A235B23"/>
    <w:rsid w:val="6A2475B2"/>
    <w:rsid w:val="6A260A0B"/>
    <w:rsid w:val="6A2627B9"/>
    <w:rsid w:val="6A27033D"/>
    <w:rsid w:val="6A271DFC"/>
    <w:rsid w:val="6A276272"/>
    <w:rsid w:val="6A292C42"/>
    <w:rsid w:val="6A294057"/>
    <w:rsid w:val="6A2B4273"/>
    <w:rsid w:val="6A2E4E81"/>
    <w:rsid w:val="6A2E5B11"/>
    <w:rsid w:val="6A2E78BF"/>
    <w:rsid w:val="6A395D23"/>
    <w:rsid w:val="6A3A44B6"/>
    <w:rsid w:val="6A3B0848"/>
    <w:rsid w:val="6A3C0286"/>
    <w:rsid w:val="6A3C2D30"/>
    <w:rsid w:val="6A413A96"/>
    <w:rsid w:val="6A48145B"/>
    <w:rsid w:val="6A4D205F"/>
    <w:rsid w:val="6A4E526C"/>
    <w:rsid w:val="6A4E6E83"/>
    <w:rsid w:val="6A507835"/>
    <w:rsid w:val="6A54580D"/>
    <w:rsid w:val="6A55309E"/>
    <w:rsid w:val="6A555281"/>
    <w:rsid w:val="6A667EFB"/>
    <w:rsid w:val="6A6872A3"/>
    <w:rsid w:val="6A6C0858"/>
    <w:rsid w:val="6A6D7E16"/>
    <w:rsid w:val="6A7343B6"/>
    <w:rsid w:val="6A753740"/>
    <w:rsid w:val="6A75729C"/>
    <w:rsid w:val="6A781477"/>
    <w:rsid w:val="6A786279"/>
    <w:rsid w:val="6A7C037D"/>
    <w:rsid w:val="6A7E0847"/>
    <w:rsid w:val="6A86594D"/>
    <w:rsid w:val="6A8753FD"/>
    <w:rsid w:val="6A877744"/>
    <w:rsid w:val="6A891E7B"/>
    <w:rsid w:val="6A8B35E2"/>
    <w:rsid w:val="6A8D0A8A"/>
    <w:rsid w:val="6A9164AF"/>
    <w:rsid w:val="6A9260A0"/>
    <w:rsid w:val="6A995680"/>
    <w:rsid w:val="6A9A7E1F"/>
    <w:rsid w:val="6A9E4112"/>
    <w:rsid w:val="6AA06A0F"/>
    <w:rsid w:val="6AA208C4"/>
    <w:rsid w:val="6AA302AD"/>
    <w:rsid w:val="6AA33E09"/>
    <w:rsid w:val="6AA645AA"/>
    <w:rsid w:val="6AA803E7"/>
    <w:rsid w:val="6AAB53B4"/>
    <w:rsid w:val="6AB46016"/>
    <w:rsid w:val="6AC00878"/>
    <w:rsid w:val="6AC10733"/>
    <w:rsid w:val="6AC2028C"/>
    <w:rsid w:val="6AC344AB"/>
    <w:rsid w:val="6AC63F9C"/>
    <w:rsid w:val="6AC801AA"/>
    <w:rsid w:val="6ACD70D8"/>
    <w:rsid w:val="6ACF0A20"/>
    <w:rsid w:val="6AD2040A"/>
    <w:rsid w:val="6AD30254"/>
    <w:rsid w:val="6AD37EE9"/>
    <w:rsid w:val="6ADA17F5"/>
    <w:rsid w:val="6ADC77CB"/>
    <w:rsid w:val="6ADE12E5"/>
    <w:rsid w:val="6ADE3093"/>
    <w:rsid w:val="6ADE75EA"/>
    <w:rsid w:val="6ADF0B16"/>
    <w:rsid w:val="6ADF0BB9"/>
    <w:rsid w:val="6AE17106"/>
    <w:rsid w:val="6AE21919"/>
    <w:rsid w:val="6AE327BE"/>
    <w:rsid w:val="6AE33EE2"/>
    <w:rsid w:val="6AE65E6B"/>
    <w:rsid w:val="6AE663EC"/>
    <w:rsid w:val="6AE746B0"/>
    <w:rsid w:val="6AEB3A02"/>
    <w:rsid w:val="6AF04462"/>
    <w:rsid w:val="6AF13F41"/>
    <w:rsid w:val="6AF22418"/>
    <w:rsid w:val="6AF44665"/>
    <w:rsid w:val="6AF936BD"/>
    <w:rsid w:val="6AFB546D"/>
    <w:rsid w:val="6AFC59CB"/>
    <w:rsid w:val="6AFD14CE"/>
    <w:rsid w:val="6AFE3735"/>
    <w:rsid w:val="6AFE7836"/>
    <w:rsid w:val="6B0013F8"/>
    <w:rsid w:val="6B0074AE"/>
    <w:rsid w:val="6B013226"/>
    <w:rsid w:val="6B0574A6"/>
    <w:rsid w:val="6B0B1692"/>
    <w:rsid w:val="6B0C5E52"/>
    <w:rsid w:val="6B0C6C18"/>
    <w:rsid w:val="6B0E014E"/>
    <w:rsid w:val="6B0E38E3"/>
    <w:rsid w:val="6B0F76F1"/>
    <w:rsid w:val="6B106FC5"/>
    <w:rsid w:val="6B160A7F"/>
    <w:rsid w:val="6B166CD1"/>
    <w:rsid w:val="6B170353"/>
    <w:rsid w:val="6B17268F"/>
    <w:rsid w:val="6B1C2AE1"/>
    <w:rsid w:val="6B1E7934"/>
    <w:rsid w:val="6B22492A"/>
    <w:rsid w:val="6B240C67"/>
    <w:rsid w:val="6B25125E"/>
    <w:rsid w:val="6B272C8C"/>
    <w:rsid w:val="6B282560"/>
    <w:rsid w:val="6B2A0087"/>
    <w:rsid w:val="6B2A3F0F"/>
    <w:rsid w:val="6B2D47E7"/>
    <w:rsid w:val="6B2D7B77"/>
    <w:rsid w:val="6B3158B9"/>
    <w:rsid w:val="6B32184E"/>
    <w:rsid w:val="6B3358AF"/>
    <w:rsid w:val="6B3811CB"/>
    <w:rsid w:val="6B381523"/>
    <w:rsid w:val="6B386B50"/>
    <w:rsid w:val="6B3B2900"/>
    <w:rsid w:val="6B3E7FD6"/>
    <w:rsid w:val="6B431148"/>
    <w:rsid w:val="6B454EC0"/>
    <w:rsid w:val="6B470B0F"/>
    <w:rsid w:val="6B481BA2"/>
    <w:rsid w:val="6B482C03"/>
    <w:rsid w:val="6B4A24D7"/>
    <w:rsid w:val="6B4D1FC7"/>
    <w:rsid w:val="6B4E24B7"/>
    <w:rsid w:val="6B4E5EB8"/>
    <w:rsid w:val="6B545C45"/>
    <w:rsid w:val="6B5463F9"/>
    <w:rsid w:val="6B55564C"/>
    <w:rsid w:val="6B5642E1"/>
    <w:rsid w:val="6B596BBE"/>
    <w:rsid w:val="6B5C52B4"/>
    <w:rsid w:val="6B5E41D4"/>
    <w:rsid w:val="6B633598"/>
    <w:rsid w:val="6B637FDF"/>
    <w:rsid w:val="6B665DAF"/>
    <w:rsid w:val="6B69379A"/>
    <w:rsid w:val="6B6D6ED0"/>
    <w:rsid w:val="6B6E5A3C"/>
    <w:rsid w:val="6B6F7D27"/>
    <w:rsid w:val="6B766A0C"/>
    <w:rsid w:val="6B7D13F5"/>
    <w:rsid w:val="6B7D526B"/>
    <w:rsid w:val="6B7E03D2"/>
    <w:rsid w:val="6B7E7CF9"/>
    <w:rsid w:val="6B813B16"/>
    <w:rsid w:val="6B82328A"/>
    <w:rsid w:val="6B851761"/>
    <w:rsid w:val="6B8B067C"/>
    <w:rsid w:val="6B8F6EEA"/>
    <w:rsid w:val="6B905C1D"/>
    <w:rsid w:val="6B930322"/>
    <w:rsid w:val="6B9721E7"/>
    <w:rsid w:val="6B981494"/>
    <w:rsid w:val="6B9D2F4E"/>
    <w:rsid w:val="6B9E0A74"/>
    <w:rsid w:val="6B9E5223"/>
    <w:rsid w:val="6B9F0244"/>
    <w:rsid w:val="6B9F5BFD"/>
    <w:rsid w:val="6BA0659B"/>
    <w:rsid w:val="6BA0712C"/>
    <w:rsid w:val="6BA4047A"/>
    <w:rsid w:val="6BA51E03"/>
    <w:rsid w:val="6BA5739B"/>
    <w:rsid w:val="6BA918F3"/>
    <w:rsid w:val="6BA925CA"/>
    <w:rsid w:val="6BAB6E72"/>
    <w:rsid w:val="6BAC06CD"/>
    <w:rsid w:val="6BAC3191"/>
    <w:rsid w:val="6BAC3463"/>
    <w:rsid w:val="6BAD2BD7"/>
    <w:rsid w:val="6BAD30F8"/>
    <w:rsid w:val="6BAE1754"/>
    <w:rsid w:val="6BB42046"/>
    <w:rsid w:val="6BB65DBE"/>
    <w:rsid w:val="6BB66D0A"/>
    <w:rsid w:val="6BBA6161"/>
    <w:rsid w:val="6BBC238C"/>
    <w:rsid w:val="6BBC4607"/>
    <w:rsid w:val="6BBD3BC6"/>
    <w:rsid w:val="6BBD40E6"/>
    <w:rsid w:val="6BBE2717"/>
    <w:rsid w:val="6BBF1117"/>
    <w:rsid w:val="6BC24763"/>
    <w:rsid w:val="6BC4672D"/>
    <w:rsid w:val="6BC760AC"/>
    <w:rsid w:val="6BC95474"/>
    <w:rsid w:val="6BC95AF1"/>
    <w:rsid w:val="6BCA6EC9"/>
    <w:rsid w:val="6BCC3834"/>
    <w:rsid w:val="6BCD02EE"/>
    <w:rsid w:val="6BD3071E"/>
    <w:rsid w:val="6BD72BFA"/>
    <w:rsid w:val="6BDF70C3"/>
    <w:rsid w:val="6BE1670A"/>
    <w:rsid w:val="6BE51D9B"/>
    <w:rsid w:val="6BEA1734"/>
    <w:rsid w:val="6BEA3CBA"/>
    <w:rsid w:val="6BED17F6"/>
    <w:rsid w:val="6BEE02A6"/>
    <w:rsid w:val="6BEE2C86"/>
    <w:rsid w:val="6BF50591"/>
    <w:rsid w:val="6BF663C6"/>
    <w:rsid w:val="6BFC23A4"/>
    <w:rsid w:val="6BFD31F6"/>
    <w:rsid w:val="6BFD39ED"/>
    <w:rsid w:val="6BFD579B"/>
    <w:rsid w:val="6C0034F8"/>
    <w:rsid w:val="6C0578D5"/>
    <w:rsid w:val="6C07661A"/>
    <w:rsid w:val="6C0A7E6F"/>
    <w:rsid w:val="6C0C59DE"/>
    <w:rsid w:val="6C1121B0"/>
    <w:rsid w:val="6C1148DF"/>
    <w:rsid w:val="6C1D1CF9"/>
    <w:rsid w:val="6C1E0A62"/>
    <w:rsid w:val="6C1E7194"/>
    <w:rsid w:val="6C22436F"/>
    <w:rsid w:val="6C240F7A"/>
    <w:rsid w:val="6C2C3F7C"/>
    <w:rsid w:val="6C2D40B8"/>
    <w:rsid w:val="6C3078F9"/>
    <w:rsid w:val="6C31178D"/>
    <w:rsid w:val="6C335661"/>
    <w:rsid w:val="6C3D24CB"/>
    <w:rsid w:val="6C3F19FF"/>
    <w:rsid w:val="6C3F3B3F"/>
    <w:rsid w:val="6C400C53"/>
    <w:rsid w:val="6C4048A2"/>
    <w:rsid w:val="6C465394"/>
    <w:rsid w:val="6C4935C3"/>
    <w:rsid w:val="6C4C0617"/>
    <w:rsid w:val="6C4E327A"/>
    <w:rsid w:val="6C521745"/>
    <w:rsid w:val="6C58430D"/>
    <w:rsid w:val="6C5B60E0"/>
    <w:rsid w:val="6C5D56EC"/>
    <w:rsid w:val="6C5E4B9E"/>
    <w:rsid w:val="6C6165E8"/>
    <w:rsid w:val="6C635F46"/>
    <w:rsid w:val="6C67530A"/>
    <w:rsid w:val="6C686721"/>
    <w:rsid w:val="6C6972D4"/>
    <w:rsid w:val="6C6A33BA"/>
    <w:rsid w:val="6C6E7618"/>
    <w:rsid w:val="6C727F37"/>
    <w:rsid w:val="6C77456B"/>
    <w:rsid w:val="6C7A052D"/>
    <w:rsid w:val="6C7A233B"/>
    <w:rsid w:val="6C7C0FBC"/>
    <w:rsid w:val="6C7F2654"/>
    <w:rsid w:val="6C803C72"/>
    <w:rsid w:val="6C803E91"/>
    <w:rsid w:val="6C850963"/>
    <w:rsid w:val="6C852B4E"/>
    <w:rsid w:val="6C866827"/>
    <w:rsid w:val="6C866D48"/>
    <w:rsid w:val="6C871509"/>
    <w:rsid w:val="6C8871BD"/>
    <w:rsid w:val="6C8B0A6A"/>
    <w:rsid w:val="6C8C5F63"/>
    <w:rsid w:val="6C930860"/>
    <w:rsid w:val="6C941E1D"/>
    <w:rsid w:val="6C955487"/>
    <w:rsid w:val="6C9D0D2C"/>
    <w:rsid w:val="6CA03832"/>
    <w:rsid w:val="6CA125CA"/>
    <w:rsid w:val="6CA332C1"/>
    <w:rsid w:val="6CA60EDB"/>
    <w:rsid w:val="6CA75BF7"/>
    <w:rsid w:val="6CAD26D2"/>
    <w:rsid w:val="6CAE6A95"/>
    <w:rsid w:val="6CB34986"/>
    <w:rsid w:val="6CB542C8"/>
    <w:rsid w:val="6CB9100F"/>
    <w:rsid w:val="6CBA18DE"/>
    <w:rsid w:val="6CBF5146"/>
    <w:rsid w:val="6CC07F10"/>
    <w:rsid w:val="6CC25E95"/>
    <w:rsid w:val="6CC369E5"/>
    <w:rsid w:val="6CC8224D"/>
    <w:rsid w:val="6CC87B57"/>
    <w:rsid w:val="6CCD242C"/>
    <w:rsid w:val="6CCE6E10"/>
    <w:rsid w:val="6CD40BF2"/>
    <w:rsid w:val="6CD670B7"/>
    <w:rsid w:val="6CD7423E"/>
    <w:rsid w:val="6CD75FEC"/>
    <w:rsid w:val="6CD94E77"/>
    <w:rsid w:val="6CD95395"/>
    <w:rsid w:val="6CD96208"/>
    <w:rsid w:val="6CD97FB6"/>
    <w:rsid w:val="6CDA3D2E"/>
    <w:rsid w:val="6CDE3DB2"/>
    <w:rsid w:val="6CE15783"/>
    <w:rsid w:val="6CE95D1F"/>
    <w:rsid w:val="6CED3A62"/>
    <w:rsid w:val="6CED5B4D"/>
    <w:rsid w:val="6CEE4F56"/>
    <w:rsid w:val="6CEF1588"/>
    <w:rsid w:val="6CF21078"/>
    <w:rsid w:val="6CF63A92"/>
    <w:rsid w:val="6CF7668E"/>
    <w:rsid w:val="6CF80F83"/>
    <w:rsid w:val="6CFB0696"/>
    <w:rsid w:val="6CFC3CA5"/>
    <w:rsid w:val="6D005B58"/>
    <w:rsid w:val="6D0072BA"/>
    <w:rsid w:val="6D03108D"/>
    <w:rsid w:val="6D033ED9"/>
    <w:rsid w:val="6D065684"/>
    <w:rsid w:val="6D072E5F"/>
    <w:rsid w:val="6D0B3EBA"/>
    <w:rsid w:val="6D0B3EE8"/>
    <w:rsid w:val="6D0D5EB2"/>
    <w:rsid w:val="6D0F39D8"/>
    <w:rsid w:val="6D107DDC"/>
    <w:rsid w:val="6D1404E2"/>
    <w:rsid w:val="6D1622F5"/>
    <w:rsid w:val="6D192AA9"/>
    <w:rsid w:val="6D1E00BF"/>
    <w:rsid w:val="6D2040E9"/>
    <w:rsid w:val="6D235680"/>
    <w:rsid w:val="6D255245"/>
    <w:rsid w:val="6D266F73"/>
    <w:rsid w:val="6D284A9A"/>
    <w:rsid w:val="6D286848"/>
    <w:rsid w:val="6D2912BB"/>
    <w:rsid w:val="6D2A28C6"/>
    <w:rsid w:val="6D2D2BB1"/>
    <w:rsid w:val="6D3003BC"/>
    <w:rsid w:val="6D33297B"/>
    <w:rsid w:val="6D384F10"/>
    <w:rsid w:val="6D392803"/>
    <w:rsid w:val="6D3B4F62"/>
    <w:rsid w:val="6D400035"/>
    <w:rsid w:val="6D401191"/>
    <w:rsid w:val="6D4078A1"/>
    <w:rsid w:val="6D4318D3"/>
    <w:rsid w:val="6D434711"/>
    <w:rsid w:val="6D434A7C"/>
    <w:rsid w:val="6D452BB7"/>
    <w:rsid w:val="6D4A082B"/>
    <w:rsid w:val="6D4D2752"/>
    <w:rsid w:val="6D4D62AE"/>
    <w:rsid w:val="6D545029"/>
    <w:rsid w:val="6D560CEB"/>
    <w:rsid w:val="6D571889"/>
    <w:rsid w:val="6D5812D3"/>
    <w:rsid w:val="6D59374C"/>
    <w:rsid w:val="6D5B09CB"/>
    <w:rsid w:val="6D617FAC"/>
    <w:rsid w:val="6D665378"/>
    <w:rsid w:val="6D6668C3"/>
    <w:rsid w:val="6D6A7E15"/>
    <w:rsid w:val="6D6D4BA2"/>
    <w:rsid w:val="6D6F3EA8"/>
    <w:rsid w:val="6D6F4477"/>
    <w:rsid w:val="6D702BDA"/>
    <w:rsid w:val="6D745F31"/>
    <w:rsid w:val="6D761CA9"/>
    <w:rsid w:val="6D7B106D"/>
    <w:rsid w:val="6D7D3037"/>
    <w:rsid w:val="6D7D4DE5"/>
    <w:rsid w:val="6D832961"/>
    <w:rsid w:val="6D87693B"/>
    <w:rsid w:val="6D8812EF"/>
    <w:rsid w:val="6D8A5CBE"/>
    <w:rsid w:val="6D8C0420"/>
    <w:rsid w:val="6D8C0711"/>
    <w:rsid w:val="6D8C0AF7"/>
    <w:rsid w:val="6D8C327A"/>
    <w:rsid w:val="6D8D2B4F"/>
    <w:rsid w:val="6D8D74BE"/>
    <w:rsid w:val="6D8E1F39"/>
    <w:rsid w:val="6D952DD1"/>
    <w:rsid w:val="6D964261"/>
    <w:rsid w:val="6D967C55"/>
    <w:rsid w:val="6D991037"/>
    <w:rsid w:val="6D9A0DD7"/>
    <w:rsid w:val="6D9A7E14"/>
    <w:rsid w:val="6D9B5CA0"/>
    <w:rsid w:val="6D9E55C4"/>
    <w:rsid w:val="6DA80B15"/>
    <w:rsid w:val="6DA85BDA"/>
    <w:rsid w:val="6DAA3701"/>
    <w:rsid w:val="6DB02D41"/>
    <w:rsid w:val="6DB309AE"/>
    <w:rsid w:val="6DB4457F"/>
    <w:rsid w:val="6DB620A5"/>
    <w:rsid w:val="6DB63047"/>
    <w:rsid w:val="6DB703FB"/>
    <w:rsid w:val="6DB86E0B"/>
    <w:rsid w:val="6DBB76BC"/>
    <w:rsid w:val="6DBC51E2"/>
    <w:rsid w:val="6DBE59DF"/>
    <w:rsid w:val="6DBE71AC"/>
    <w:rsid w:val="6DC24EEE"/>
    <w:rsid w:val="6DC42971"/>
    <w:rsid w:val="6DC63EEA"/>
    <w:rsid w:val="6DC742B3"/>
    <w:rsid w:val="6DC81DD9"/>
    <w:rsid w:val="6DCE0390"/>
    <w:rsid w:val="6DCE14CD"/>
    <w:rsid w:val="6DD24A05"/>
    <w:rsid w:val="6DD54C21"/>
    <w:rsid w:val="6DD62748"/>
    <w:rsid w:val="6DD864C0"/>
    <w:rsid w:val="6DD95187"/>
    <w:rsid w:val="6DDE15FC"/>
    <w:rsid w:val="6DE22867"/>
    <w:rsid w:val="6DE3119D"/>
    <w:rsid w:val="6DE54A49"/>
    <w:rsid w:val="6DEA1D4F"/>
    <w:rsid w:val="6DEA7FA1"/>
    <w:rsid w:val="6DEE7A91"/>
    <w:rsid w:val="6DF10F35"/>
    <w:rsid w:val="6DF25188"/>
    <w:rsid w:val="6DF36E56"/>
    <w:rsid w:val="6DF467E4"/>
    <w:rsid w:val="6DF8446C"/>
    <w:rsid w:val="6DFC2E5C"/>
    <w:rsid w:val="6DFD5F26"/>
    <w:rsid w:val="6E002CD0"/>
    <w:rsid w:val="6E051D41"/>
    <w:rsid w:val="6E080427"/>
    <w:rsid w:val="6E091601"/>
    <w:rsid w:val="6E096679"/>
    <w:rsid w:val="6E0B63F5"/>
    <w:rsid w:val="6E0D7918"/>
    <w:rsid w:val="6E0E1EE1"/>
    <w:rsid w:val="6E0F4BB0"/>
    <w:rsid w:val="6E0F511C"/>
    <w:rsid w:val="6E0F5142"/>
    <w:rsid w:val="6E10454B"/>
    <w:rsid w:val="6E1048B6"/>
    <w:rsid w:val="6E11327E"/>
    <w:rsid w:val="6E11552E"/>
    <w:rsid w:val="6E13574A"/>
    <w:rsid w:val="6E184B0E"/>
    <w:rsid w:val="6E1D50AE"/>
    <w:rsid w:val="6E280F9B"/>
    <w:rsid w:val="6E2A65EF"/>
    <w:rsid w:val="6E2C16BB"/>
    <w:rsid w:val="6E2E4332"/>
    <w:rsid w:val="6E2F0BDE"/>
    <w:rsid w:val="6E34210F"/>
    <w:rsid w:val="6E3B3456"/>
    <w:rsid w:val="6E3D1B65"/>
    <w:rsid w:val="6E407BC1"/>
    <w:rsid w:val="6E413283"/>
    <w:rsid w:val="6E4476B1"/>
    <w:rsid w:val="6E464135"/>
    <w:rsid w:val="6E496675"/>
    <w:rsid w:val="6E4A5A76"/>
    <w:rsid w:val="6E4B6C92"/>
    <w:rsid w:val="6E4F7FF6"/>
    <w:rsid w:val="6E511DCE"/>
    <w:rsid w:val="6E533687"/>
    <w:rsid w:val="6E533D98"/>
    <w:rsid w:val="6E57750F"/>
    <w:rsid w:val="6E5C0E9F"/>
    <w:rsid w:val="6E607369"/>
    <w:rsid w:val="6E657628"/>
    <w:rsid w:val="6E671E2C"/>
    <w:rsid w:val="6E6B2E90"/>
    <w:rsid w:val="6E6B7334"/>
    <w:rsid w:val="6E6C552A"/>
    <w:rsid w:val="6E6E0BD2"/>
    <w:rsid w:val="6E775CD9"/>
    <w:rsid w:val="6E7A30D3"/>
    <w:rsid w:val="6E7B2089"/>
    <w:rsid w:val="6E7C32EF"/>
    <w:rsid w:val="6E7D7067"/>
    <w:rsid w:val="6E8235C6"/>
    <w:rsid w:val="6E837D5D"/>
    <w:rsid w:val="6E855B2D"/>
    <w:rsid w:val="6E8E3F5A"/>
    <w:rsid w:val="6E9028F6"/>
    <w:rsid w:val="6E9404C0"/>
    <w:rsid w:val="6E9621C4"/>
    <w:rsid w:val="6E964EF7"/>
    <w:rsid w:val="6E9B4A8E"/>
    <w:rsid w:val="6E9C3BDD"/>
    <w:rsid w:val="6E9E6450"/>
    <w:rsid w:val="6E9F0A80"/>
    <w:rsid w:val="6EA12D56"/>
    <w:rsid w:val="6EA14B04"/>
    <w:rsid w:val="6EA2087C"/>
    <w:rsid w:val="6EA2154D"/>
    <w:rsid w:val="6EA71C57"/>
    <w:rsid w:val="6EA91C0A"/>
    <w:rsid w:val="6EA94607"/>
    <w:rsid w:val="6EAC5256"/>
    <w:rsid w:val="6EB011EB"/>
    <w:rsid w:val="6EB0599B"/>
    <w:rsid w:val="6EB2342B"/>
    <w:rsid w:val="6EB32A89"/>
    <w:rsid w:val="6EB44436"/>
    <w:rsid w:val="6EB96428"/>
    <w:rsid w:val="6EBC10DE"/>
    <w:rsid w:val="6EBE3907"/>
    <w:rsid w:val="6EBE7FC3"/>
    <w:rsid w:val="6EBF142E"/>
    <w:rsid w:val="6EC84D35"/>
    <w:rsid w:val="6ECB7DD2"/>
    <w:rsid w:val="6ECE1D5E"/>
    <w:rsid w:val="6ED22597"/>
    <w:rsid w:val="6ED253ED"/>
    <w:rsid w:val="6ED31611"/>
    <w:rsid w:val="6ED76777"/>
    <w:rsid w:val="6ED820CB"/>
    <w:rsid w:val="6EDB7B1D"/>
    <w:rsid w:val="6EE10E81"/>
    <w:rsid w:val="6EE67DB6"/>
    <w:rsid w:val="6EE82DC3"/>
    <w:rsid w:val="6EE844E0"/>
    <w:rsid w:val="6EEF53A4"/>
    <w:rsid w:val="6EF30723"/>
    <w:rsid w:val="6EF3178D"/>
    <w:rsid w:val="6EF42168"/>
    <w:rsid w:val="6EF4232C"/>
    <w:rsid w:val="6EF638A5"/>
    <w:rsid w:val="6EF74724"/>
    <w:rsid w:val="6EFC61DE"/>
    <w:rsid w:val="6EFF440A"/>
    <w:rsid w:val="6EFF492B"/>
    <w:rsid w:val="6EFF5CCE"/>
    <w:rsid w:val="6F012B10"/>
    <w:rsid w:val="6F062BB9"/>
    <w:rsid w:val="6F0743A9"/>
    <w:rsid w:val="6F080748"/>
    <w:rsid w:val="6F0A1E85"/>
    <w:rsid w:val="6F0C77AB"/>
    <w:rsid w:val="6F0D409E"/>
    <w:rsid w:val="6F0F4163"/>
    <w:rsid w:val="6F122D5A"/>
    <w:rsid w:val="6F1277AF"/>
    <w:rsid w:val="6F143527"/>
    <w:rsid w:val="6F152DFC"/>
    <w:rsid w:val="6F1654F2"/>
    <w:rsid w:val="6F167708"/>
    <w:rsid w:val="6F176B74"/>
    <w:rsid w:val="6F1C4BF9"/>
    <w:rsid w:val="6F1E43A6"/>
    <w:rsid w:val="6F1F3C7A"/>
    <w:rsid w:val="6F202742"/>
    <w:rsid w:val="6F2154D6"/>
    <w:rsid w:val="6F2311AD"/>
    <w:rsid w:val="6F265009"/>
    <w:rsid w:val="6F3040D9"/>
    <w:rsid w:val="6F3239AE"/>
    <w:rsid w:val="6F330153"/>
    <w:rsid w:val="6F370FC4"/>
    <w:rsid w:val="6F3828BF"/>
    <w:rsid w:val="6F3E05A4"/>
    <w:rsid w:val="6F3F2FDE"/>
    <w:rsid w:val="6F4240ED"/>
    <w:rsid w:val="6F424CCA"/>
    <w:rsid w:val="6F4436E1"/>
    <w:rsid w:val="6F4638FD"/>
    <w:rsid w:val="6F4A1255"/>
    <w:rsid w:val="6F4A6F49"/>
    <w:rsid w:val="6F51652A"/>
    <w:rsid w:val="6F5837CB"/>
    <w:rsid w:val="6F5C62BD"/>
    <w:rsid w:val="6F5D2DB6"/>
    <w:rsid w:val="6F5E29F5"/>
    <w:rsid w:val="6F60619F"/>
    <w:rsid w:val="6F60676D"/>
    <w:rsid w:val="6F6124E5"/>
    <w:rsid w:val="6F6413D5"/>
    <w:rsid w:val="6F645AC0"/>
    <w:rsid w:val="6F651FD5"/>
    <w:rsid w:val="6F6A346B"/>
    <w:rsid w:val="6F6B5112"/>
    <w:rsid w:val="6F6D3BF0"/>
    <w:rsid w:val="6F6D654F"/>
    <w:rsid w:val="6F6F3EC3"/>
    <w:rsid w:val="6F771D08"/>
    <w:rsid w:val="6F773AB6"/>
    <w:rsid w:val="6F7B3803"/>
    <w:rsid w:val="6F7F4125"/>
    <w:rsid w:val="6F800BBD"/>
    <w:rsid w:val="6F820674"/>
    <w:rsid w:val="6F866C02"/>
    <w:rsid w:val="6F882122"/>
    <w:rsid w:val="6F8866D3"/>
    <w:rsid w:val="6F8A0F15"/>
    <w:rsid w:val="6F8E3E68"/>
    <w:rsid w:val="6F914B78"/>
    <w:rsid w:val="6F9401C4"/>
    <w:rsid w:val="6F94205B"/>
    <w:rsid w:val="6F946416"/>
    <w:rsid w:val="6F9C06E5"/>
    <w:rsid w:val="6F9E7295"/>
    <w:rsid w:val="6FA06315"/>
    <w:rsid w:val="6FA31ECE"/>
    <w:rsid w:val="6FA6675B"/>
    <w:rsid w:val="6FA85431"/>
    <w:rsid w:val="6FAF14A2"/>
    <w:rsid w:val="6FAF7E3D"/>
    <w:rsid w:val="6FB10D76"/>
    <w:rsid w:val="6FB1431B"/>
    <w:rsid w:val="6FB2689C"/>
    <w:rsid w:val="6FB46AE8"/>
    <w:rsid w:val="6FB870D9"/>
    <w:rsid w:val="6FB92D17"/>
    <w:rsid w:val="6FB94DCB"/>
    <w:rsid w:val="6FBA38B6"/>
    <w:rsid w:val="6FC16AE2"/>
    <w:rsid w:val="6FC17864"/>
    <w:rsid w:val="6FC32E89"/>
    <w:rsid w:val="6FC33560"/>
    <w:rsid w:val="6FC41BBC"/>
    <w:rsid w:val="6FC50FC5"/>
    <w:rsid w:val="6FC767EC"/>
    <w:rsid w:val="6FC82D37"/>
    <w:rsid w:val="6FCA1E38"/>
    <w:rsid w:val="6FCF38F2"/>
    <w:rsid w:val="6FD64C81"/>
    <w:rsid w:val="6FD8191A"/>
    <w:rsid w:val="6FDA2E93"/>
    <w:rsid w:val="6FDB2F94"/>
    <w:rsid w:val="6FDB5DF3"/>
    <w:rsid w:val="6FDE7692"/>
    <w:rsid w:val="6FE0776D"/>
    <w:rsid w:val="6FE52ACB"/>
    <w:rsid w:val="6FE6736D"/>
    <w:rsid w:val="6FEB0F4B"/>
    <w:rsid w:val="6FEB4920"/>
    <w:rsid w:val="6FEC0000"/>
    <w:rsid w:val="6FED5B27"/>
    <w:rsid w:val="6FEE6861"/>
    <w:rsid w:val="6FEF2BB1"/>
    <w:rsid w:val="6FF1003D"/>
    <w:rsid w:val="6FF17B65"/>
    <w:rsid w:val="6FF17C9A"/>
    <w:rsid w:val="6FFB6495"/>
    <w:rsid w:val="6FFF2BCE"/>
    <w:rsid w:val="6FFF7E2F"/>
    <w:rsid w:val="7000707A"/>
    <w:rsid w:val="700205F2"/>
    <w:rsid w:val="70052546"/>
    <w:rsid w:val="70074E3A"/>
    <w:rsid w:val="700853C0"/>
    <w:rsid w:val="700A5024"/>
    <w:rsid w:val="700E2556"/>
    <w:rsid w:val="700E441B"/>
    <w:rsid w:val="700E61C9"/>
    <w:rsid w:val="700F0193"/>
    <w:rsid w:val="700F1FCA"/>
    <w:rsid w:val="70104DBD"/>
    <w:rsid w:val="70141305"/>
    <w:rsid w:val="70147557"/>
    <w:rsid w:val="7016507D"/>
    <w:rsid w:val="7017014C"/>
    <w:rsid w:val="701A224B"/>
    <w:rsid w:val="701D01BA"/>
    <w:rsid w:val="701E06FF"/>
    <w:rsid w:val="70211AB5"/>
    <w:rsid w:val="70223432"/>
    <w:rsid w:val="70251764"/>
    <w:rsid w:val="70254E80"/>
    <w:rsid w:val="702951B3"/>
    <w:rsid w:val="702A1A8A"/>
    <w:rsid w:val="702C48A1"/>
    <w:rsid w:val="702D7E69"/>
    <w:rsid w:val="702F613F"/>
    <w:rsid w:val="703136BE"/>
    <w:rsid w:val="703379DD"/>
    <w:rsid w:val="70384CF8"/>
    <w:rsid w:val="70393BE0"/>
    <w:rsid w:val="703D119A"/>
    <w:rsid w:val="703D260A"/>
    <w:rsid w:val="703D3958"/>
    <w:rsid w:val="703F2826"/>
    <w:rsid w:val="703F285B"/>
    <w:rsid w:val="70422316"/>
    <w:rsid w:val="70441BEA"/>
    <w:rsid w:val="704465A3"/>
    <w:rsid w:val="70453BB5"/>
    <w:rsid w:val="704E4817"/>
    <w:rsid w:val="70514307"/>
    <w:rsid w:val="70534214"/>
    <w:rsid w:val="70551947"/>
    <w:rsid w:val="70551E67"/>
    <w:rsid w:val="70553DF8"/>
    <w:rsid w:val="705636CC"/>
    <w:rsid w:val="705C33D8"/>
    <w:rsid w:val="705F4C76"/>
    <w:rsid w:val="705F6A24"/>
    <w:rsid w:val="70634ED0"/>
    <w:rsid w:val="70643DB9"/>
    <w:rsid w:val="706778EB"/>
    <w:rsid w:val="706C2EEF"/>
    <w:rsid w:val="706C7393"/>
    <w:rsid w:val="706D3B59"/>
    <w:rsid w:val="706D7810"/>
    <w:rsid w:val="706F2401"/>
    <w:rsid w:val="707B1974"/>
    <w:rsid w:val="707B2A29"/>
    <w:rsid w:val="7082146C"/>
    <w:rsid w:val="708244C1"/>
    <w:rsid w:val="70833D8C"/>
    <w:rsid w:val="70845380"/>
    <w:rsid w:val="70862203"/>
    <w:rsid w:val="7089338A"/>
    <w:rsid w:val="708C3FB4"/>
    <w:rsid w:val="708C50EF"/>
    <w:rsid w:val="709042DE"/>
    <w:rsid w:val="70911320"/>
    <w:rsid w:val="70950698"/>
    <w:rsid w:val="709541F4"/>
    <w:rsid w:val="709661BE"/>
    <w:rsid w:val="709866F7"/>
    <w:rsid w:val="70994422"/>
    <w:rsid w:val="709A3F00"/>
    <w:rsid w:val="709E4F80"/>
    <w:rsid w:val="70A15996"/>
    <w:rsid w:val="70A61026"/>
    <w:rsid w:val="70A628A5"/>
    <w:rsid w:val="70A73F27"/>
    <w:rsid w:val="70A831C4"/>
    <w:rsid w:val="70A916A5"/>
    <w:rsid w:val="70AB541A"/>
    <w:rsid w:val="70AD67CE"/>
    <w:rsid w:val="70B36D70"/>
    <w:rsid w:val="70B41FD9"/>
    <w:rsid w:val="70B84386"/>
    <w:rsid w:val="70BA297C"/>
    <w:rsid w:val="70BF5715"/>
    <w:rsid w:val="70C07D7C"/>
    <w:rsid w:val="70C26FB3"/>
    <w:rsid w:val="70C537E4"/>
    <w:rsid w:val="70C61829"/>
    <w:rsid w:val="70C63CA2"/>
    <w:rsid w:val="70C920F0"/>
    <w:rsid w:val="70C94A83"/>
    <w:rsid w:val="70CA3B20"/>
    <w:rsid w:val="70CA5DD9"/>
    <w:rsid w:val="70CB2A08"/>
    <w:rsid w:val="70CB4833"/>
    <w:rsid w:val="70CD6084"/>
    <w:rsid w:val="70CD7848"/>
    <w:rsid w:val="70CE7706"/>
    <w:rsid w:val="70D0347E"/>
    <w:rsid w:val="70D171F6"/>
    <w:rsid w:val="70D61F6D"/>
    <w:rsid w:val="70D70CB1"/>
    <w:rsid w:val="70DC0CFB"/>
    <w:rsid w:val="70DC1AAE"/>
    <w:rsid w:val="70DD12E4"/>
    <w:rsid w:val="70E17439"/>
    <w:rsid w:val="70E611B1"/>
    <w:rsid w:val="70E909E4"/>
    <w:rsid w:val="70E92950"/>
    <w:rsid w:val="70EB2185"/>
    <w:rsid w:val="70EE5FFA"/>
    <w:rsid w:val="70F01D72"/>
    <w:rsid w:val="70F330A2"/>
    <w:rsid w:val="70F52EE5"/>
    <w:rsid w:val="70F83021"/>
    <w:rsid w:val="70F96E79"/>
    <w:rsid w:val="70FD0CB3"/>
    <w:rsid w:val="70FE1851"/>
    <w:rsid w:val="70FE448F"/>
    <w:rsid w:val="70FF21A9"/>
    <w:rsid w:val="70FF68A0"/>
    <w:rsid w:val="71036320"/>
    <w:rsid w:val="7105497D"/>
    <w:rsid w:val="710571BE"/>
    <w:rsid w:val="71094BE2"/>
    <w:rsid w:val="71127830"/>
    <w:rsid w:val="711525B3"/>
    <w:rsid w:val="71162F2C"/>
    <w:rsid w:val="71174225"/>
    <w:rsid w:val="7117779D"/>
    <w:rsid w:val="711A1966"/>
    <w:rsid w:val="711A294B"/>
    <w:rsid w:val="711F7AFA"/>
    <w:rsid w:val="71214924"/>
    <w:rsid w:val="7122081F"/>
    <w:rsid w:val="712D267F"/>
    <w:rsid w:val="712D4759"/>
    <w:rsid w:val="713003C1"/>
    <w:rsid w:val="71325EE7"/>
    <w:rsid w:val="713316EB"/>
    <w:rsid w:val="71332DB0"/>
    <w:rsid w:val="71353C29"/>
    <w:rsid w:val="71363F6D"/>
    <w:rsid w:val="71381023"/>
    <w:rsid w:val="713A2FED"/>
    <w:rsid w:val="713C4FB8"/>
    <w:rsid w:val="71445C1A"/>
    <w:rsid w:val="71461992"/>
    <w:rsid w:val="71475E36"/>
    <w:rsid w:val="7148696E"/>
    <w:rsid w:val="714A1495"/>
    <w:rsid w:val="714A76D4"/>
    <w:rsid w:val="714B7C09"/>
    <w:rsid w:val="714D13E5"/>
    <w:rsid w:val="714D76B3"/>
    <w:rsid w:val="714E7574"/>
    <w:rsid w:val="715220E5"/>
    <w:rsid w:val="71530A68"/>
    <w:rsid w:val="71542301"/>
    <w:rsid w:val="715440AF"/>
    <w:rsid w:val="71554E3E"/>
    <w:rsid w:val="71557E27"/>
    <w:rsid w:val="71597917"/>
    <w:rsid w:val="715B338A"/>
    <w:rsid w:val="715E2943"/>
    <w:rsid w:val="71623A54"/>
    <w:rsid w:val="71627BBC"/>
    <w:rsid w:val="71666546"/>
    <w:rsid w:val="716B764B"/>
    <w:rsid w:val="716B7C5A"/>
    <w:rsid w:val="71716B9F"/>
    <w:rsid w:val="71744751"/>
    <w:rsid w:val="71750972"/>
    <w:rsid w:val="71777CD5"/>
    <w:rsid w:val="71787C6E"/>
    <w:rsid w:val="71787FD9"/>
    <w:rsid w:val="717B6EF1"/>
    <w:rsid w:val="717C738C"/>
    <w:rsid w:val="71876217"/>
    <w:rsid w:val="71902C0D"/>
    <w:rsid w:val="71915F81"/>
    <w:rsid w:val="719170B1"/>
    <w:rsid w:val="719635EF"/>
    <w:rsid w:val="719646C8"/>
    <w:rsid w:val="719A4CA2"/>
    <w:rsid w:val="719B1CDE"/>
    <w:rsid w:val="719B3EA4"/>
    <w:rsid w:val="719B7F30"/>
    <w:rsid w:val="719C3CEC"/>
    <w:rsid w:val="719C63DF"/>
    <w:rsid w:val="719E7262"/>
    <w:rsid w:val="719F5BDF"/>
    <w:rsid w:val="71A05546"/>
    <w:rsid w:val="71A271B2"/>
    <w:rsid w:val="71A5490B"/>
    <w:rsid w:val="71A55541"/>
    <w:rsid w:val="71A71D81"/>
    <w:rsid w:val="71AD1A11"/>
    <w:rsid w:val="71AD37BF"/>
    <w:rsid w:val="71AE3282"/>
    <w:rsid w:val="71AF189A"/>
    <w:rsid w:val="71B11502"/>
    <w:rsid w:val="71B42DA0"/>
    <w:rsid w:val="71B71FA3"/>
    <w:rsid w:val="71B81798"/>
    <w:rsid w:val="71C137C8"/>
    <w:rsid w:val="71C31235"/>
    <w:rsid w:val="71C32FE3"/>
    <w:rsid w:val="71C722ED"/>
    <w:rsid w:val="71C95732"/>
    <w:rsid w:val="71C971CF"/>
    <w:rsid w:val="71CA0B9B"/>
    <w:rsid w:val="71CB1E97"/>
    <w:rsid w:val="71CE1AAC"/>
    <w:rsid w:val="71CF7BDA"/>
    <w:rsid w:val="71D051F9"/>
    <w:rsid w:val="71D50007"/>
    <w:rsid w:val="71D56D84"/>
    <w:rsid w:val="71DB032D"/>
    <w:rsid w:val="71DD6189"/>
    <w:rsid w:val="71E33685"/>
    <w:rsid w:val="71E800C7"/>
    <w:rsid w:val="71E847F7"/>
    <w:rsid w:val="71EC078C"/>
    <w:rsid w:val="71EE29DB"/>
    <w:rsid w:val="71F17B50"/>
    <w:rsid w:val="71F41F08"/>
    <w:rsid w:val="71F609B1"/>
    <w:rsid w:val="71F675E2"/>
    <w:rsid w:val="71F87130"/>
    <w:rsid w:val="71F91D76"/>
    <w:rsid w:val="71FC36C2"/>
    <w:rsid w:val="720213DB"/>
    <w:rsid w:val="72037883"/>
    <w:rsid w:val="7206621D"/>
    <w:rsid w:val="720A29C0"/>
    <w:rsid w:val="720A6E64"/>
    <w:rsid w:val="720B6055"/>
    <w:rsid w:val="720E0702"/>
    <w:rsid w:val="720F6228"/>
    <w:rsid w:val="72113D4E"/>
    <w:rsid w:val="72114AAA"/>
    <w:rsid w:val="7211724D"/>
    <w:rsid w:val="72133F6A"/>
    <w:rsid w:val="72190E55"/>
    <w:rsid w:val="721D26F3"/>
    <w:rsid w:val="721E571E"/>
    <w:rsid w:val="721F290F"/>
    <w:rsid w:val="721F6C88"/>
    <w:rsid w:val="72253D13"/>
    <w:rsid w:val="7227188E"/>
    <w:rsid w:val="72280CA5"/>
    <w:rsid w:val="72295D41"/>
    <w:rsid w:val="722E55ED"/>
    <w:rsid w:val="72356904"/>
    <w:rsid w:val="72367C59"/>
    <w:rsid w:val="72395DE2"/>
    <w:rsid w:val="723C4ABE"/>
    <w:rsid w:val="723D30E3"/>
    <w:rsid w:val="723F6B0D"/>
    <w:rsid w:val="724063E2"/>
    <w:rsid w:val="72426F13"/>
    <w:rsid w:val="72435833"/>
    <w:rsid w:val="72435ED2"/>
    <w:rsid w:val="724404EA"/>
    <w:rsid w:val="72441AC9"/>
    <w:rsid w:val="72457067"/>
    <w:rsid w:val="724C4D86"/>
    <w:rsid w:val="724E26A6"/>
    <w:rsid w:val="7251239D"/>
    <w:rsid w:val="72513A74"/>
    <w:rsid w:val="72522B12"/>
    <w:rsid w:val="725325B9"/>
    <w:rsid w:val="72563E57"/>
    <w:rsid w:val="725A2FB5"/>
    <w:rsid w:val="725D42D9"/>
    <w:rsid w:val="725E4E77"/>
    <w:rsid w:val="726056E6"/>
    <w:rsid w:val="72640322"/>
    <w:rsid w:val="72670308"/>
    <w:rsid w:val="726729E8"/>
    <w:rsid w:val="72677E12"/>
    <w:rsid w:val="72706688"/>
    <w:rsid w:val="727442DD"/>
    <w:rsid w:val="7274672D"/>
    <w:rsid w:val="727D77DF"/>
    <w:rsid w:val="727E1BD2"/>
    <w:rsid w:val="72802C82"/>
    <w:rsid w:val="72824C4C"/>
    <w:rsid w:val="72844AE1"/>
    <w:rsid w:val="728704B4"/>
    <w:rsid w:val="729047C5"/>
    <w:rsid w:val="729130E1"/>
    <w:rsid w:val="729419E2"/>
    <w:rsid w:val="72956248"/>
    <w:rsid w:val="72976A9F"/>
    <w:rsid w:val="729A0E58"/>
    <w:rsid w:val="729C5DE0"/>
    <w:rsid w:val="729F1546"/>
    <w:rsid w:val="72A20E4A"/>
    <w:rsid w:val="72A81DAB"/>
    <w:rsid w:val="72A83A22"/>
    <w:rsid w:val="72AA0252"/>
    <w:rsid w:val="72AD7936"/>
    <w:rsid w:val="72B3358B"/>
    <w:rsid w:val="72B501E0"/>
    <w:rsid w:val="72B539E4"/>
    <w:rsid w:val="72B664E0"/>
    <w:rsid w:val="72B9250E"/>
    <w:rsid w:val="72B92879"/>
    <w:rsid w:val="72BA62F1"/>
    <w:rsid w:val="72BD74F7"/>
    <w:rsid w:val="72BF37AA"/>
    <w:rsid w:val="72C40DC1"/>
    <w:rsid w:val="72C874B4"/>
    <w:rsid w:val="72CC4119"/>
    <w:rsid w:val="72CD6775"/>
    <w:rsid w:val="72D34D82"/>
    <w:rsid w:val="72D354A8"/>
    <w:rsid w:val="72D52FCE"/>
    <w:rsid w:val="72D54D7C"/>
    <w:rsid w:val="72D64389"/>
    <w:rsid w:val="72D66C3C"/>
    <w:rsid w:val="72DD00D4"/>
    <w:rsid w:val="72E2393D"/>
    <w:rsid w:val="72E3094A"/>
    <w:rsid w:val="72E454F8"/>
    <w:rsid w:val="72EE408F"/>
    <w:rsid w:val="72EE4103"/>
    <w:rsid w:val="72F00A08"/>
    <w:rsid w:val="72F0605A"/>
    <w:rsid w:val="72F25079"/>
    <w:rsid w:val="72F35B4A"/>
    <w:rsid w:val="72F5541E"/>
    <w:rsid w:val="72F84F0E"/>
    <w:rsid w:val="72FD2105"/>
    <w:rsid w:val="73016068"/>
    <w:rsid w:val="730247A7"/>
    <w:rsid w:val="730355B1"/>
    <w:rsid w:val="73045661"/>
    <w:rsid w:val="73090EC9"/>
    <w:rsid w:val="73092C77"/>
    <w:rsid w:val="730E64E0"/>
    <w:rsid w:val="73107C5C"/>
    <w:rsid w:val="7316683A"/>
    <w:rsid w:val="7318211B"/>
    <w:rsid w:val="731955B0"/>
    <w:rsid w:val="732301DD"/>
    <w:rsid w:val="73233821"/>
    <w:rsid w:val="73246DDB"/>
    <w:rsid w:val="732725D7"/>
    <w:rsid w:val="73283C31"/>
    <w:rsid w:val="732B0E40"/>
    <w:rsid w:val="732B234A"/>
    <w:rsid w:val="732D2C4B"/>
    <w:rsid w:val="732D43FD"/>
    <w:rsid w:val="733035DE"/>
    <w:rsid w:val="7331331D"/>
    <w:rsid w:val="733207B2"/>
    <w:rsid w:val="733221CE"/>
    <w:rsid w:val="73346738"/>
    <w:rsid w:val="733552ED"/>
    <w:rsid w:val="73373C88"/>
    <w:rsid w:val="733A3CA3"/>
    <w:rsid w:val="73422E69"/>
    <w:rsid w:val="7343262D"/>
    <w:rsid w:val="73441F01"/>
    <w:rsid w:val="734819F2"/>
    <w:rsid w:val="73493046"/>
    <w:rsid w:val="7349367D"/>
    <w:rsid w:val="734936E2"/>
    <w:rsid w:val="73497518"/>
    <w:rsid w:val="734C0DB6"/>
    <w:rsid w:val="734C460E"/>
    <w:rsid w:val="734D708D"/>
    <w:rsid w:val="734E2D80"/>
    <w:rsid w:val="735008A6"/>
    <w:rsid w:val="73506AF8"/>
    <w:rsid w:val="73522A45"/>
    <w:rsid w:val="73555EBD"/>
    <w:rsid w:val="73571C35"/>
    <w:rsid w:val="7358514C"/>
    <w:rsid w:val="735E18C5"/>
    <w:rsid w:val="73634FBB"/>
    <w:rsid w:val="73667ADF"/>
    <w:rsid w:val="736764A6"/>
    <w:rsid w:val="73685DD0"/>
    <w:rsid w:val="736E0B54"/>
    <w:rsid w:val="73750FEF"/>
    <w:rsid w:val="737569BC"/>
    <w:rsid w:val="737646B4"/>
    <w:rsid w:val="73772818"/>
    <w:rsid w:val="73775FE8"/>
    <w:rsid w:val="737A608E"/>
    <w:rsid w:val="737C09CA"/>
    <w:rsid w:val="737F18E2"/>
    <w:rsid w:val="73823836"/>
    <w:rsid w:val="73832A2A"/>
    <w:rsid w:val="73840DB4"/>
    <w:rsid w:val="73845B12"/>
    <w:rsid w:val="738524FE"/>
    <w:rsid w:val="738526B4"/>
    <w:rsid w:val="7386076C"/>
    <w:rsid w:val="73886E83"/>
    <w:rsid w:val="738B18DE"/>
    <w:rsid w:val="738F4DE5"/>
    <w:rsid w:val="739015EB"/>
    <w:rsid w:val="73903399"/>
    <w:rsid w:val="73994C91"/>
    <w:rsid w:val="739A5C9B"/>
    <w:rsid w:val="739A5FC5"/>
    <w:rsid w:val="739C37AB"/>
    <w:rsid w:val="73A179D9"/>
    <w:rsid w:val="73A239B1"/>
    <w:rsid w:val="73A26C2C"/>
    <w:rsid w:val="73A27303"/>
    <w:rsid w:val="73A634D6"/>
    <w:rsid w:val="73A9327C"/>
    <w:rsid w:val="73AC26D2"/>
    <w:rsid w:val="73AD3F4B"/>
    <w:rsid w:val="73B00889"/>
    <w:rsid w:val="73B04E6C"/>
    <w:rsid w:val="73B057E9"/>
    <w:rsid w:val="73B13A3B"/>
    <w:rsid w:val="73B21561"/>
    <w:rsid w:val="73B452D9"/>
    <w:rsid w:val="73B47087"/>
    <w:rsid w:val="73BC23E0"/>
    <w:rsid w:val="73C02BDD"/>
    <w:rsid w:val="73C0335A"/>
    <w:rsid w:val="73C33969"/>
    <w:rsid w:val="73C6500C"/>
    <w:rsid w:val="73C7661F"/>
    <w:rsid w:val="73CD0149"/>
    <w:rsid w:val="73CD3228"/>
    <w:rsid w:val="73CD672F"/>
    <w:rsid w:val="73CF2113"/>
    <w:rsid w:val="73CF3EC1"/>
    <w:rsid w:val="73CF562F"/>
    <w:rsid w:val="73D05F5B"/>
    <w:rsid w:val="73D509D0"/>
    <w:rsid w:val="73DE3F69"/>
    <w:rsid w:val="73E334C8"/>
    <w:rsid w:val="73E7745D"/>
    <w:rsid w:val="73E84D22"/>
    <w:rsid w:val="73EA0EDA"/>
    <w:rsid w:val="73EB7799"/>
    <w:rsid w:val="73ED07EB"/>
    <w:rsid w:val="73F26870"/>
    <w:rsid w:val="73F71F01"/>
    <w:rsid w:val="73F76F74"/>
    <w:rsid w:val="73F9563A"/>
    <w:rsid w:val="73FF07E0"/>
    <w:rsid w:val="74024296"/>
    <w:rsid w:val="74041A81"/>
    <w:rsid w:val="740643A1"/>
    <w:rsid w:val="74065ABE"/>
    <w:rsid w:val="740A314B"/>
    <w:rsid w:val="740A4EF9"/>
    <w:rsid w:val="740C2E66"/>
    <w:rsid w:val="740D2C3B"/>
    <w:rsid w:val="740F0761"/>
    <w:rsid w:val="74133B78"/>
    <w:rsid w:val="741369EC"/>
    <w:rsid w:val="74141576"/>
    <w:rsid w:val="741619FD"/>
    <w:rsid w:val="74161AF0"/>
    <w:rsid w:val="7416389E"/>
    <w:rsid w:val="741915E0"/>
    <w:rsid w:val="7419338E"/>
    <w:rsid w:val="741A0BEA"/>
    <w:rsid w:val="741A3CA7"/>
    <w:rsid w:val="741E2752"/>
    <w:rsid w:val="742359C8"/>
    <w:rsid w:val="7427072F"/>
    <w:rsid w:val="74273CFD"/>
    <w:rsid w:val="742D6E39"/>
    <w:rsid w:val="742E4CEE"/>
    <w:rsid w:val="743326A2"/>
    <w:rsid w:val="74341F76"/>
    <w:rsid w:val="74343D24"/>
    <w:rsid w:val="74351337"/>
    <w:rsid w:val="74376190"/>
    <w:rsid w:val="74391E01"/>
    <w:rsid w:val="74393A30"/>
    <w:rsid w:val="744101B6"/>
    <w:rsid w:val="744318F3"/>
    <w:rsid w:val="74461834"/>
    <w:rsid w:val="744C72C0"/>
    <w:rsid w:val="744D296E"/>
    <w:rsid w:val="744D529F"/>
    <w:rsid w:val="744E1D52"/>
    <w:rsid w:val="745037BC"/>
    <w:rsid w:val="74557E99"/>
    <w:rsid w:val="745B7503"/>
    <w:rsid w:val="745D0C66"/>
    <w:rsid w:val="745D14CD"/>
    <w:rsid w:val="745F621A"/>
    <w:rsid w:val="74620891"/>
    <w:rsid w:val="746709C2"/>
    <w:rsid w:val="74687E72"/>
    <w:rsid w:val="746A0552"/>
    <w:rsid w:val="746A7B74"/>
    <w:rsid w:val="746B1BF9"/>
    <w:rsid w:val="746C7962"/>
    <w:rsid w:val="746E765E"/>
    <w:rsid w:val="74793E2D"/>
    <w:rsid w:val="747C620D"/>
    <w:rsid w:val="747F58E7"/>
    <w:rsid w:val="74841A27"/>
    <w:rsid w:val="7487654A"/>
    <w:rsid w:val="748824B8"/>
    <w:rsid w:val="748922C2"/>
    <w:rsid w:val="748A603A"/>
    <w:rsid w:val="748C0004"/>
    <w:rsid w:val="748C3B60"/>
    <w:rsid w:val="748D7C5D"/>
    <w:rsid w:val="748F44D9"/>
    <w:rsid w:val="74943A50"/>
    <w:rsid w:val="74996C40"/>
    <w:rsid w:val="749E3893"/>
    <w:rsid w:val="749F1AE5"/>
    <w:rsid w:val="74A0585D"/>
    <w:rsid w:val="74A80670"/>
    <w:rsid w:val="74A964C0"/>
    <w:rsid w:val="74A97616"/>
    <w:rsid w:val="74B03CF2"/>
    <w:rsid w:val="74B34318"/>
    <w:rsid w:val="74B45232"/>
    <w:rsid w:val="74B549A6"/>
    <w:rsid w:val="74B77420"/>
    <w:rsid w:val="74BA691F"/>
    <w:rsid w:val="74BD54CA"/>
    <w:rsid w:val="74BF44DE"/>
    <w:rsid w:val="74C23A26"/>
    <w:rsid w:val="74C27582"/>
    <w:rsid w:val="74CC659F"/>
    <w:rsid w:val="74CD6F79"/>
    <w:rsid w:val="74D04085"/>
    <w:rsid w:val="74D12037"/>
    <w:rsid w:val="74D21440"/>
    <w:rsid w:val="74D231A8"/>
    <w:rsid w:val="74D37C52"/>
    <w:rsid w:val="74D552C0"/>
    <w:rsid w:val="74DD3606"/>
    <w:rsid w:val="74E02B55"/>
    <w:rsid w:val="74E62003"/>
    <w:rsid w:val="74E70119"/>
    <w:rsid w:val="74E8308A"/>
    <w:rsid w:val="74E92D60"/>
    <w:rsid w:val="74E96EF2"/>
    <w:rsid w:val="74EA40ED"/>
    <w:rsid w:val="74F00593"/>
    <w:rsid w:val="74F146EB"/>
    <w:rsid w:val="74F636CF"/>
    <w:rsid w:val="74F8738F"/>
    <w:rsid w:val="74FA31C0"/>
    <w:rsid w:val="74FA3C0D"/>
    <w:rsid w:val="74FB2A94"/>
    <w:rsid w:val="74FE7E2A"/>
    <w:rsid w:val="74FF67F2"/>
    <w:rsid w:val="750162FC"/>
    <w:rsid w:val="75045DEC"/>
    <w:rsid w:val="75072A7D"/>
    <w:rsid w:val="7507768A"/>
    <w:rsid w:val="75091655"/>
    <w:rsid w:val="75093403"/>
    <w:rsid w:val="750D1555"/>
    <w:rsid w:val="75130A36"/>
    <w:rsid w:val="75204114"/>
    <w:rsid w:val="752A62F4"/>
    <w:rsid w:val="752D7368"/>
    <w:rsid w:val="752E4C17"/>
    <w:rsid w:val="75322959"/>
    <w:rsid w:val="753A180E"/>
    <w:rsid w:val="753C37D8"/>
    <w:rsid w:val="753F358A"/>
    <w:rsid w:val="75412B9C"/>
    <w:rsid w:val="754157DE"/>
    <w:rsid w:val="7548234C"/>
    <w:rsid w:val="7551370F"/>
    <w:rsid w:val="75521DF7"/>
    <w:rsid w:val="75524DAA"/>
    <w:rsid w:val="75530B22"/>
    <w:rsid w:val="75556648"/>
    <w:rsid w:val="75581306"/>
    <w:rsid w:val="75596138"/>
    <w:rsid w:val="756400B3"/>
    <w:rsid w:val="756D573F"/>
    <w:rsid w:val="756E5C1E"/>
    <w:rsid w:val="757310EA"/>
    <w:rsid w:val="75741257"/>
    <w:rsid w:val="75752846"/>
    <w:rsid w:val="757840E4"/>
    <w:rsid w:val="757E170D"/>
    <w:rsid w:val="7581079F"/>
    <w:rsid w:val="758142C0"/>
    <w:rsid w:val="75893287"/>
    <w:rsid w:val="758D5DE2"/>
    <w:rsid w:val="758E3908"/>
    <w:rsid w:val="758E7F20"/>
    <w:rsid w:val="758F1B5A"/>
    <w:rsid w:val="759058D2"/>
    <w:rsid w:val="75970ABF"/>
    <w:rsid w:val="759929D8"/>
    <w:rsid w:val="759D2548"/>
    <w:rsid w:val="759E7FEF"/>
    <w:rsid w:val="759F5B15"/>
    <w:rsid w:val="75A4572F"/>
    <w:rsid w:val="75AA195E"/>
    <w:rsid w:val="75AC42E3"/>
    <w:rsid w:val="75B07D22"/>
    <w:rsid w:val="75B275F6"/>
    <w:rsid w:val="75B27B8F"/>
    <w:rsid w:val="75B72D40"/>
    <w:rsid w:val="75B84257"/>
    <w:rsid w:val="75BA734C"/>
    <w:rsid w:val="75BB6F86"/>
    <w:rsid w:val="75C75406"/>
    <w:rsid w:val="75C9085C"/>
    <w:rsid w:val="75CA7AAF"/>
    <w:rsid w:val="75CB4679"/>
    <w:rsid w:val="75D237F5"/>
    <w:rsid w:val="75D27282"/>
    <w:rsid w:val="75D73A7B"/>
    <w:rsid w:val="75D82CCE"/>
    <w:rsid w:val="75D837BA"/>
    <w:rsid w:val="75DA1174"/>
    <w:rsid w:val="75DD762C"/>
    <w:rsid w:val="75E023B5"/>
    <w:rsid w:val="75E152A0"/>
    <w:rsid w:val="75E36485"/>
    <w:rsid w:val="75E579CC"/>
    <w:rsid w:val="75E65EED"/>
    <w:rsid w:val="75E83951"/>
    <w:rsid w:val="75EB0D5A"/>
    <w:rsid w:val="75EC3B3B"/>
    <w:rsid w:val="75EF1A41"/>
    <w:rsid w:val="75F303C2"/>
    <w:rsid w:val="75F61BD9"/>
    <w:rsid w:val="75F84F2F"/>
    <w:rsid w:val="75F91BD5"/>
    <w:rsid w:val="75FC6AC3"/>
    <w:rsid w:val="76040FE2"/>
    <w:rsid w:val="76065B94"/>
    <w:rsid w:val="76083D29"/>
    <w:rsid w:val="760A030B"/>
    <w:rsid w:val="760A3018"/>
    <w:rsid w:val="760A7432"/>
    <w:rsid w:val="760D3186"/>
    <w:rsid w:val="760E6BFA"/>
    <w:rsid w:val="76116A13"/>
    <w:rsid w:val="76125EAA"/>
    <w:rsid w:val="761262E7"/>
    <w:rsid w:val="7615076A"/>
    <w:rsid w:val="76166CA1"/>
    <w:rsid w:val="76173B26"/>
    <w:rsid w:val="7617607C"/>
    <w:rsid w:val="76181064"/>
    <w:rsid w:val="76191423"/>
    <w:rsid w:val="761C7166"/>
    <w:rsid w:val="761D5627"/>
    <w:rsid w:val="761E1F9A"/>
    <w:rsid w:val="761E4C8C"/>
    <w:rsid w:val="762436BA"/>
    <w:rsid w:val="762B1157"/>
    <w:rsid w:val="762D01D0"/>
    <w:rsid w:val="7630676D"/>
    <w:rsid w:val="76320737"/>
    <w:rsid w:val="76350721"/>
    <w:rsid w:val="76360227"/>
    <w:rsid w:val="76375D4D"/>
    <w:rsid w:val="76392857"/>
    <w:rsid w:val="76393874"/>
    <w:rsid w:val="763E69A1"/>
    <w:rsid w:val="763F7606"/>
    <w:rsid w:val="76432944"/>
    <w:rsid w:val="764346F2"/>
    <w:rsid w:val="764364A0"/>
    <w:rsid w:val="76464DAE"/>
    <w:rsid w:val="76480F0D"/>
    <w:rsid w:val="764C557E"/>
    <w:rsid w:val="764D5571"/>
    <w:rsid w:val="764F753B"/>
    <w:rsid w:val="76505678"/>
    <w:rsid w:val="76521EE9"/>
    <w:rsid w:val="765468FF"/>
    <w:rsid w:val="76546C8E"/>
    <w:rsid w:val="76557EC3"/>
    <w:rsid w:val="765850E5"/>
    <w:rsid w:val="76595CC4"/>
    <w:rsid w:val="765B3F3C"/>
    <w:rsid w:val="7660015C"/>
    <w:rsid w:val="76621A67"/>
    <w:rsid w:val="76740D50"/>
    <w:rsid w:val="76760FC6"/>
    <w:rsid w:val="7677377C"/>
    <w:rsid w:val="767E397C"/>
    <w:rsid w:val="7680691D"/>
    <w:rsid w:val="76820CB3"/>
    <w:rsid w:val="768C7E47"/>
    <w:rsid w:val="768E2779"/>
    <w:rsid w:val="76967E0B"/>
    <w:rsid w:val="76976704"/>
    <w:rsid w:val="769B62DC"/>
    <w:rsid w:val="769C3384"/>
    <w:rsid w:val="769C3E9C"/>
    <w:rsid w:val="769D02A6"/>
    <w:rsid w:val="76A006B7"/>
    <w:rsid w:val="76A16094"/>
    <w:rsid w:val="76A24A57"/>
    <w:rsid w:val="76A40096"/>
    <w:rsid w:val="76A5715B"/>
    <w:rsid w:val="76A827A7"/>
    <w:rsid w:val="76A94245"/>
    <w:rsid w:val="76AD7DCD"/>
    <w:rsid w:val="76B50296"/>
    <w:rsid w:val="76B850E0"/>
    <w:rsid w:val="76BB24DB"/>
    <w:rsid w:val="76BB28DB"/>
    <w:rsid w:val="76BE1FCB"/>
    <w:rsid w:val="76C07BAD"/>
    <w:rsid w:val="76C1790D"/>
    <w:rsid w:val="76C20083"/>
    <w:rsid w:val="76C2663F"/>
    <w:rsid w:val="76C5219A"/>
    <w:rsid w:val="76C67C5F"/>
    <w:rsid w:val="76C770D1"/>
    <w:rsid w:val="76CE304C"/>
    <w:rsid w:val="76CF2B2C"/>
    <w:rsid w:val="76CF6212"/>
    <w:rsid w:val="76D10E1C"/>
    <w:rsid w:val="76D10FD2"/>
    <w:rsid w:val="76D17F50"/>
    <w:rsid w:val="76D3160A"/>
    <w:rsid w:val="76DA5EF6"/>
    <w:rsid w:val="76E45ED5"/>
    <w:rsid w:val="76E77774"/>
    <w:rsid w:val="76E934EC"/>
    <w:rsid w:val="76EA2E1A"/>
    <w:rsid w:val="76EA57E2"/>
    <w:rsid w:val="76EB7264"/>
    <w:rsid w:val="76EF7B2F"/>
    <w:rsid w:val="76F507BA"/>
    <w:rsid w:val="76F61FC1"/>
    <w:rsid w:val="76F81981"/>
    <w:rsid w:val="76F8372F"/>
    <w:rsid w:val="76FA1255"/>
    <w:rsid w:val="76FD1DA6"/>
    <w:rsid w:val="7702635B"/>
    <w:rsid w:val="77033A5D"/>
    <w:rsid w:val="77040325"/>
    <w:rsid w:val="77057BFA"/>
    <w:rsid w:val="77075720"/>
    <w:rsid w:val="77093EA9"/>
    <w:rsid w:val="770C7339"/>
    <w:rsid w:val="770D3F6E"/>
    <w:rsid w:val="770E2F52"/>
    <w:rsid w:val="771019C9"/>
    <w:rsid w:val="77147E3D"/>
    <w:rsid w:val="77155DD6"/>
    <w:rsid w:val="77162CEB"/>
    <w:rsid w:val="771678BB"/>
    <w:rsid w:val="77170059"/>
    <w:rsid w:val="77176D5C"/>
    <w:rsid w:val="771816DB"/>
    <w:rsid w:val="7718792D"/>
    <w:rsid w:val="771947C1"/>
    <w:rsid w:val="771C566F"/>
    <w:rsid w:val="772616E6"/>
    <w:rsid w:val="772618AB"/>
    <w:rsid w:val="77274014"/>
    <w:rsid w:val="772B3B04"/>
    <w:rsid w:val="772D6E8E"/>
    <w:rsid w:val="7730111A"/>
    <w:rsid w:val="773441D7"/>
    <w:rsid w:val="773C1DDE"/>
    <w:rsid w:val="773D6051"/>
    <w:rsid w:val="77413963"/>
    <w:rsid w:val="77426B90"/>
    <w:rsid w:val="774D3A7A"/>
    <w:rsid w:val="774D73D3"/>
    <w:rsid w:val="7755292F"/>
    <w:rsid w:val="775646F9"/>
    <w:rsid w:val="775841CD"/>
    <w:rsid w:val="77585F7B"/>
    <w:rsid w:val="775947BB"/>
    <w:rsid w:val="775B7285"/>
    <w:rsid w:val="775C3CBE"/>
    <w:rsid w:val="77601B0A"/>
    <w:rsid w:val="77602701"/>
    <w:rsid w:val="77610E74"/>
    <w:rsid w:val="7762504C"/>
    <w:rsid w:val="7763329E"/>
    <w:rsid w:val="7768182A"/>
    <w:rsid w:val="7769429B"/>
    <w:rsid w:val="776E39F1"/>
    <w:rsid w:val="776E7F62"/>
    <w:rsid w:val="776F3F7C"/>
    <w:rsid w:val="77701CC3"/>
    <w:rsid w:val="77702CAE"/>
    <w:rsid w:val="77702E64"/>
    <w:rsid w:val="77756346"/>
    <w:rsid w:val="77756B2D"/>
    <w:rsid w:val="77770943"/>
    <w:rsid w:val="777F79AC"/>
    <w:rsid w:val="77825150"/>
    <w:rsid w:val="77825766"/>
    <w:rsid w:val="778428C3"/>
    <w:rsid w:val="77844FC2"/>
    <w:rsid w:val="778576B9"/>
    <w:rsid w:val="77860D3A"/>
    <w:rsid w:val="77876861"/>
    <w:rsid w:val="778B45A3"/>
    <w:rsid w:val="778E6EBB"/>
    <w:rsid w:val="77925931"/>
    <w:rsid w:val="77931A6B"/>
    <w:rsid w:val="7797471D"/>
    <w:rsid w:val="7798281C"/>
    <w:rsid w:val="779C67B0"/>
    <w:rsid w:val="77A04281"/>
    <w:rsid w:val="77A37E61"/>
    <w:rsid w:val="77A81788"/>
    <w:rsid w:val="77A85521"/>
    <w:rsid w:val="77A86B72"/>
    <w:rsid w:val="77A92C7B"/>
    <w:rsid w:val="77A967D7"/>
    <w:rsid w:val="77AF64E3"/>
    <w:rsid w:val="77B05DB7"/>
    <w:rsid w:val="77B21058"/>
    <w:rsid w:val="77B23999"/>
    <w:rsid w:val="77B51620"/>
    <w:rsid w:val="77B5517C"/>
    <w:rsid w:val="77B86EDF"/>
    <w:rsid w:val="77B95E16"/>
    <w:rsid w:val="77BA03DD"/>
    <w:rsid w:val="77BC7D69"/>
    <w:rsid w:val="77BD2282"/>
    <w:rsid w:val="77C101CA"/>
    <w:rsid w:val="77C11FB8"/>
    <w:rsid w:val="77C35AEB"/>
    <w:rsid w:val="77C43611"/>
    <w:rsid w:val="77C44106"/>
    <w:rsid w:val="77C44C0A"/>
    <w:rsid w:val="77C57280"/>
    <w:rsid w:val="77C71A27"/>
    <w:rsid w:val="77C83101"/>
    <w:rsid w:val="77C86D16"/>
    <w:rsid w:val="77CA50CB"/>
    <w:rsid w:val="77CC3857"/>
    <w:rsid w:val="77CF345E"/>
    <w:rsid w:val="77D221D2"/>
    <w:rsid w:val="77D45F4A"/>
    <w:rsid w:val="77D5456F"/>
    <w:rsid w:val="77D73CB6"/>
    <w:rsid w:val="77D777E8"/>
    <w:rsid w:val="77D953F3"/>
    <w:rsid w:val="77DC5A62"/>
    <w:rsid w:val="77DD5AE3"/>
    <w:rsid w:val="77DE46D3"/>
    <w:rsid w:val="77E45A61"/>
    <w:rsid w:val="77E56115"/>
    <w:rsid w:val="77E71A63"/>
    <w:rsid w:val="77EA7C71"/>
    <w:rsid w:val="77EC0499"/>
    <w:rsid w:val="77F2017E"/>
    <w:rsid w:val="77F2077D"/>
    <w:rsid w:val="77F34477"/>
    <w:rsid w:val="77F474AF"/>
    <w:rsid w:val="78003B51"/>
    <w:rsid w:val="78052C62"/>
    <w:rsid w:val="78063C29"/>
    <w:rsid w:val="780815AD"/>
    <w:rsid w:val="78084D94"/>
    <w:rsid w:val="780B56E4"/>
    <w:rsid w:val="780C3400"/>
    <w:rsid w:val="780C357D"/>
    <w:rsid w:val="780E0B75"/>
    <w:rsid w:val="780E2ADE"/>
    <w:rsid w:val="780F50C8"/>
    <w:rsid w:val="78104AA8"/>
    <w:rsid w:val="78104B40"/>
    <w:rsid w:val="781246A1"/>
    <w:rsid w:val="78164330"/>
    <w:rsid w:val="78197E01"/>
    <w:rsid w:val="781C34BC"/>
    <w:rsid w:val="781E5814"/>
    <w:rsid w:val="781F6A99"/>
    <w:rsid w:val="7826619A"/>
    <w:rsid w:val="782A5B6A"/>
    <w:rsid w:val="782A6295"/>
    <w:rsid w:val="782D3BBB"/>
    <w:rsid w:val="783267CC"/>
    <w:rsid w:val="783449A1"/>
    <w:rsid w:val="78370287"/>
    <w:rsid w:val="783B1B25"/>
    <w:rsid w:val="783B448C"/>
    <w:rsid w:val="783D4589"/>
    <w:rsid w:val="783F628E"/>
    <w:rsid w:val="7840713B"/>
    <w:rsid w:val="78434E7D"/>
    <w:rsid w:val="78453AE9"/>
    <w:rsid w:val="78487104"/>
    <w:rsid w:val="78487861"/>
    <w:rsid w:val="78496E1F"/>
    <w:rsid w:val="784A042E"/>
    <w:rsid w:val="784C2545"/>
    <w:rsid w:val="784C57CA"/>
    <w:rsid w:val="784F3822"/>
    <w:rsid w:val="78505037"/>
    <w:rsid w:val="785349B5"/>
    <w:rsid w:val="78574485"/>
    <w:rsid w:val="7859644F"/>
    <w:rsid w:val="785B5D23"/>
    <w:rsid w:val="785E5813"/>
    <w:rsid w:val="7860158C"/>
    <w:rsid w:val="7863107C"/>
    <w:rsid w:val="78650950"/>
    <w:rsid w:val="78663523"/>
    <w:rsid w:val="78672E77"/>
    <w:rsid w:val="78686692"/>
    <w:rsid w:val="786F5C73"/>
    <w:rsid w:val="78700B0A"/>
    <w:rsid w:val="78725B8D"/>
    <w:rsid w:val="78732638"/>
    <w:rsid w:val="787365E2"/>
    <w:rsid w:val="78746DE5"/>
    <w:rsid w:val="7875549E"/>
    <w:rsid w:val="78755945"/>
    <w:rsid w:val="78797D0E"/>
    <w:rsid w:val="787B0173"/>
    <w:rsid w:val="787D213D"/>
    <w:rsid w:val="787E1A12"/>
    <w:rsid w:val="788039DC"/>
    <w:rsid w:val="78810918"/>
    <w:rsid w:val="78850FF2"/>
    <w:rsid w:val="78856B64"/>
    <w:rsid w:val="788860C0"/>
    <w:rsid w:val="78886D34"/>
    <w:rsid w:val="78896C5F"/>
    <w:rsid w:val="788B412F"/>
    <w:rsid w:val="788C2381"/>
    <w:rsid w:val="788C5901"/>
    <w:rsid w:val="788F116E"/>
    <w:rsid w:val="7890446C"/>
    <w:rsid w:val="78931961"/>
    <w:rsid w:val="78A143AA"/>
    <w:rsid w:val="78A34D73"/>
    <w:rsid w:val="78A376CA"/>
    <w:rsid w:val="78A55F58"/>
    <w:rsid w:val="78A70F68"/>
    <w:rsid w:val="78A84CE1"/>
    <w:rsid w:val="78A930D9"/>
    <w:rsid w:val="78AF42C1"/>
    <w:rsid w:val="78B10039"/>
    <w:rsid w:val="78B33DB1"/>
    <w:rsid w:val="78B35B5F"/>
    <w:rsid w:val="78B60950"/>
    <w:rsid w:val="78BB2C66"/>
    <w:rsid w:val="78BD1A3A"/>
    <w:rsid w:val="78BF7473"/>
    <w:rsid w:val="78C338C8"/>
    <w:rsid w:val="78C80EDF"/>
    <w:rsid w:val="78C91C66"/>
    <w:rsid w:val="78C95383"/>
    <w:rsid w:val="78CC4062"/>
    <w:rsid w:val="78CE2999"/>
    <w:rsid w:val="78D11D28"/>
    <w:rsid w:val="78DA631E"/>
    <w:rsid w:val="78E026CC"/>
    <w:rsid w:val="78E24696"/>
    <w:rsid w:val="78E26641"/>
    <w:rsid w:val="78E57CE3"/>
    <w:rsid w:val="78EA782E"/>
    <w:rsid w:val="78F1120A"/>
    <w:rsid w:val="78F3020C"/>
    <w:rsid w:val="78F4714F"/>
    <w:rsid w:val="78F55068"/>
    <w:rsid w:val="78F743CB"/>
    <w:rsid w:val="78F82897"/>
    <w:rsid w:val="78FD367E"/>
    <w:rsid w:val="78FD6DDA"/>
    <w:rsid w:val="79002D6F"/>
    <w:rsid w:val="79030169"/>
    <w:rsid w:val="7905564C"/>
    <w:rsid w:val="79055E20"/>
    <w:rsid w:val="7908351A"/>
    <w:rsid w:val="790E0FE8"/>
    <w:rsid w:val="79121CCD"/>
    <w:rsid w:val="79147A06"/>
    <w:rsid w:val="7915569C"/>
    <w:rsid w:val="79172B8D"/>
    <w:rsid w:val="79181E66"/>
    <w:rsid w:val="791A150E"/>
    <w:rsid w:val="791F1447"/>
    <w:rsid w:val="792275AD"/>
    <w:rsid w:val="792275BE"/>
    <w:rsid w:val="79254583"/>
    <w:rsid w:val="792627D5"/>
    <w:rsid w:val="79294073"/>
    <w:rsid w:val="79297BCF"/>
    <w:rsid w:val="792D7857"/>
    <w:rsid w:val="792E3438"/>
    <w:rsid w:val="792F0F5E"/>
    <w:rsid w:val="7930686C"/>
    <w:rsid w:val="79312F28"/>
    <w:rsid w:val="793149C1"/>
    <w:rsid w:val="79320109"/>
    <w:rsid w:val="793242EA"/>
    <w:rsid w:val="79386064"/>
    <w:rsid w:val="79396C17"/>
    <w:rsid w:val="794159AF"/>
    <w:rsid w:val="79424A4D"/>
    <w:rsid w:val="794373B1"/>
    <w:rsid w:val="79480103"/>
    <w:rsid w:val="794A52AF"/>
    <w:rsid w:val="794B3FEA"/>
    <w:rsid w:val="794C1B10"/>
    <w:rsid w:val="794C2F0D"/>
    <w:rsid w:val="794C7B60"/>
    <w:rsid w:val="794D439D"/>
    <w:rsid w:val="794E3ADA"/>
    <w:rsid w:val="794E5888"/>
    <w:rsid w:val="79506C54"/>
    <w:rsid w:val="795073E0"/>
    <w:rsid w:val="79507852"/>
    <w:rsid w:val="79507AB6"/>
    <w:rsid w:val="79532E9E"/>
    <w:rsid w:val="79552D6D"/>
    <w:rsid w:val="795804B5"/>
    <w:rsid w:val="795A247F"/>
    <w:rsid w:val="795B7FA5"/>
    <w:rsid w:val="795D3A81"/>
    <w:rsid w:val="795E25FE"/>
    <w:rsid w:val="795E5221"/>
    <w:rsid w:val="795F1843"/>
    <w:rsid w:val="79621333"/>
    <w:rsid w:val="796230E1"/>
    <w:rsid w:val="79646E59"/>
    <w:rsid w:val="796636FB"/>
    <w:rsid w:val="796763D4"/>
    <w:rsid w:val="796C5147"/>
    <w:rsid w:val="796D6DEC"/>
    <w:rsid w:val="796E1F5F"/>
    <w:rsid w:val="79711576"/>
    <w:rsid w:val="79775CD1"/>
    <w:rsid w:val="79797086"/>
    <w:rsid w:val="797E3479"/>
    <w:rsid w:val="797F3C93"/>
    <w:rsid w:val="797F43EE"/>
    <w:rsid w:val="7981516C"/>
    <w:rsid w:val="798457CB"/>
    <w:rsid w:val="79856DD0"/>
    <w:rsid w:val="79882CF8"/>
    <w:rsid w:val="7989246C"/>
    <w:rsid w:val="798A0C7E"/>
    <w:rsid w:val="798B6ADC"/>
    <w:rsid w:val="798C03A0"/>
    <w:rsid w:val="798D0356"/>
    <w:rsid w:val="798E6C46"/>
    <w:rsid w:val="798F7942"/>
    <w:rsid w:val="79907C4E"/>
    <w:rsid w:val="799139C7"/>
    <w:rsid w:val="799314ED"/>
    <w:rsid w:val="79975481"/>
    <w:rsid w:val="79984D55"/>
    <w:rsid w:val="799C4845"/>
    <w:rsid w:val="799D05BD"/>
    <w:rsid w:val="799F3431"/>
    <w:rsid w:val="79A27982"/>
    <w:rsid w:val="79A335C3"/>
    <w:rsid w:val="79A35446"/>
    <w:rsid w:val="79A454A8"/>
    <w:rsid w:val="79A547A8"/>
    <w:rsid w:val="79A61220"/>
    <w:rsid w:val="79A6126A"/>
    <w:rsid w:val="79A978C7"/>
    <w:rsid w:val="79A978F4"/>
    <w:rsid w:val="79AA18D9"/>
    <w:rsid w:val="79AA36CA"/>
    <w:rsid w:val="79B4528C"/>
    <w:rsid w:val="79B511C2"/>
    <w:rsid w:val="79B67B89"/>
    <w:rsid w:val="79B847EB"/>
    <w:rsid w:val="79BA4CCB"/>
    <w:rsid w:val="79BC37E9"/>
    <w:rsid w:val="79BF322E"/>
    <w:rsid w:val="79C24075"/>
    <w:rsid w:val="79C30024"/>
    <w:rsid w:val="79C4281B"/>
    <w:rsid w:val="79C652C9"/>
    <w:rsid w:val="79CA57D3"/>
    <w:rsid w:val="79CC738B"/>
    <w:rsid w:val="79CE0777"/>
    <w:rsid w:val="79D11E36"/>
    <w:rsid w:val="79D25064"/>
    <w:rsid w:val="79D34622"/>
    <w:rsid w:val="79D43BE1"/>
    <w:rsid w:val="79D659A9"/>
    <w:rsid w:val="79D7229C"/>
    <w:rsid w:val="79E000CD"/>
    <w:rsid w:val="79E63D12"/>
    <w:rsid w:val="79E93803"/>
    <w:rsid w:val="79EE0E19"/>
    <w:rsid w:val="79EE2C15"/>
    <w:rsid w:val="79F01271"/>
    <w:rsid w:val="79F0261A"/>
    <w:rsid w:val="79F06E8E"/>
    <w:rsid w:val="79F253B8"/>
    <w:rsid w:val="79F30242"/>
    <w:rsid w:val="79F53F55"/>
    <w:rsid w:val="79F6478D"/>
    <w:rsid w:val="79FA156C"/>
    <w:rsid w:val="79FA5A10"/>
    <w:rsid w:val="79FA77BE"/>
    <w:rsid w:val="79FE3C04"/>
    <w:rsid w:val="7A021182"/>
    <w:rsid w:val="7A0D046A"/>
    <w:rsid w:val="7A102B3D"/>
    <w:rsid w:val="7A166948"/>
    <w:rsid w:val="7A171974"/>
    <w:rsid w:val="7A1B68CA"/>
    <w:rsid w:val="7A1C1852"/>
    <w:rsid w:val="7A1C78F0"/>
    <w:rsid w:val="7A1D2509"/>
    <w:rsid w:val="7A1E525A"/>
    <w:rsid w:val="7A1E71CA"/>
    <w:rsid w:val="7A232386"/>
    <w:rsid w:val="7A2A5002"/>
    <w:rsid w:val="7A2B5BC9"/>
    <w:rsid w:val="7A350790"/>
    <w:rsid w:val="7A37624F"/>
    <w:rsid w:val="7A39665C"/>
    <w:rsid w:val="7A3B22B0"/>
    <w:rsid w:val="7A3B6881"/>
    <w:rsid w:val="7A3D4434"/>
    <w:rsid w:val="7A3F3423"/>
    <w:rsid w:val="7A454623"/>
    <w:rsid w:val="7A454F71"/>
    <w:rsid w:val="7A456C8B"/>
    <w:rsid w:val="7A462A03"/>
    <w:rsid w:val="7A480529"/>
    <w:rsid w:val="7A4A24F3"/>
    <w:rsid w:val="7A4D1FE3"/>
    <w:rsid w:val="7A5113F9"/>
    <w:rsid w:val="7A56161A"/>
    <w:rsid w:val="7A570902"/>
    <w:rsid w:val="7A624E3A"/>
    <w:rsid w:val="7A6335B5"/>
    <w:rsid w:val="7A633F13"/>
    <w:rsid w:val="7A63567B"/>
    <w:rsid w:val="7A644541"/>
    <w:rsid w:val="7A644718"/>
    <w:rsid w:val="7A684AAF"/>
    <w:rsid w:val="7A6C06BC"/>
    <w:rsid w:val="7A7269D5"/>
    <w:rsid w:val="7A7516DD"/>
    <w:rsid w:val="7A7632E8"/>
    <w:rsid w:val="7A7B5277"/>
    <w:rsid w:val="7A7F5209"/>
    <w:rsid w:val="7A810770"/>
    <w:rsid w:val="7A810ADB"/>
    <w:rsid w:val="7A814A43"/>
    <w:rsid w:val="7A831561"/>
    <w:rsid w:val="7A843F04"/>
    <w:rsid w:val="7A861051"/>
    <w:rsid w:val="7A872C09"/>
    <w:rsid w:val="7A8A6D94"/>
    <w:rsid w:val="7A8E4586"/>
    <w:rsid w:val="7A8F3B44"/>
    <w:rsid w:val="7A9279F6"/>
    <w:rsid w:val="7A953ACC"/>
    <w:rsid w:val="7A976450"/>
    <w:rsid w:val="7A992B33"/>
    <w:rsid w:val="7A9B107F"/>
    <w:rsid w:val="7A9B4AFD"/>
    <w:rsid w:val="7A9B74F0"/>
    <w:rsid w:val="7A9D6321"/>
    <w:rsid w:val="7A9E62BF"/>
    <w:rsid w:val="7A9E7181"/>
    <w:rsid w:val="7AA00365"/>
    <w:rsid w:val="7AA150CA"/>
    <w:rsid w:val="7AA240DD"/>
    <w:rsid w:val="7AA5772A"/>
    <w:rsid w:val="7AA6024F"/>
    <w:rsid w:val="7AA63F0F"/>
    <w:rsid w:val="7AA8721A"/>
    <w:rsid w:val="7AA91DAC"/>
    <w:rsid w:val="7AA95FB1"/>
    <w:rsid w:val="7AAE6A84"/>
    <w:rsid w:val="7AAF2356"/>
    <w:rsid w:val="7AAF380F"/>
    <w:rsid w:val="7AB10ECB"/>
    <w:rsid w:val="7AB61937"/>
    <w:rsid w:val="7AB756AF"/>
    <w:rsid w:val="7ABC1938"/>
    <w:rsid w:val="7ABD0F17"/>
    <w:rsid w:val="7ABD5BC0"/>
    <w:rsid w:val="7ABE4881"/>
    <w:rsid w:val="7AC1749D"/>
    <w:rsid w:val="7AC322A6"/>
    <w:rsid w:val="7AC8079C"/>
    <w:rsid w:val="7AC878BC"/>
    <w:rsid w:val="7AC94D0C"/>
    <w:rsid w:val="7ACA53E2"/>
    <w:rsid w:val="7ACB3368"/>
    <w:rsid w:val="7ACC115A"/>
    <w:rsid w:val="7AD31B1A"/>
    <w:rsid w:val="7ADB4DD1"/>
    <w:rsid w:val="7ADD519D"/>
    <w:rsid w:val="7ADE49EA"/>
    <w:rsid w:val="7AE42945"/>
    <w:rsid w:val="7AE52552"/>
    <w:rsid w:val="7AEA5A84"/>
    <w:rsid w:val="7AED4D37"/>
    <w:rsid w:val="7AEE44F0"/>
    <w:rsid w:val="7AF661D7"/>
    <w:rsid w:val="7AF67B71"/>
    <w:rsid w:val="7AF745AA"/>
    <w:rsid w:val="7B007056"/>
    <w:rsid w:val="7B020C68"/>
    <w:rsid w:val="7B0528FD"/>
    <w:rsid w:val="7B0A3A31"/>
    <w:rsid w:val="7B0A5B5F"/>
    <w:rsid w:val="7B102D5B"/>
    <w:rsid w:val="7B107684"/>
    <w:rsid w:val="7B110F3C"/>
    <w:rsid w:val="7B111613"/>
    <w:rsid w:val="7B1623D5"/>
    <w:rsid w:val="7B165BB8"/>
    <w:rsid w:val="7B211E02"/>
    <w:rsid w:val="7B221A0A"/>
    <w:rsid w:val="7B231500"/>
    <w:rsid w:val="7B253576"/>
    <w:rsid w:val="7B292109"/>
    <w:rsid w:val="7B2C6EB1"/>
    <w:rsid w:val="7B2E3BC3"/>
    <w:rsid w:val="7B2F5245"/>
    <w:rsid w:val="7B304708"/>
    <w:rsid w:val="7B315B6D"/>
    <w:rsid w:val="7B346CFF"/>
    <w:rsid w:val="7B356567"/>
    <w:rsid w:val="7B3665D4"/>
    <w:rsid w:val="7B39435C"/>
    <w:rsid w:val="7B3960C4"/>
    <w:rsid w:val="7B3D051E"/>
    <w:rsid w:val="7B3D6FD2"/>
    <w:rsid w:val="7B3E36DA"/>
    <w:rsid w:val="7B4038F6"/>
    <w:rsid w:val="7B421447"/>
    <w:rsid w:val="7B4334C7"/>
    <w:rsid w:val="7B446F42"/>
    <w:rsid w:val="7B4A7843"/>
    <w:rsid w:val="7B4C1BE3"/>
    <w:rsid w:val="7B4D42CB"/>
    <w:rsid w:val="7B4F58E7"/>
    <w:rsid w:val="7B52368C"/>
    <w:rsid w:val="7B566C76"/>
    <w:rsid w:val="7B58269F"/>
    <w:rsid w:val="7B5842A9"/>
    <w:rsid w:val="7B594DD6"/>
    <w:rsid w:val="7B5C2BD2"/>
    <w:rsid w:val="7B5E1F34"/>
    <w:rsid w:val="7B607AF4"/>
    <w:rsid w:val="7B616180"/>
    <w:rsid w:val="7B620D71"/>
    <w:rsid w:val="7B643141"/>
    <w:rsid w:val="7B6A569E"/>
    <w:rsid w:val="7B6E5D6D"/>
    <w:rsid w:val="7B7064FA"/>
    <w:rsid w:val="7B716301"/>
    <w:rsid w:val="7B722DAC"/>
    <w:rsid w:val="7B7517F2"/>
    <w:rsid w:val="7B780783"/>
    <w:rsid w:val="7B7A0BB6"/>
    <w:rsid w:val="7B7A6E08"/>
    <w:rsid w:val="7B7F1446"/>
    <w:rsid w:val="7B827A6B"/>
    <w:rsid w:val="7B8557BC"/>
    <w:rsid w:val="7B8639A2"/>
    <w:rsid w:val="7B863B58"/>
    <w:rsid w:val="7B871525"/>
    <w:rsid w:val="7B883702"/>
    <w:rsid w:val="7B8A743C"/>
    <w:rsid w:val="7B8C08E9"/>
    <w:rsid w:val="7B93399C"/>
    <w:rsid w:val="7B94617F"/>
    <w:rsid w:val="7B947F8D"/>
    <w:rsid w:val="7B95154C"/>
    <w:rsid w:val="7B9652C4"/>
    <w:rsid w:val="7B97358F"/>
    <w:rsid w:val="7B9C3A97"/>
    <w:rsid w:val="7BA21EBB"/>
    <w:rsid w:val="7BA3748A"/>
    <w:rsid w:val="7BA936B9"/>
    <w:rsid w:val="7BAA7C14"/>
    <w:rsid w:val="7BAE0860"/>
    <w:rsid w:val="7BAF0164"/>
    <w:rsid w:val="7BB17F4B"/>
    <w:rsid w:val="7BB21B01"/>
    <w:rsid w:val="7BB30D54"/>
    <w:rsid w:val="7BB340C8"/>
    <w:rsid w:val="7BB35E76"/>
    <w:rsid w:val="7BB544F2"/>
    <w:rsid w:val="7BB85132"/>
    <w:rsid w:val="7BB97BA2"/>
    <w:rsid w:val="7BBB65FE"/>
    <w:rsid w:val="7BBF0764"/>
    <w:rsid w:val="7BC23010"/>
    <w:rsid w:val="7BC67F90"/>
    <w:rsid w:val="7BC8057C"/>
    <w:rsid w:val="7BC934AC"/>
    <w:rsid w:val="7BCE6B3D"/>
    <w:rsid w:val="7BCE7A1D"/>
    <w:rsid w:val="7BD0061C"/>
    <w:rsid w:val="7BD06079"/>
    <w:rsid w:val="7BDA1655"/>
    <w:rsid w:val="7BDB211A"/>
    <w:rsid w:val="7BDE7DCD"/>
    <w:rsid w:val="7BE2675B"/>
    <w:rsid w:val="7BE4178B"/>
    <w:rsid w:val="7BE47080"/>
    <w:rsid w:val="7BE55C9F"/>
    <w:rsid w:val="7BE91898"/>
    <w:rsid w:val="7BEC5703"/>
    <w:rsid w:val="7BED557B"/>
    <w:rsid w:val="7BEE3352"/>
    <w:rsid w:val="7BF64053"/>
    <w:rsid w:val="7BFA1CF7"/>
    <w:rsid w:val="7BFA6252"/>
    <w:rsid w:val="7BFA6408"/>
    <w:rsid w:val="7BFE17E7"/>
    <w:rsid w:val="7C005410"/>
    <w:rsid w:val="7C0334C5"/>
    <w:rsid w:val="7C0469D6"/>
    <w:rsid w:val="7C0641F8"/>
    <w:rsid w:val="7C156B31"/>
    <w:rsid w:val="7C174418"/>
    <w:rsid w:val="7C1B3BD2"/>
    <w:rsid w:val="7C1B430A"/>
    <w:rsid w:val="7C1F275F"/>
    <w:rsid w:val="7C25567E"/>
    <w:rsid w:val="7C263DBF"/>
    <w:rsid w:val="7C29201E"/>
    <w:rsid w:val="7C2A25DC"/>
    <w:rsid w:val="7C326D05"/>
    <w:rsid w:val="7C350056"/>
    <w:rsid w:val="7C391BA6"/>
    <w:rsid w:val="7C3D688A"/>
    <w:rsid w:val="7C3F1B77"/>
    <w:rsid w:val="7C3F770A"/>
    <w:rsid w:val="7C43369E"/>
    <w:rsid w:val="7C464F3C"/>
    <w:rsid w:val="7C480A5D"/>
    <w:rsid w:val="7C49114F"/>
    <w:rsid w:val="7C4C370C"/>
    <w:rsid w:val="7C4F3DF1"/>
    <w:rsid w:val="7C502F55"/>
    <w:rsid w:val="7C51421E"/>
    <w:rsid w:val="7C516BDF"/>
    <w:rsid w:val="7C523EB3"/>
    <w:rsid w:val="7C532A30"/>
    <w:rsid w:val="7C551BF0"/>
    <w:rsid w:val="7C58454B"/>
    <w:rsid w:val="7C5B09E8"/>
    <w:rsid w:val="7C602892"/>
    <w:rsid w:val="7C615A99"/>
    <w:rsid w:val="7C6F042B"/>
    <w:rsid w:val="7C75137E"/>
    <w:rsid w:val="7C7A36F2"/>
    <w:rsid w:val="7C7A4C2F"/>
    <w:rsid w:val="7C7D02BA"/>
    <w:rsid w:val="7C7F10AF"/>
    <w:rsid w:val="7C7F15D0"/>
    <w:rsid w:val="7C813BDA"/>
    <w:rsid w:val="7C84725A"/>
    <w:rsid w:val="7C8543F1"/>
    <w:rsid w:val="7C8617DD"/>
    <w:rsid w:val="7C8A41BB"/>
    <w:rsid w:val="7C8C2AE3"/>
    <w:rsid w:val="7C8D66C7"/>
    <w:rsid w:val="7C991510"/>
    <w:rsid w:val="7C995DBC"/>
    <w:rsid w:val="7C9E6B26"/>
    <w:rsid w:val="7CA51C63"/>
    <w:rsid w:val="7CA659DB"/>
    <w:rsid w:val="7CA73DB1"/>
    <w:rsid w:val="7CA81807"/>
    <w:rsid w:val="7CAA0691"/>
    <w:rsid w:val="7CAA0D67"/>
    <w:rsid w:val="7CAC6BBE"/>
    <w:rsid w:val="7CB05F71"/>
    <w:rsid w:val="7CB17B01"/>
    <w:rsid w:val="7CB37868"/>
    <w:rsid w:val="7CB74D32"/>
    <w:rsid w:val="7CB83A65"/>
    <w:rsid w:val="7CBC1A07"/>
    <w:rsid w:val="7CBE0F77"/>
    <w:rsid w:val="7CC25F85"/>
    <w:rsid w:val="7CC3658D"/>
    <w:rsid w:val="7CC43EF5"/>
    <w:rsid w:val="7CC571A4"/>
    <w:rsid w:val="7CCB71F0"/>
    <w:rsid w:val="7CCD11BA"/>
    <w:rsid w:val="7CCD2F68"/>
    <w:rsid w:val="7CCF0A8E"/>
    <w:rsid w:val="7CD23ADC"/>
    <w:rsid w:val="7CD66560"/>
    <w:rsid w:val="7CD90809"/>
    <w:rsid w:val="7CDC13FD"/>
    <w:rsid w:val="7CE00658"/>
    <w:rsid w:val="7CE043F9"/>
    <w:rsid w:val="7CE111F7"/>
    <w:rsid w:val="7CE24C65"/>
    <w:rsid w:val="7CE303AF"/>
    <w:rsid w:val="7CE87DA1"/>
    <w:rsid w:val="7CED4C1F"/>
    <w:rsid w:val="7CF24C2C"/>
    <w:rsid w:val="7CF446B6"/>
    <w:rsid w:val="7CF46746"/>
    <w:rsid w:val="7CF91FAF"/>
    <w:rsid w:val="7CFE1373"/>
    <w:rsid w:val="7CFE4CB3"/>
    <w:rsid w:val="7D000640"/>
    <w:rsid w:val="7D02665D"/>
    <w:rsid w:val="7D080444"/>
    <w:rsid w:val="7D084B43"/>
    <w:rsid w:val="7D0C3A90"/>
    <w:rsid w:val="7D0F3580"/>
    <w:rsid w:val="7D100FEF"/>
    <w:rsid w:val="7D1110A6"/>
    <w:rsid w:val="7D124071"/>
    <w:rsid w:val="7D13776F"/>
    <w:rsid w:val="7D14662D"/>
    <w:rsid w:val="7D1564DB"/>
    <w:rsid w:val="7D196E33"/>
    <w:rsid w:val="7D1B1F25"/>
    <w:rsid w:val="7D1D472F"/>
    <w:rsid w:val="7D1D6927"/>
    <w:rsid w:val="7D20578D"/>
    <w:rsid w:val="7D230427"/>
    <w:rsid w:val="7D231D04"/>
    <w:rsid w:val="7D2747F6"/>
    <w:rsid w:val="7D284642"/>
    <w:rsid w:val="7D285395"/>
    <w:rsid w:val="7D2863F0"/>
    <w:rsid w:val="7D295799"/>
    <w:rsid w:val="7D2A6A4D"/>
    <w:rsid w:val="7D31153F"/>
    <w:rsid w:val="7D356D6C"/>
    <w:rsid w:val="7D392B2F"/>
    <w:rsid w:val="7D3B25C7"/>
    <w:rsid w:val="7D3D605E"/>
    <w:rsid w:val="7D423956"/>
    <w:rsid w:val="7D44147C"/>
    <w:rsid w:val="7D4476CE"/>
    <w:rsid w:val="7D4C0330"/>
    <w:rsid w:val="7D4C6582"/>
    <w:rsid w:val="7D5176F5"/>
    <w:rsid w:val="7D5611AF"/>
    <w:rsid w:val="7D5645DA"/>
    <w:rsid w:val="7D593B15"/>
    <w:rsid w:val="7D5D597C"/>
    <w:rsid w:val="7D5E0407"/>
    <w:rsid w:val="7D627B54"/>
    <w:rsid w:val="7D64211D"/>
    <w:rsid w:val="7D6438CC"/>
    <w:rsid w:val="7D6873BE"/>
    <w:rsid w:val="7D711B45"/>
    <w:rsid w:val="7D730B4C"/>
    <w:rsid w:val="7D75194E"/>
    <w:rsid w:val="7D830876"/>
    <w:rsid w:val="7D834802"/>
    <w:rsid w:val="7D83508E"/>
    <w:rsid w:val="7D893333"/>
    <w:rsid w:val="7D8A13ED"/>
    <w:rsid w:val="7D8E63F3"/>
    <w:rsid w:val="7D9023B0"/>
    <w:rsid w:val="7D935DC6"/>
    <w:rsid w:val="7D937D0D"/>
    <w:rsid w:val="7D943D0B"/>
    <w:rsid w:val="7D9615AC"/>
    <w:rsid w:val="7D986F5E"/>
    <w:rsid w:val="7D99109C"/>
    <w:rsid w:val="7D9B3066"/>
    <w:rsid w:val="7D9B4E14"/>
    <w:rsid w:val="7D9F66B2"/>
    <w:rsid w:val="7DA01451"/>
    <w:rsid w:val="7DA12BC2"/>
    <w:rsid w:val="7DA272B5"/>
    <w:rsid w:val="7DA714F5"/>
    <w:rsid w:val="7DAA5057"/>
    <w:rsid w:val="7DAD0A42"/>
    <w:rsid w:val="7DB15F8F"/>
    <w:rsid w:val="7DB859C6"/>
    <w:rsid w:val="7DB958D8"/>
    <w:rsid w:val="7DBB54B6"/>
    <w:rsid w:val="7DBF4546"/>
    <w:rsid w:val="7DC75C09"/>
    <w:rsid w:val="7DD10836"/>
    <w:rsid w:val="7DD11615"/>
    <w:rsid w:val="7DD16A88"/>
    <w:rsid w:val="7DD24CD9"/>
    <w:rsid w:val="7DDA2EA4"/>
    <w:rsid w:val="7DDA4461"/>
    <w:rsid w:val="7DDC1A7B"/>
    <w:rsid w:val="7DDC7906"/>
    <w:rsid w:val="7DE41F8A"/>
    <w:rsid w:val="7DE467BB"/>
    <w:rsid w:val="7DE55306"/>
    <w:rsid w:val="7DE65EF4"/>
    <w:rsid w:val="7DE844FD"/>
    <w:rsid w:val="7DEB3C9B"/>
    <w:rsid w:val="7DF438B1"/>
    <w:rsid w:val="7DF958C3"/>
    <w:rsid w:val="7DFA5FDE"/>
    <w:rsid w:val="7DFD162B"/>
    <w:rsid w:val="7DFF3D0F"/>
    <w:rsid w:val="7DFF7A00"/>
    <w:rsid w:val="7E011C07"/>
    <w:rsid w:val="7E011EBB"/>
    <w:rsid w:val="7E0135FC"/>
    <w:rsid w:val="7E026A83"/>
    <w:rsid w:val="7E061524"/>
    <w:rsid w:val="7E0C3112"/>
    <w:rsid w:val="7E0F4C67"/>
    <w:rsid w:val="7E105802"/>
    <w:rsid w:val="7E1626EC"/>
    <w:rsid w:val="7E16287D"/>
    <w:rsid w:val="7E1634A5"/>
    <w:rsid w:val="7E1846B6"/>
    <w:rsid w:val="7E1C1010"/>
    <w:rsid w:val="7E1C5F55"/>
    <w:rsid w:val="7E221091"/>
    <w:rsid w:val="7E236849"/>
    <w:rsid w:val="7E257192"/>
    <w:rsid w:val="7E282891"/>
    <w:rsid w:val="7E29518D"/>
    <w:rsid w:val="7E2968C4"/>
    <w:rsid w:val="7E2A3C98"/>
    <w:rsid w:val="7E2B43EA"/>
    <w:rsid w:val="7E2C39AD"/>
    <w:rsid w:val="7E3037AE"/>
    <w:rsid w:val="7E3105B5"/>
    <w:rsid w:val="7E315783"/>
    <w:rsid w:val="7E3163C9"/>
    <w:rsid w:val="7E353820"/>
    <w:rsid w:val="7E3A6EB0"/>
    <w:rsid w:val="7E3C65F7"/>
    <w:rsid w:val="7E3F66FF"/>
    <w:rsid w:val="7E412015"/>
    <w:rsid w:val="7E4159BB"/>
    <w:rsid w:val="7E444CE2"/>
    <w:rsid w:val="7E467CE8"/>
    <w:rsid w:val="7E490D14"/>
    <w:rsid w:val="7E4B64CB"/>
    <w:rsid w:val="7E4C0A98"/>
    <w:rsid w:val="7E4E00D8"/>
    <w:rsid w:val="7E4F4B5D"/>
    <w:rsid w:val="7E5036DA"/>
    <w:rsid w:val="7E503E50"/>
    <w:rsid w:val="7E5042D1"/>
    <w:rsid w:val="7E51336F"/>
    <w:rsid w:val="7E543940"/>
    <w:rsid w:val="7E5E1B1E"/>
    <w:rsid w:val="7E5E6FCF"/>
    <w:rsid w:val="7E610A91"/>
    <w:rsid w:val="7E6348A2"/>
    <w:rsid w:val="7E654238"/>
    <w:rsid w:val="7E656734"/>
    <w:rsid w:val="7E66131A"/>
    <w:rsid w:val="7E6A3164"/>
    <w:rsid w:val="7E6D67B0"/>
    <w:rsid w:val="7E6E7C52"/>
    <w:rsid w:val="7E70429E"/>
    <w:rsid w:val="7E775881"/>
    <w:rsid w:val="7E7A0ECD"/>
    <w:rsid w:val="7E7B0B36"/>
    <w:rsid w:val="7E7C69F3"/>
    <w:rsid w:val="7E7F1C99"/>
    <w:rsid w:val="7E7F64E4"/>
    <w:rsid w:val="7E807D63"/>
    <w:rsid w:val="7E887B3D"/>
    <w:rsid w:val="7E8A7362"/>
    <w:rsid w:val="7E8B4DC2"/>
    <w:rsid w:val="7E8F3C3B"/>
    <w:rsid w:val="7E91716E"/>
    <w:rsid w:val="7E926217"/>
    <w:rsid w:val="7E933D3D"/>
    <w:rsid w:val="7E962D6C"/>
    <w:rsid w:val="7E966CD5"/>
    <w:rsid w:val="7E9A6830"/>
    <w:rsid w:val="7E9C305C"/>
    <w:rsid w:val="7E9F7195"/>
    <w:rsid w:val="7EA146AC"/>
    <w:rsid w:val="7EA22D23"/>
    <w:rsid w:val="7EA321D2"/>
    <w:rsid w:val="7EA4445E"/>
    <w:rsid w:val="7EA816A6"/>
    <w:rsid w:val="7EA87DD3"/>
    <w:rsid w:val="7EAC0FD8"/>
    <w:rsid w:val="7EB0669D"/>
    <w:rsid w:val="7EB21FDA"/>
    <w:rsid w:val="7EB27693"/>
    <w:rsid w:val="7EB45B92"/>
    <w:rsid w:val="7EB50157"/>
    <w:rsid w:val="7EB51F05"/>
    <w:rsid w:val="7EB64483"/>
    <w:rsid w:val="7EB737AD"/>
    <w:rsid w:val="7EB919F5"/>
    <w:rsid w:val="7EBA751C"/>
    <w:rsid w:val="7EBB4972"/>
    <w:rsid w:val="7EBC09D3"/>
    <w:rsid w:val="7EBE0DBA"/>
    <w:rsid w:val="7EC27370"/>
    <w:rsid w:val="7EC32874"/>
    <w:rsid w:val="7EC33B5B"/>
    <w:rsid w:val="7EC550D4"/>
    <w:rsid w:val="7ECB797B"/>
    <w:rsid w:val="7ECD3B93"/>
    <w:rsid w:val="7ECE2DE8"/>
    <w:rsid w:val="7ECF746B"/>
    <w:rsid w:val="7ED22AB7"/>
    <w:rsid w:val="7ED24865"/>
    <w:rsid w:val="7ED34089"/>
    <w:rsid w:val="7ED54355"/>
    <w:rsid w:val="7ED56104"/>
    <w:rsid w:val="7EDC687C"/>
    <w:rsid w:val="7EDE320A"/>
    <w:rsid w:val="7EDE76AE"/>
    <w:rsid w:val="7EE022EC"/>
    <w:rsid w:val="7EE13986"/>
    <w:rsid w:val="7EE14A37"/>
    <w:rsid w:val="7EE36A72"/>
    <w:rsid w:val="7EEA6053"/>
    <w:rsid w:val="7EEA60E2"/>
    <w:rsid w:val="7EF53BA3"/>
    <w:rsid w:val="7EF61719"/>
    <w:rsid w:val="7EF668DA"/>
    <w:rsid w:val="7EF7251E"/>
    <w:rsid w:val="7EF74BC5"/>
    <w:rsid w:val="7EF90044"/>
    <w:rsid w:val="7EFB4DA9"/>
    <w:rsid w:val="7EFE1AFE"/>
    <w:rsid w:val="7EFE565A"/>
    <w:rsid w:val="7EFF7672"/>
    <w:rsid w:val="7F005876"/>
    <w:rsid w:val="7F032C71"/>
    <w:rsid w:val="7F037115"/>
    <w:rsid w:val="7F043FDA"/>
    <w:rsid w:val="7F0709B3"/>
    <w:rsid w:val="7F0D33EA"/>
    <w:rsid w:val="7F0E15C3"/>
    <w:rsid w:val="7F0F01B1"/>
    <w:rsid w:val="7F0F1615"/>
    <w:rsid w:val="7F10538E"/>
    <w:rsid w:val="7F111831"/>
    <w:rsid w:val="7F17671C"/>
    <w:rsid w:val="7F187083"/>
    <w:rsid w:val="7F1906E6"/>
    <w:rsid w:val="7F1C410C"/>
    <w:rsid w:val="7F1D01D6"/>
    <w:rsid w:val="7F207CC7"/>
    <w:rsid w:val="7F221CF3"/>
    <w:rsid w:val="7F2257ED"/>
    <w:rsid w:val="7F273AF0"/>
    <w:rsid w:val="7F286B7B"/>
    <w:rsid w:val="7F2A46A1"/>
    <w:rsid w:val="7F2E0034"/>
    <w:rsid w:val="7F2E5DD9"/>
    <w:rsid w:val="7F313C82"/>
    <w:rsid w:val="7F3361BC"/>
    <w:rsid w:val="7F3731B0"/>
    <w:rsid w:val="7F390684"/>
    <w:rsid w:val="7F431AE6"/>
    <w:rsid w:val="7F431CAA"/>
    <w:rsid w:val="7F4553FC"/>
    <w:rsid w:val="7F4A4D43"/>
    <w:rsid w:val="7F4E65E2"/>
    <w:rsid w:val="7F4F20F6"/>
    <w:rsid w:val="7F511C2E"/>
    <w:rsid w:val="7F5140F2"/>
    <w:rsid w:val="7F531E4A"/>
    <w:rsid w:val="7F547198"/>
    <w:rsid w:val="7F5642BF"/>
    <w:rsid w:val="7F567244"/>
    <w:rsid w:val="7F574F68"/>
    <w:rsid w:val="7F58028B"/>
    <w:rsid w:val="7F581804"/>
    <w:rsid w:val="7F5C05D3"/>
    <w:rsid w:val="7F5E434B"/>
    <w:rsid w:val="7F606FAC"/>
    <w:rsid w:val="7F631961"/>
    <w:rsid w:val="7F647934"/>
    <w:rsid w:val="7F651B7D"/>
    <w:rsid w:val="7F65392B"/>
    <w:rsid w:val="7F6578FB"/>
    <w:rsid w:val="7F6B7C6A"/>
    <w:rsid w:val="7F6C1C9F"/>
    <w:rsid w:val="7F6C6A68"/>
    <w:rsid w:val="7F6D1DA4"/>
    <w:rsid w:val="7F717E07"/>
    <w:rsid w:val="7F7469E7"/>
    <w:rsid w:val="7F773F3A"/>
    <w:rsid w:val="7F78097A"/>
    <w:rsid w:val="7F7D6EC7"/>
    <w:rsid w:val="7F840255"/>
    <w:rsid w:val="7F846955"/>
    <w:rsid w:val="7F8B7760"/>
    <w:rsid w:val="7F8D69DE"/>
    <w:rsid w:val="7F8E06CB"/>
    <w:rsid w:val="7F8E2E82"/>
    <w:rsid w:val="7F8F09A8"/>
    <w:rsid w:val="7F8F61BD"/>
    <w:rsid w:val="7F912972"/>
    <w:rsid w:val="7F93152C"/>
    <w:rsid w:val="7F995FAD"/>
    <w:rsid w:val="7F9B734D"/>
    <w:rsid w:val="7F9D305D"/>
    <w:rsid w:val="7F9D422C"/>
    <w:rsid w:val="7F9E6D8D"/>
    <w:rsid w:val="7F9F23E4"/>
    <w:rsid w:val="7FA67DE7"/>
    <w:rsid w:val="7FA7286B"/>
    <w:rsid w:val="7FA95261"/>
    <w:rsid w:val="7FAD3455"/>
    <w:rsid w:val="7FB1091F"/>
    <w:rsid w:val="7FB36445"/>
    <w:rsid w:val="7FB623D9"/>
    <w:rsid w:val="7FB90F14"/>
    <w:rsid w:val="7FBA3C77"/>
    <w:rsid w:val="7FBB6673"/>
    <w:rsid w:val="7FBC5A7C"/>
    <w:rsid w:val="7FC00B62"/>
    <w:rsid w:val="7FC11A60"/>
    <w:rsid w:val="7FC71EF0"/>
    <w:rsid w:val="7FC76394"/>
    <w:rsid w:val="7FC95C68"/>
    <w:rsid w:val="7FC9774D"/>
    <w:rsid w:val="7FCC39AA"/>
    <w:rsid w:val="7FCD67B2"/>
    <w:rsid w:val="7FCD7330"/>
    <w:rsid w:val="7FD129FF"/>
    <w:rsid w:val="7FDA60C7"/>
    <w:rsid w:val="7FDC609A"/>
    <w:rsid w:val="7FE00DA6"/>
    <w:rsid w:val="7FE26D2A"/>
    <w:rsid w:val="7FE37CE3"/>
    <w:rsid w:val="7FE405C7"/>
    <w:rsid w:val="7FE8327D"/>
    <w:rsid w:val="7FE93C57"/>
    <w:rsid w:val="7FEB1D3A"/>
    <w:rsid w:val="7FEC602B"/>
    <w:rsid w:val="7FF01447"/>
    <w:rsid w:val="7FF13975"/>
    <w:rsid w:val="7FF500C7"/>
    <w:rsid w:val="7FF802FC"/>
    <w:rsid w:val="7FF83E0E"/>
    <w:rsid w:val="7FFC04E0"/>
    <w:rsid w:val="7FFC61D8"/>
    <w:rsid w:val="7FFF379A"/>
    <w:rsid w:val="7FFF6E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qFormat="1" w:unhideWhenUsed="0" w:uiPriority="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qFormat="1" w:uiPriority="99" w:name="List 4"/>
    <w:lsdException w:qFormat="1" w:unhideWhenUsed="0" w:uiPriority="0" w:semiHidden="0"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3"/>
    <w:autoRedefine/>
    <w:qFormat/>
    <w:uiPriority w:val="0"/>
    <w:pPr>
      <w:keepNext/>
      <w:keepLines/>
      <w:spacing w:before="340" w:after="330" w:line="578" w:lineRule="auto"/>
      <w:outlineLvl w:val="0"/>
    </w:pPr>
    <w:rPr>
      <w:b/>
      <w:bCs/>
      <w:kern w:val="44"/>
      <w:sz w:val="44"/>
      <w:szCs w:val="44"/>
    </w:rPr>
  </w:style>
  <w:style w:type="paragraph" w:styleId="3">
    <w:name w:val="heading 2"/>
    <w:basedOn w:val="4"/>
    <w:next w:val="1"/>
    <w:link w:val="74"/>
    <w:autoRedefine/>
    <w:qFormat/>
    <w:uiPriority w:val="0"/>
    <w:pPr>
      <w:keepNext/>
      <w:keepLines/>
      <w:spacing w:before="260" w:after="260" w:line="416" w:lineRule="auto"/>
      <w:outlineLvl w:val="1"/>
    </w:pPr>
    <w:rPr>
      <w:rFonts w:ascii="Arial" w:hAnsi="Arial" w:eastAsia="黑体"/>
      <w:bCs/>
      <w:kern w:val="0"/>
      <w:sz w:val="32"/>
      <w:szCs w:val="32"/>
    </w:rPr>
  </w:style>
  <w:style w:type="paragraph" w:styleId="5">
    <w:name w:val="heading 3"/>
    <w:basedOn w:val="1"/>
    <w:next w:val="1"/>
    <w:link w:val="75"/>
    <w:autoRedefine/>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77"/>
    <w:autoRedefine/>
    <w:qFormat/>
    <w:uiPriority w:val="0"/>
    <w:pPr>
      <w:keepNext/>
      <w:keepLines/>
      <w:numPr>
        <w:ilvl w:val="3"/>
        <w:numId w:val="1"/>
      </w:numPr>
      <w:spacing w:before="280" w:after="290" w:line="376" w:lineRule="auto"/>
      <w:outlineLvl w:val="3"/>
    </w:pPr>
    <w:rPr>
      <w:rFonts w:ascii="Arial" w:hAnsi="Arial" w:eastAsia="黑体"/>
      <w:b/>
      <w:kern w:val="0"/>
      <w:sz w:val="28"/>
      <w:szCs w:val="20"/>
    </w:rPr>
  </w:style>
  <w:style w:type="paragraph" w:styleId="7">
    <w:name w:val="heading 5"/>
    <w:basedOn w:val="1"/>
    <w:next w:val="1"/>
    <w:link w:val="78"/>
    <w:autoRedefine/>
    <w:qFormat/>
    <w:uiPriority w:val="0"/>
    <w:pPr>
      <w:keepNext/>
      <w:keepLines/>
      <w:spacing w:before="280" w:after="290" w:line="376" w:lineRule="auto"/>
      <w:outlineLvl w:val="4"/>
    </w:pPr>
    <w:rPr>
      <w:b/>
      <w:bCs/>
      <w:kern w:val="0"/>
      <w:sz w:val="28"/>
      <w:szCs w:val="28"/>
    </w:rPr>
  </w:style>
  <w:style w:type="paragraph" w:styleId="8">
    <w:name w:val="heading 6"/>
    <w:basedOn w:val="1"/>
    <w:next w:val="9"/>
    <w:link w:val="79"/>
    <w:autoRedefine/>
    <w:qFormat/>
    <w:uiPriority w:val="0"/>
    <w:pPr>
      <w:keepNext/>
      <w:keepLines/>
      <w:tabs>
        <w:tab w:val="left" w:pos="1152"/>
      </w:tabs>
      <w:spacing w:before="240" w:after="64" w:line="320" w:lineRule="auto"/>
      <w:ind w:left="1152" w:hanging="1152"/>
      <w:outlineLvl w:val="5"/>
    </w:pPr>
    <w:rPr>
      <w:rFonts w:ascii="Arial" w:hAnsi="Arial" w:eastAsia="黑体"/>
      <w:b/>
      <w:kern w:val="0"/>
      <w:sz w:val="24"/>
      <w:szCs w:val="20"/>
    </w:rPr>
  </w:style>
  <w:style w:type="paragraph" w:styleId="10">
    <w:name w:val="heading 7"/>
    <w:basedOn w:val="1"/>
    <w:next w:val="9"/>
    <w:link w:val="80"/>
    <w:autoRedefine/>
    <w:qFormat/>
    <w:uiPriority w:val="0"/>
    <w:pPr>
      <w:keepNext/>
      <w:keepLines/>
      <w:tabs>
        <w:tab w:val="left" w:pos="1296"/>
      </w:tabs>
      <w:spacing w:before="240" w:after="64" w:line="320" w:lineRule="auto"/>
      <w:ind w:left="1296" w:hanging="1296"/>
      <w:outlineLvl w:val="6"/>
    </w:pPr>
    <w:rPr>
      <w:b/>
      <w:kern w:val="0"/>
      <w:sz w:val="24"/>
      <w:szCs w:val="20"/>
    </w:rPr>
  </w:style>
  <w:style w:type="paragraph" w:styleId="11">
    <w:name w:val="heading 8"/>
    <w:basedOn w:val="1"/>
    <w:next w:val="9"/>
    <w:link w:val="81"/>
    <w:autoRedefine/>
    <w:qFormat/>
    <w:uiPriority w:val="0"/>
    <w:pPr>
      <w:keepNext/>
      <w:keepLines/>
      <w:tabs>
        <w:tab w:val="left" w:pos="1440"/>
      </w:tabs>
      <w:spacing w:before="240" w:after="64" w:line="320" w:lineRule="auto"/>
      <w:ind w:left="1440" w:hanging="1440"/>
      <w:outlineLvl w:val="7"/>
    </w:pPr>
    <w:rPr>
      <w:kern w:val="0"/>
      <w:sz w:val="18"/>
      <w:szCs w:val="18"/>
    </w:rPr>
  </w:style>
  <w:style w:type="paragraph" w:styleId="12">
    <w:name w:val="heading 9"/>
    <w:basedOn w:val="1"/>
    <w:next w:val="9"/>
    <w:link w:val="82"/>
    <w:autoRedefine/>
    <w:qFormat/>
    <w:uiPriority w:val="0"/>
    <w:pPr>
      <w:keepNext/>
      <w:keepLines/>
      <w:tabs>
        <w:tab w:val="left" w:pos="1584"/>
      </w:tabs>
      <w:spacing w:before="240" w:after="64" w:line="320" w:lineRule="auto"/>
      <w:ind w:left="1584" w:hanging="1584"/>
      <w:outlineLvl w:val="8"/>
    </w:pPr>
    <w:rPr>
      <w:rFonts w:ascii="Arial" w:hAnsi="Arial" w:eastAsia="黑体"/>
      <w:kern w:val="0"/>
      <w:sz w:val="20"/>
      <w:szCs w:val="20"/>
    </w:rPr>
  </w:style>
  <w:style w:type="character" w:default="1" w:styleId="61">
    <w:name w:val="Default Paragraph Font"/>
    <w:autoRedefine/>
    <w:semiHidden/>
    <w:unhideWhenUsed/>
    <w:qFormat/>
    <w:uiPriority w:val="1"/>
  </w:style>
  <w:style w:type="table" w:default="1" w:styleId="55">
    <w:name w:val="Normal Table"/>
    <w:autoRedefine/>
    <w:semiHidden/>
    <w:unhideWhenUsed/>
    <w:qFormat/>
    <w:uiPriority w:val="99"/>
    <w:tblPr>
      <w:tblCellMar>
        <w:top w:w="0" w:type="dxa"/>
        <w:left w:w="108" w:type="dxa"/>
        <w:bottom w:w="0" w:type="dxa"/>
        <w:right w:w="108" w:type="dxa"/>
      </w:tblCellMar>
    </w:tblPr>
  </w:style>
  <w:style w:type="paragraph" w:styleId="4">
    <w:name w:val="toc 2"/>
    <w:basedOn w:val="1"/>
    <w:next w:val="1"/>
    <w:autoRedefine/>
    <w:qFormat/>
    <w:uiPriority w:val="39"/>
    <w:pPr>
      <w:ind w:left="210"/>
      <w:jc w:val="left"/>
    </w:pPr>
    <w:rPr>
      <w:b/>
      <w:smallCaps/>
      <w:sz w:val="20"/>
      <w:szCs w:val="20"/>
    </w:rPr>
  </w:style>
  <w:style w:type="paragraph" w:styleId="9">
    <w:name w:val="Normal Indent"/>
    <w:basedOn w:val="1"/>
    <w:next w:val="6"/>
    <w:link w:val="76"/>
    <w:autoRedefine/>
    <w:qFormat/>
    <w:uiPriority w:val="0"/>
    <w:pPr>
      <w:ind w:firstLine="420" w:firstLineChars="200"/>
    </w:pPr>
    <w:rPr>
      <w:kern w:val="0"/>
      <w:sz w:val="20"/>
    </w:rPr>
  </w:style>
  <w:style w:type="paragraph" w:styleId="13">
    <w:name w:val="toc 7"/>
    <w:basedOn w:val="1"/>
    <w:next w:val="1"/>
    <w:autoRedefine/>
    <w:qFormat/>
    <w:uiPriority w:val="39"/>
    <w:pPr>
      <w:ind w:left="1260"/>
      <w:jc w:val="left"/>
    </w:pPr>
    <w:rPr>
      <w:rFonts w:ascii="Calibri" w:hAnsi="Calibri"/>
      <w:sz w:val="18"/>
      <w:szCs w:val="18"/>
    </w:rPr>
  </w:style>
  <w:style w:type="paragraph" w:styleId="14">
    <w:name w:val="Note Heading"/>
    <w:basedOn w:val="1"/>
    <w:next w:val="1"/>
    <w:link w:val="83"/>
    <w:autoRedefine/>
    <w:qFormat/>
    <w:uiPriority w:val="0"/>
    <w:pPr>
      <w:jc w:val="center"/>
    </w:pPr>
    <w:rPr>
      <w:rFonts w:ascii="宋体"/>
      <w:kern w:val="0"/>
      <w:sz w:val="20"/>
      <w:szCs w:val="20"/>
    </w:rPr>
  </w:style>
  <w:style w:type="paragraph" w:styleId="15">
    <w:name w:val="caption"/>
    <w:basedOn w:val="1"/>
    <w:next w:val="1"/>
    <w:autoRedefine/>
    <w:qFormat/>
    <w:uiPriority w:val="0"/>
    <w:pPr>
      <w:spacing w:line="500" w:lineRule="exact"/>
      <w:ind w:firstLine="200"/>
      <w:jc w:val="center"/>
    </w:pPr>
    <w:rPr>
      <w:rFonts w:ascii="宋体" w:hAnsi="宋体" w:cs="Arial"/>
      <w:b/>
      <w:bCs/>
      <w:sz w:val="24"/>
    </w:rPr>
  </w:style>
  <w:style w:type="paragraph" w:styleId="16">
    <w:name w:val="Document Map"/>
    <w:basedOn w:val="1"/>
    <w:link w:val="84"/>
    <w:autoRedefine/>
    <w:qFormat/>
    <w:uiPriority w:val="99"/>
    <w:pPr>
      <w:shd w:val="clear" w:color="auto" w:fill="000080"/>
    </w:pPr>
    <w:rPr>
      <w:kern w:val="0"/>
      <w:sz w:val="20"/>
    </w:rPr>
  </w:style>
  <w:style w:type="paragraph" w:styleId="17">
    <w:name w:val="toa heading"/>
    <w:basedOn w:val="1"/>
    <w:next w:val="1"/>
    <w:autoRedefine/>
    <w:semiHidden/>
    <w:qFormat/>
    <w:uiPriority w:val="0"/>
    <w:pPr>
      <w:spacing w:before="120"/>
    </w:pPr>
    <w:rPr>
      <w:rFonts w:ascii="Arial" w:hAnsi="Arial" w:cs="Arial"/>
      <w:sz w:val="24"/>
    </w:rPr>
  </w:style>
  <w:style w:type="paragraph" w:styleId="18">
    <w:name w:val="annotation text"/>
    <w:basedOn w:val="1"/>
    <w:link w:val="85"/>
    <w:autoRedefine/>
    <w:qFormat/>
    <w:uiPriority w:val="99"/>
    <w:pPr>
      <w:jc w:val="left"/>
    </w:pPr>
    <w:rPr>
      <w:kern w:val="0"/>
      <w:sz w:val="20"/>
    </w:rPr>
  </w:style>
  <w:style w:type="paragraph" w:styleId="19">
    <w:name w:val="Salutation"/>
    <w:basedOn w:val="1"/>
    <w:next w:val="1"/>
    <w:autoRedefine/>
    <w:qFormat/>
    <w:uiPriority w:val="0"/>
    <w:pPr>
      <w:widowControl/>
      <w:jc w:val="left"/>
    </w:pPr>
    <w:rPr>
      <w:kern w:val="0"/>
      <w:sz w:val="24"/>
      <w:szCs w:val="20"/>
    </w:rPr>
  </w:style>
  <w:style w:type="paragraph" w:styleId="20">
    <w:name w:val="Body Text 3"/>
    <w:basedOn w:val="1"/>
    <w:link w:val="86"/>
    <w:autoRedefine/>
    <w:qFormat/>
    <w:uiPriority w:val="0"/>
    <w:pPr>
      <w:spacing w:line="420" w:lineRule="auto"/>
    </w:pPr>
    <w:rPr>
      <w:kern w:val="0"/>
      <w:sz w:val="24"/>
    </w:rPr>
  </w:style>
  <w:style w:type="paragraph" w:styleId="21">
    <w:name w:val="Body Text"/>
    <w:basedOn w:val="1"/>
    <w:next w:val="22"/>
    <w:link w:val="87"/>
    <w:autoRedefine/>
    <w:qFormat/>
    <w:uiPriority w:val="0"/>
    <w:pPr>
      <w:spacing w:after="120"/>
    </w:pPr>
    <w:rPr>
      <w:kern w:val="0"/>
      <w:sz w:val="20"/>
    </w:rPr>
  </w:style>
  <w:style w:type="paragraph" w:customStyle="1" w:styleId="22">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23">
    <w:name w:val="Body Text Indent"/>
    <w:basedOn w:val="1"/>
    <w:next w:val="24"/>
    <w:link w:val="88"/>
    <w:autoRedefine/>
    <w:qFormat/>
    <w:uiPriority w:val="0"/>
    <w:pPr>
      <w:spacing w:after="120"/>
      <w:ind w:left="420" w:leftChars="200"/>
    </w:pPr>
    <w:rPr>
      <w:kern w:val="0"/>
      <w:sz w:val="20"/>
      <w:szCs w:val="20"/>
    </w:rPr>
  </w:style>
  <w:style w:type="paragraph" w:styleId="24">
    <w:name w:val="header"/>
    <w:basedOn w:val="1"/>
    <w:next w:val="15"/>
    <w:link w:val="95"/>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List 2"/>
    <w:basedOn w:val="1"/>
    <w:autoRedefine/>
    <w:qFormat/>
    <w:uiPriority w:val="0"/>
    <w:pPr>
      <w:suppressAutoHyphens/>
      <w:wordWrap w:val="0"/>
      <w:topLinePunct/>
      <w:adjustRightInd w:val="0"/>
      <w:snapToGrid w:val="0"/>
    </w:pPr>
    <w:rPr>
      <w:rFonts w:ascii="宋体" w:hAnsi="宋体"/>
      <w:snapToGrid w:val="0"/>
    </w:rPr>
  </w:style>
  <w:style w:type="paragraph" w:styleId="26">
    <w:name w:val="Block Text"/>
    <w:basedOn w:val="1"/>
    <w:autoRedefine/>
    <w:qFormat/>
    <w:uiPriority w:val="0"/>
    <w:pPr>
      <w:snapToGrid w:val="0"/>
      <w:spacing w:line="408" w:lineRule="auto"/>
      <w:ind w:left="-113" w:right="-510" w:firstLine="510"/>
    </w:pPr>
    <w:rPr>
      <w:sz w:val="24"/>
      <w:szCs w:val="20"/>
    </w:rPr>
  </w:style>
  <w:style w:type="paragraph" w:styleId="27">
    <w:name w:val="List Bullet 2"/>
    <w:basedOn w:val="1"/>
    <w:autoRedefine/>
    <w:qFormat/>
    <w:uiPriority w:val="0"/>
    <w:pPr>
      <w:tabs>
        <w:tab w:val="left" w:pos="0"/>
        <w:tab w:val="left" w:pos="852"/>
      </w:tabs>
      <w:suppressAutoHyphens/>
      <w:autoSpaceDE w:val="0"/>
      <w:adjustRightInd w:val="0"/>
      <w:snapToGrid w:val="0"/>
      <w:jc w:val="center"/>
    </w:pPr>
    <w:rPr>
      <w:rFonts w:ascii="仿宋_GB2312" w:hAnsi="宋体" w:eastAsia="仿宋_GB2312"/>
      <w:bCs/>
      <w:color w:val="000000"/>
      <w:sz w:val="24"/>
    </w:rPr>
  </w:style>
  <w:style w:type="paragraph" w:styleId="28">
    <w:name w:val="toc 5"/>
    <w:basedOn w:val="1"/>
    <w:next w:val="1"/>
    <w:autoRedefine/>
    <w:qFormat/>
    <w:uiPriority w:val="39"/>
    <w:pPr>
      <w:ind w:left="840"/>
      <w:jc w:val="left"/>
    </w:pPr>
    <w:rPr>
      <w:rFonts w:ascii="Calibri" w:hAnsi="Calibri"/>
      <w:sz w:val="18"/>
      <w:szCs w:val="18"/>
    </w:rPr>
  </w:style>
  <w:style w:type="paragraph" w:styleId="29">
    <w:name w:val="toc 3"/>
    <w:basedOn w:val="1"/>
    <w:next w:val="1"/>
    <w:autoRedefine/>
    <w:qFormat/>
    <w:uiPriority w:val="39"/>
    <w:pPr>
      <w:ind w:left="420"/>
      <w:jc w:val="left"/>
    </w:pPr>
    <w:rPr>
      <w:rFonts w:ascii="Calibri" w:hAnsi="Calibri"/>
      <w:i/>
      <w:iCs/>
      <w:sz w:val="20"/>
      <w:szCs w:val="20"/>
    </w:rPr>
  </w:style>
  <w:style w:type="paragraph" w:styleId="30">
    <w:name w:val="Plain Text"/>
    <w:basedOn w:val="1"/>
    <w:next w:val="1"/>
    <w:link w:val="89"/>
    <w:autoRedefine/>
    <w:qFormat/>
    <w:uiPriority w:val="0"/>
    <w:rPr>
      <w:rFonts w:ascii="宋体" w:hAnsi="Courier New"/>
      <w:kern w:val="0"/>
      <w:sz w:val="20"/>
      <w:szCs w:val="21"/>
    </w:rPr>
  </w:style>
  <w:style w:type="paragraph" w:styleId="31">
    <w:name w:val="toc 8"/>
    <w:basedOn w:val="1"/>
    <w:next w:val="1"/>
    <w:autoRedefine/>
    <w:qFormat/>
    <w:uiPriority w:val="39"/>
    <w:pPr>
      <w:ind w:left="1470"/>
      <w:jc w:val="left"/>
    </w:pPr>
    <w:rPr>
      <w:rFonts w:ascii="Calibri" w:hAnsi="Calibri"/>
      <w:sz w:val="18"/>
      <w:szCs w:val="18"/>
    </w:rPr>
  </w:style>
  <w:style w:type="paragraph" w:styleId="32">
    <w:name w:val="Date"/>
    <w:basedOn w:val="1"/>
    <w:next w:val="1"/>
    <w:link w:val="90"/>
    <w:autoRedefine/>
    <w:qFormat/>
    <w:uiPriority w:val="0"/>
    <w:pPr>
      <w:ind w:left="100" w:leftChars="2500"/>
    </w:pPr>
    <w:rPr>
      <w:kern w:val="0"/>
      <w:sz w:val="20"/>
    </w:rPr>
  </w:style>
  <w:style w:type="paragraph" w:styleId="33">
    <w:name w:val="Body Text Indent 2"/>
    <w:basedOn w:val="1"/>
    <w:link w:val="91"/>
    <w:autoRedefine/>
    <w:qFormat/>
    <w:uiPriority w:val="0"/>
    <w:pPr>
      <w:spacing w:after="120" w:line="480" w:lineRule="auto"/>
      <w:ind w:left="420" w:leftChars="200"/>
    </w:pPr>
    <w:rPr>
      <w:kern w:val="0"/>
      <w:sz w:val="20"/>
    </w:rPr>
  </w:style>
  <w:style w:type="paragraph" w:styleId="34">
    <w:name w:val="endnote text"/>
    <w:basedOn w:val="1"/>
    <w:link w:val="92"/>
    <w:autoRedefine/>
    <w:semiHidden/>
    <w:qFormat/>
    <w:uiPriority w:val="0"/>
    <w:pPr>
      <w:tabs>
        <w:tab w:val="left" w:pos="210"/>
      </w:tabs>
      <w:spacing w:line="500" w:lineRule="exact"/>
      <w:ind w:firstLine="200" w:firstLineChars="200"/>
      <w:jc w:val="left"/>
    </w:pPr>
    <w:rPr>
      <w:rFonts w:ascii="宋体" w:hAnsi="宋体"/>
      <w:bCs/>
      <w:kern w:val="0"/>
      <w:sz w:val="28"/>
      <w:szCs w:val="28"/>
    </w:rPr>
  </w:style>
  <w:style w:type="paragraph" w:styleId="35">
    <w:name w:val="Balloon Text"/>
    <w:basedOn w:val="1"/>
    <w:link w:val="93"/>
    <w:autoRedefine/>
    <w:semiHidden/>
    <w:qFormat/>
    <w:uiPriority w:val="99"/>
    <w:rPr>
      <w:kern w:val="0"/>
      <w:sz w:val="18"/>
      <w:szCs w:val="18"/>
    </w:rPr>
  </w:style>
  <w:style w:type="paragraph" w:styleId="36">
    <w:name w:val="footer"/>
    <w:basedOn w:val="1"/>
    <w:link w:val="94"/>
    <w:autoRedefine/>
    <w:qFormat/>
    <w:uiPriority w:val="99"/>
    <w:pPr>
      <w:tabs>
        <w:tab w:val="center" w:pos="4153"/>
        <w:tab w:val="right" w:pos="8306"/>
      </w:tabs>
      <w:snapToGrid w:val="0"/>
      <w:jc w:val="left"/>
    </w:pPr>
    <w:rPr>
      <w:kern w:val="0"/>
      <w:sz w:val="18"/>
      <w:szCs w:val="18"/>
    </w:rPr>
  </w:style>
  <w:style w:type="paragraph" w:styleId="37">
    <w:name w:val="toc 1"/>
    <w:basedOn w:val="1"/>
    <w:next w:val="1"/>
    <w:autoRedefine/>
    <w:qFormat/>
    <w:uiPriority w:val="39"/>
    <w:pPr>
      <w:tabs>
        <w:tab w:val="right" w:leader="dot" w:pos="8948"/>
      </w:tabs>
      <w:spacing w:before="120" w:after="120"/>
      <w:jc w:val="left"/>
    </w:pPr>
    <w:rPr>
      <w:b/>
      <w:bCs/>
      <w:caps/>
      <w:sz w:val="28"/>
      <w:szCs w:val="28"/>
    </w:rPr>
  </w:style>
  <w:style w:type="paragraph" w:styleId="38">
    <w:name w:val="toc 4"/>
    <w:basedOn w:val="1"/>
    <w:next w:val="1"/>
    <w:autoRedefine/>
    <w:qFormat/>
    <w:uiPriority w:val="39"/>
    <w:pPr>
      <w:ind w:left="630"/>
      <w:jc w:val="left"/>
    </w:pPr>
    <w:rPr>
      <w:rFonts w:ascii="Calibri" w:hAnsi="Calibri"/>
      <w:sz w:val="18"/>
      <w:szCs w:val="18"/>
    </w:rPr>
  </w:style>
  <w:style w:type="paragraph" w:styleId="39">
    <w:name w:val="index heading"/>
    <w:basedOn w:val="1"/>
    <w:next w:val="40"/>
    <w:autoRedefine/>
    <w:semiHidden/>
    <w:qFormat/>
    <w:uiPriority w:val="0"/>
    <w:rPr>
      <w:rFonts w:ascii="Arial" w:hAnsi="Arial" w:cs="Arial"/>
      <w:b/>
      <w:bCs/>
    </w:rPr>
  </w:style>
  <w:style w:type="paragraph" w:styleId="40">
    <w:name w:val="index 1"/>
    <w:basedOn w:val="1"/>
    <w:next w:val="1"/>
    <w:autoRedefine/>
    <w:semiHidden/>
    <w:qFormat/>
    <w:uiPriority w:val="0"/>
    <w:pPr>
      <w:adjustRightInd w:val="0"/>
      <w:snapToGrid w:val="0"/>
      <w:jc w:val="center"/>
    </w:pPr>
  </w:style>
  <w:style w:type="paragraph" w:styleId="41">
    <w:name w:val="Subtitle"/>
    <w:basedOn w:val="1"/>
    <w:next w:val="1"/>
    <w:link w:val="96"/>
    <w:autoRedefine/>
    <w:qFormat/>
    <w:uiPriority w:val="11"/>
    <w:pPr>
      <w:widowControl/>
      <w:spacing w:after="60"/>
      <w:jc w:val="center"/>
      <w:outlineLvl w:val="1"/>
    </w:pPr>
    <w:rPr>
      <w:rFonts w:ascii="Cambria" w:hAnsi="Cambria"/>
      <w:kern w:val="0"/>
      <w:sz w:val="24"/>
      <w:lang w:eastAsia="en-US" w:bidi="en-US"/>
    </w:rPr>
  </w:style>
  <w:style w:type="paragraph" w:styleId="42">
    <w:name w:val="List"/>
    <w:basedOn w:val="1"/>
    <w:link w:val="97"/>
    <w:autoRedefine/>
    <w:qFormat/>
    <w:uiPriority w:val="0"/>
    <w:pPr>
      <w:adjustRightInd w:val="0"/>
      <w:spacing w:line="360" w:lineRule="auto"/>
      <w:ind w:left="-2" w:leftChars="-1" w:right="-108" w:rightChars="-45" w:firstLine="420" w:firstLineChars="200"/>
      <w:jc w:val="left"/>
      <w:textAlignment w:val="baseline"/>
    </w:pPr>
    <w:rPr>
      <w:rFonts w:ascii="黑体" w:eastAsia="黑体"/>
      <w:kern w:val="0"/>
      <w:sz w:val="20"/>
      <w:szCs w:val="20"/>
    </w:rPr>
  </w:style>
  <w:style w:type="paragraph" w:styleId="43">
    <w:name w:val="toc 6"/>
    <w:basedOn w:val="1"/>
    <w:next w:val="1"/>
    <w:autoRedefine/>
    <w:qFormat/>
    <w:uiPriority w:val="39"/>
    <w:pPr>
      <w:ind w:left="1050"/>
      <w:jc w:val="left"/>
    </w:pPr>
    <w:rPr>
      <w:rFonts w:ascii="Calibri" w:hAnsi="Calibri"/>
      <w:sz w:val="18"/>
      <w:szCs w:val="18"/>
    </w:rPr>
  </w:style>
  <w:style w:type="paragraph" w:styleId="44">
    <w:name w:val="List 5"/>
    <w:basedOn w:val="1"/>
    <w:autoRedefine/>
    <w:qFormat/>
    <w:uiPriority w:val="0"/>
    <w:pPr>
      <w:ind w:left="2100" w:hanging="420"/>
    </w:pPr>
    <w:rPr>
      <w:szCs w:val="20"/>
    </w:rPr>
  </w:style>
  <w:style w:type="paragraph" w:styleId="45">
    <w:name w:val="Body Text Indent 3"/>
    <w:basedOn w:val="1"/>
    <w:link w:val="98"/>
    <w:autoRedefine/>
    <w:qFormat/>
    <w:uiPriority w:val="0"/>
    <w:pPr>
      <w:spacing w:line="360" w:lineRule="auto"/>
      <w:ind w:firstLine="480" w:firstLineChars="200"/>
    </w:pPr>
    <w:rPr>
      <w:rFonts w:ascii="仿宋_GB2312" w:eastAsia="仿宋_GB2312"/>
      <w:kern w:val="0"/>
      <w:sz w:val="24"/>
    </w:rPr>
  </w:style>
  <w:style w:type="paragraph" w:styleId="46">
    <w:name w:val="table of figures"/>
    <w:basedOn w:val="1"/>
    <w:next w:val="1"/>
    <w:autoRedefine/>
    <w:qFormat/>
    <w:uiPriority w:val="0"/>
    <w:pPr>
      <w:ind w:left="200" w:leftChars="200" w:hanging="200" w:hangingChars="200"/>
    </w:pPr>
    <w:rPr>
      <w:rFonts w:ascii="宋体"/>
      <w:kern w:val="0"/>
      <w:sz w:val="24"/>
      <w:szCs w:val="20"/>
    </w:rPr>
  </w:style>
  <w:style w:type="paragraph" w:styleId="47">
    <w:name w:val="toc 9"/>
    <w:basedOn w:val="1"/>
    <w:next w:val="1"/>
    <w:autoRedefine/>
    <w:qFormat/>
    <w:uiPriority w:val="39"/>
    <w:pPr>
      <w:ind w:left="1680"/>
      <w:jc w:val="left"/>
    </w:pPr>
    <w:rPr>
      <w:rFonts w:ascii="Calibri" w:hAnsi="Calibri"/>
      <w:sz w:val="18"/>
      <w:szCs w:val="18"/>
    </w:rPr>
  </w:style>
  <w:style w:type="paragraph" w:styleId="48">
    <w:name w:val="Body Text 2"/>
    <w:basedOn w:val="1"/>
    <w:link w:val="99"/>
    <w:autoRedefine/>
    <w:qFormat/>
    <w:uiPriority w:val="0"/>
    <w:pPr>
      <w:spacing w:after="120" w:line="480" w:lineRule="auto"/>
    </w:pPr>
    <w:rPr>
      <w:kern w:val="0"/>
      <w:sz w:val="20"/>
    </w:rPr>
  </w:style>
  <w:style w:type="paragraph" w:styleId="49">
    <w:name w:val="List 4"/>
    <w:basedOn w:val="1"/>
    <w:autoRedefine/>
    <w:semiHidden/>
    <w:unhideWhenUsed/>
    <w:qFormat/>
    <w:uiPriority w:val="99"/>
    <w:pPr>
      <w:ind w:left="100" w:leftChars="600" w:hanging="200" w:hangingChars="200"/>
      <w:contextualSpacing/>
    </w:pPr>
  </w:style>
  <w:style w:type="paragraph" w:styleId="5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1">
    <w:name w:val="Title"/>
    <w:basedOn w:val="1"/>
    <w:next w:val="1"/>
    <w:link w:val="100"/>
    <w:autoRedefine/>
    <w:qFormat/>
    <w:uiPriority w:val="0"/>
    <w:pPr>
      <w:widowControl/>
      <w:spacing w:before="240" w:after="60"/>
      <w:jc w:val="center"/>
      <w:outlineLvl w:val="0"/>
    </w:pPr>
    <w:rPr>
      <w:rFonts w:ascii="Cambria" w:hAnsi="Cambria"/>
      <w:b/>
      <w:bCs/>
      <w:kern w:val="28"/>
      <w:sz w:val="32"/>
      <w:szCs w:val="32"/>
      <w:lang w:eastAsia="en-US" w:bidi="en-US"/>
    </w:rPr>
  </w:style>
  <w:style w:type="paragraph" w:styleId="52">
    <w:name w:val="annotation subject"/>
    <w:basedOn w:val="18"/>
    <w:next w:val="18"/>
    <w:link w:val="101"/>
    <w:autoRedefine/>
    <w:semiHidden/>
    <w:qFormat/>
    <w:uiPriority w:val="0"/>
    <w:rPr>
      <w:b/>
      <w:bCs/>
    </w:rPr>
  </w:style>
  <w:style w:type="paragraph" w:styleId="53">
    <w:name w:val="Body Text First Indent"/>
    <w:basedOn w:val="21"/>
    <w:link w:val="102"/>
    <w:autoRedefine/>
    <w:qFormat/>
    <w:uiPriority w:val="0"/>
    <w:pPr>
      <w:ind w:firstLine="420" w:firstLineChars="100"/>
    </w:pPr>
  </w:style>
  <w:style w:type="paragraph" w:styleId="54">
    <w:name w:val="Body Text First Indent 2"/>
    <w:basedOn w:val="23"/>
    <w:next w:val="53"/>
    <w:link w:val="104"/>
    <w:autoRedefine/>
    <w:qFormat/>
    <w:uiPriority w:val="0"/>
    <w:pPr>
      <w:ind w:firstLine="210" w:firstLineChars="200"/>
    </w:pPr>
    <w:rPr>
      <w:szCs w:val="24"/>
    </w:rPr>
  </w:style>
  <w:style w:type="table" w:styleId="56">
    <w:name w:val="Table Grid"/>
    <w:basedOn w:val="5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7">
    <w:name w:val="Table Theme"/>
    <w:basedOn w:val="5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8">
    <w:name w:val="Table Elegant"/>
    <w:basedOn w:val="5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59">
    <w:name w:val="Table Classic 1"/>
    <w:basedOn w:val="55"/>
    <w:autoRedefine/>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60">
    <w:name w:val="Table Grid 5"/>
    <w:basedOn w:val="5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62">
    <w:name w:val="Strong"/>
    <w:basedOn w:val="61"/>
    <w:autoRedefine/>
    <w:qFormat/>
    <w:uiPriority w:val="22"/>
    <w:rPr>
      <w:b/>
      <w:bCs/>
    </w:rPr>
  </w:style>
  <w:style w:type="character" w:styleId="63">
    <w:name w:val="endnote reference"/>
    <w:autoRedefine/>
    <w:semiHidden/>
    <w:qFormat/>
    <w:uiPriority w:val="0"/>
    <w:rPr>
      <w:vertAlign w:val="superscript"/>
    </w:rPr>
  </w:style>
  <w:style w:type="character" w:styleId="64">
    <w:name w:val="page number"/>
    <w:basedOn w:val="61"/>
    <w:autoRedefine/>
    <w:qFormat/>
    <w:uiPriority w:val="0"/>
  </w:style>
  <w:style w:type="character" w:styleId="65">
    <w:name w:val="FollowedHyperlink"/>
    <w:autoRedefine/>
    <w:qFormat/>
    <w:uiPriority w:val="0"/>
    <w:rPr>
      <w:color w:val="800080"/>
      <w:u w:val="single"/>
    </w:rPr>
  </w:style>
  <w:style w:type="character" w:styleId="66">
    <w:name w:val="Emphasis"/>
    <w:autoRedefine/>
    <w:qFormat/>
    <w:uiPriority w:val="0"/>
    <w:rPr>
      <w:rFonts w:hint="default" w:ascii="Calibri" w:hAnsi="Calibri"/>
      <w:b/>
      <w:i/>
      <w:iCs/>
    </w:rPr>
  </w:style>
  <w:style w:type="character" w:styleId="67">
    <w:name w:val="Hyperlink"/>
    <w:autoRedefine/>
    <w:qFormat/>
    <w:uiPriority w:val="99"/>
    <w:rPr>
      <w:rFonts w:hint="default" w:ascii="Arial" w:hAnsi="Arial" w:cs="Arial"/>
      <w:color w:val="0000FF"/>
      <w:u w:val="single"/>
    </w:rPr>
  </w:style>
  <w:style w:type="character" w:styleId="68">
    <w:name w:val="annotation reference"/>
    <w:autoRedefine/>
    <w:qFormat/>
    <w:uiPriority w:val="0"/>
    <w:rPr>
      <w:sz w:val="21"/>
      <w:szCs w:val="21"/>
    </w:rPr>
  </w:style>
  <w:style w:type="paragraph" w:customStyle="1" w:styleId="69">
    <w:name w:val="样式 标题 1 + 四号 段前: 0 磅 段后: 0 磅 行距: 1.5 倍行距"/>
    <w:basedOn w:val="70"/>
    <w:next w:val="71"/>
    <w:autoRedefine/>
    <w:qFormat/>
    <w:uiPriority w:val="0"/>
    <w:pPr>
      <w:jc w:val="center"/>
    </w:pPr>
  </w:style>
  <w:style w:type="paragraph" w:customStyle="1" w:styleId="70">
    <w:name w:val="1正文"/>
    <w:autoRedefine/>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71">
    <w:name w:val="文本正文"/>
    <w:basedOn w:val="1"/>
    <w:autoRedefine/>
    <w:qFormat/>
    <w:uiPriority w:val="0"/>
    <w:pPr>
      <w:snapToGrid w:val="0"/>
      <w:spacing w:line="360" w:lineRule="auto"/>
      <w:ind w:firstLine="510"/>
      <w:jc w:val="left"/>
    </w:pPr>
    <w:rPr>
      <w:spacing w:val="4"/>
      <w:kern w:val="24"/>
      <w:szCs w:val="24"/>
      <w:lang w:val="zh-CN"/>
    </w:rPr>
  </w:style>
  <w:style w:type="character" w:customStyle="1" w:styleId="72">
    <w:name w:val="标题 2 Char"/>
    <w:autoRedefine/>
    <w:semiHidden/>
    <w:qFormat/>
    <w:uiPriority w:val="9"/>
    <w:rPr>
      <w:rFonts w:ascii="Cambria" w:hAnsi="Cambria" w:eastAsia="宋体" w:cs="Times New Roman"/>
      <w:b/>
      <w:bCs/>
      <w:sz w:val="32"/>
      <w:szCs w:val="32"/>
    </w:rPr>
  </w:style>
  <w:style w:type="character" w:customStyle="1" w:styleId="73">
    <w:name w:val="标题 1 字符"/>
    <w:link w:val="2"/>
    <w:autoRedefine/>
    <w:qFormat/>
    <w:uiPriority w:val="0"/>
    <w:rPr>
      <w:rFonts w:ascii="Times New Roman" w:hAnsi="Times New Roman" w:eastAsia="宋体" w:cs="Times New Roman"/>
      <w:b/>
      <w:bCs/>
      <w:kern w:val="44"/>
      <w:sz w:val="44"/>
      <w:szCs w:val="44"/>
    </w:rPr>
  </w:style>
  <w:style w:type="character" w:customStyle="1" w:styleId="74">
    <w:name w:val="标题 2 字符"/>
    <w:link w:val="3"/>
    <w:autoRedefine/>
    <w:qFormat/>
    <w:locked/>
    <w:uiPriority w:val="0"/>
    <w:rPr>
      <w:rFonts w:ascii="Arial" w:hAnsi="Arial" w:eastAsia="黑体" w:cs="Times New Roman"/>
      <w:b/>
      <w:bCs/>
      <w:sz w:val="32"/>
      <w:szCs w:val="32"/>
    </w:rPr>
  </w:style>
  <w:style w:type="character" w:customStyle="1" w:styleId="75">
    <w:name w:val="标题 3 字符"/>
    <w:link w:val="5"/>
    <w:autoRedefine/>
    <w:qFormat/>
    <w:uiPriority w:val="0"/>
    <w:rPr>
      <w:rFonts w:ascii="Times New Roman" w:hAnsi="Times New Roman" w:eastAsia="宋体" w:cs="Times New Roman"/>
      <w:b/>
      <w:bCs/>
      <w:sz w:val="32"/>
      <w:szCs w:val="32"/>
    </w:rPr>
  </w:style>
  <w:style w:type="character" w:customStyle="1" w:styleId="76">
    <w:name w:val="正文缩进 字符"/>
    <w:link w:val="9"/>
    <w:autoRedefine/>
    <w:qFormat/>
    <w:locked/>
    <w:uiPriority w:val="0"/>
    <w:rPr>
      <w:rFonts w:ascii="Times New Roman" w:hAnsi="Times New Roman" w:eastAsia="宋体" w:cs="Times New Roman"/>
      <w:szCs w:val="24"/>
    </w:rPr>
  </w:style>
  <w:style w:type="character" w:customStyle="1" w:styleId="77">
    <w:name w:val="标题 4 字符"/>
    <w:link w:val="6"/>
    <w:autoRedefine/>
    <w:qFormat/>
    <w:locked/>
    <w:uiPriority w:val="0"/>
    <w:rPr>
      <w:rFonts w:ascii="Arial" w:hAnsi="Arial" w:eastAsia="黑体"/>
      <w:b/>
      <w:sz w:val="28"/>
    </w:rPr>
  </w:style>
  <w:style w:type="character" w:customStyle="1" w:styleId="78">
    <w:name w:val="标题 5 字符"/>
    <w:link w:val="7"/>
    <w:autoRedefine/>
    <w:qFormat/>
    <w:uiPriority w:val="0"/>
    <w:rPr>
      <w:rFonts w:ascii="Times New Roman" w:hAnsi="Times New Roman" w:eastAsia="宋体" w:cs="Times New Roman"/>
      <w:b/>
      <w:bCs/>
      <w:sz w:val="28"/>
      <w:szCs w:val="28"/>
    </w:rPr>
  </w:style>
  <w:style w:type="character" w:customStyle="1" w:styleId="79">
    <w:name w:val="标题 6 字符"/>
    <w:link w:val="8"/>
    <w:autoRedefine/>
    <w:qFormat/>
    <w:uiPriority w:val="0"/>
    <w:rPr>
      <w:rFonts w:ascii="Arial" w:hAnsi="Arial" w:eastAsia="黑体" w:cs="Times New Roman"/>
      <w:b/>
      <w:sz w:val="24"/>
      <w:szCs w:val="20"/>
    </w:rPr>
  </w:style>
  <w:style w:type="character" w:customStyle="1" w:styleId="80">
    <w:name w:val="标题 7 字符"/>
    <w:link w:val="10"/>
    <w:autoRedefine/>
    <w:qFormat/>
    <w:uiPriority w:val="0"/>
    <w:rPr>
      <w:rFonts w:ascii="Times New Roman" w:hAnsi="Times New Roman" w:eastAsia="宋体" w:cs="Times New Roman"/>
      <w:b/>
      <w:sz w:val="24"/>
      <w:szCs w:val="20"/>
    </w:rPr>
  </w:style>
  <w:style w:type="character" w:customStyle="1" w:styleId="81">
    <w:name w:val="标题 8 字符"/>
    <w:link w:val="11"/>
    <w:autoRedefine/>
    <w:qFormat/>
    <w:uiPriority w:val="0"/>
    <w:rPr>
      <w:rFonts w:ascii="Times New Roman" w:hAnsi="Times New Roman" w:eastAsia="宋体" w:cs="Times New Roman"/>
      <w:sz w:val="18"/>
      <w:szCs w:val="18"/>
    </w:rPr>
  </w:style>
  <w:style w:type="character" w:customStyle="1" w:styleId="82">
    <w:name w:val="标题 9 字符"/>
    <w:link w:val="12"/>
    <w:autoRedefine/>
    <w:qFormat/>
    <w:uiPriority w:val="0"/>
    <w:rPr>
      <w:rFonts w:ascii="Arial" w:hAnsi="Arial" w:eastAsia="黑体" w:cs="Times New Roman"/>
      <w:szCs w:val="20"/>
    </w:rPr>
  </w:style>
  <w:style w:type="character" w:customStyle="1" w:styleId="83">
    <w:name w:val="注释标题 字符"/>
    <w:link w:val="14"/>
    <w:autoRedefine/>
    <w:qFormat/>
    <w:uiPriority w:val="0"/>
    <w:rPr>
      <w:rFonts w:ascii="宋体" w:hAnsi="Times New Roman" w:eastAsia="宋体" w:cs="Times New Roman"/>
      <w:szCs w:val="20"/>
    </w:rPr>
  </w:style>
  <w:style w:type="character" w:customStyle="1" w:styleId="84">
    <w:name w:val="文档结构图 字符"/>
    <w:link w:val="16"/>
    <w:autoRedefine/>
    <w:qFormat/>
    <w:uiPriority w:val="99"/>
    <w:rPr>
      <w:rFonts w:ascii="Times New Roman" w:hAnsi="Times New Roman" w:eastAsia="宋体" w:cs="Times New Roman"/>
      <w:szCs w:val="24"/>
      <w:shd w:val="clear" w:color="auto" w:fill="000080"/>
    </w:rPr>
  </w:style>
  <w:style w:type="character" w:customStyle="1" w:styleId="85">
    <w:name w:val="批注文字 字符"/>
    <w:link w:val="18"/>
    <w:autoRedefine/>
    <w:qFormat/>
    <w:uiPriority w:val="99"/>
    <w:rPr>
      <w:rFonts w:ascii="Times New Roman" w:hAnsi="Times New Roman" w:eastAsia="宋体" w:cs="Times New Roman"/>
      <w:szCs w:val="24"/>
    </w:rPr>
  </w:style>
  <w:style w:type="character" w:customStyle="1" w:styleId="86">
    <w:name w:val="正文文本 3 字符"/>
    <w:link w:val="20"/>
    <w:autoRedefine/>
    <w:qFormat/>
    <w:uiPriority w:val="0"/>
    <w:rPr>
      <w:rFonts w:ascii="Times New Roman" w:hAnsi="Times New Roman" w:eastAsia="宋体" w:cs="Times New Roman"/>
      <w:sz w:val="24"/>
      <w:szCs w:val="24"/>
    </w:rPr>
  </w:style>
  <w:style w:type="character" w:customStyle="1" w:styleId="87">
    <w:name w:val="正文文本 字符"/>
    <w:link w:val="21"/>
    <w:autoRedefine/>
    <w:qFormat/>
    <w:uiPriority w:val="0"/>
    <w:rPr>
      <w:rFonts w:ascii="Times New Roman" w:hAnsi="Times New Roman" w:eastAsia="宋体" w:cs="Times New Roman"/>
      <w:szCs w:val="24"/>
    </w:rPr>
  </w:style>
  <w:style w:type="character" w:customStyle="1" w:styleId="88">
    <w:name w:val="正文文本缩进 字符"/>
    <w:link w:val="23"/>
    <w:autoRedefine/>
    <w:qFormat/>
    <w:uiPriority w:val="0"/>
    <w:rPr>
      <w:rFonts w:ascii="Times New Roman" w:hAnsi="Times New Roman" w:eastAsia="宋体" w:cs="Times New Roman"/>
      <w:szCs w:val="20"/>
    </w:rPr>
  </w:style>
  <w:style w:type="character" w:customStyle="1" w:styleId="89">
    <w:name w:val="纯文本 字符"/>
    <w:link w:val="30"/>
    <w:autoRedefine/>
    <w:qFormat/>
    <w:uiPriority w:val="0"/>
    <w:rPr>
      <w:rFonts w:ascii="宋体" w:hAnsi="Courier New" w:eastAsia="宋体" w:cs="Courier New"/>
      <w:szCs w:val="21"/>
    </w:rPr>
  </w:style>
  <w:style w:type="character" w:customStyle="1" w:styleId="90">
    <w:name w:val="日期 字符"/>
    <w:link w:val="32"/>
    <w:autoRedefine/>
    <w:qFormat/>
    <w:uiPriority w:val="0"/>
    <w:rPr>
      <w:rFonts w:ascii="Times New Roman" w:hAnsi="Times New Roman" w:eastAsia="宋体" w:cs="Times New Roman"/>
      <w:szCs w:val="24"/>
    </w:rPr>
  </w:style>
  <w:style w:type="character" w:customStyle="1" w:styleId="91">
    <w:name w:val="正文文本缩进 2 字符"/>
    <w:link w:val="33"/>
    <w:autoRedefine/>
    <w:qFormat/>
    <w:uiPriority w:val="0"/>
    <w:rPr>
      <w:rFonts w:ascii="Times New Roman" w:hAnsi="Times New Roman" w:eastAsia="宋体" w:cs="Times New Roman"/>
      <w:szCs w:val="24"/>
    </w:rPr>
  </w:style>
  <w:style w:type="character" w:customStyle="1" w:styleId="92">
    <w:name w:val="尾注文本 字符"/>
    <w:link w:val="34"/>
    <w:autoRedefine/>
    <w:semiHidden/>
    <w:qFormat/>
    <w:uiPriority w:val="0"/>
    <w:rPr>
      <w:rFonts w:ascii="宋体" w:hAnsi="宋体" w:eastAsia="宋体" w:cs="Times New Roman"/>
      <w:bCs/>
      <w:sz w:val="28"/>
      <w:szCs w:val="28"/>
    </w:rPr>
  </w:style>
  <w:style w:type="character" w:customStyle="1" w:styleId="93">
    <w:name w:val="批注框文本 字符"/>
    <w:link w:val="35"/>
    <w:autoRedefine/>
    <w:semiHidden/>
    <w:qFormat/>
    <w:uiPriority w:val="99"/>
    <w:rPr>
      <w:rFonts w:ascii="Times New Roman" w:hAnsi="Times New Roman" w:eastAsia="宋体" w:cs="Times New Roman"/>
      <w:sz w:val="18"/>
      <w:szCs w:val="18"/>
    </w:rPr>
  </w:style>
  <w:style w:type="character" w:customStyle="1" w:styleId="94">
    <w:name w:val="页脚 字符"/>
    <w:link w:val="36"/>
    <w:autoRedefine/>
    <w:qFormat/>
    <w:uiPriority w:val="99"/>
    <w:rPr>
      <w:rFonts w:ascii="Times New Roman" w:hAnsi="Times New Roman" w:eastAsia="宋体" w:cs="Times New Roman"/>
      <w:sz w:val="18"/>
      <w:szCs w:val="18"/>
    </w:rPr>
  </w:style>
  <w:style w:type="character" w:customStyle="1" w:styleId="95">
    <w:name w:val="页眉 字符"/>
    <w:link w:val="24"/>
    <w:autoRedefine/>
    <w:qFormat/>
    <w:uiPriority w:val="99"/>
    <w:rPr>
      <w:rFonts w:ascii="Times New Roman" w:hAnsi="Times New Roman" w:eastAsia="宋体" w:cs="Times New Roman"/>
      <w:sz w:val="18"/>
      <w:szCs w:val="18"/>
    </w:rPr>
  </w:style>
  <w:style w:type="character" w:customStyle="1" w:styleId="96">
    <w:name w:val="副标题 字符"/>
    <w:link w:val="41"/>
    <w:autoRedefine/>
    <w:qFormat/>
    <w:uiPriority w:val="11"/>
    <w:rPr>
      <w:rFonts w:ascii="Cambria" w:hAnsi="Cambria" w:eastAsia="宋体" w:cs="Times New Roman"/>
      <w:kern w:val="0"/>
      <w:sz w:val="24"/>
      <w:szCs w:val="24"/>
      <w:lang w:eastAsia="en-US" w:bidi="en-US"/>
    </w:rPr>
  </w:style>
  <w:style w:type="character" w:customStyle="1" w:styleId="97">
    <w:name w:val="列表 字符"/>
    <w:link w:val="42"/>
    <w:autoRedefine/>
    <w:qFormat/>
    <w:uiPriority w:val="0"/>
    <w:rPr>
      <w:rFonts w:ascii="黑体" w:hAnsi="Times New Roman" w:eastAsia="黑体" w:cs="Times New Roman"/>
      <w:szCs w:val="20"/>
    </w:rPr>
  </w:style>
  <w:style w:type="character" w:customStyle="1" w:styleId="98">
    <w:name w:val="正文文本缩进 3 字符"/>
    <w:link w:val="45"/>
    <w:autoRedefine/>
    <w:qFormat/>
    <w:uiPriority w:val="0"/>
    <w:rPr>
      <w:rFonts w:ascii="仿宋_GB2312" w:hAnsi="Times New Roman" w:eastAsia="仿宋_GB2312" w:cs="Times New Roman"/>
      <w:sz w:val="24"/>
      <w:szCs w:val="24"/>
    </w:rPr>
  </w:style>
  <w:style w:type="character" w:customStyle="1" w:styleId="99">
    <w:name w:val="正文文本 2 字符"/>
    <w:link w:val="48"/>
    <w:autoRedefine/>
    <w:qFormat/>
    <w:uiPriority w:val="0"/>
    <w:rPr>
      <w:rFonts w:ascii="Times New Roman" w:hAnsi="Times New Roman" w:eastAsia="宋体" w:cs="Times New Roman"/>
      <w:szCs w:val="24"/>
    </w:rPr>
  </w:style>
  <w:style w:type="character" w:customStyle="1" w:styleId="100">
    <w:name w:val="标题 字符"/>
    <w:link w:val="51"/>
    <w:autoRedefine/>
    <w:qFormat/>
    <w:uiPriority w:val="0"/>
    <w:rPr>
      <w:rFonts w:ascii="Cambria" w:hAnsi="Cambria" w:eastAsia="宋体" w:cs="Times New Roman"/>
      <w:b/>
      <w:bCs/>
      <w:kern w:val="28"/>
      <w:sz w:val="32"/>
      <w:szCs w:val="32"/>
      <w:lang w:eastAsia="en-US" w:bidi="en-US"/>
    </w:rPr>
  </w:style>
  <w:style w:type="character" w:customStyle="1" w:styleId="101">
    <w:name w:val="批注主题 字符"/>
    <w:link w:val="52"/>
    <w:autoRedefine/>
    <w:semiHidden/>
    <w:qFormat/>
    <w:uiPriority w:val="0"/>
    <w:rPr>
      <w:rFonts w:ascii="Times New Roman" w:hAnsi="Times New Roman" w:eastAsia="宋体" w:cs="Times New Roman"/>
      <w:b/>
      <w:bCs/>
      <w:szCs w:val="24"/>
    </w:rPr>
  </w:style>
  <w:style w:type="character" w:customStyle="1" w:styleId="102">
    <w:name w:val="正文首行缩进 字符"/>
    <w:basedOn w:val="103"/>
    <w:link w:val="53"/>
    <w:autoRedefine/>
    <w:qFormat/>
    <w:uiPriority w:val="0"/>
    <w:rPr>
      <w:rFonts w:ascii="Times New Roman" w:hAnsi="Times New Roman" w:eastAsia="宋体" w:cs="Times New Roman"/>
      <w:szCs w:val="24"/>
    </w:rPr>
  </w:style>
  <w:style w:type="character" w:customStyle="1" w:styleId="103">
    <w:name w:val="正文文本 Char"/>
    <w:autoRedefine/>
    <w:qFormat/>
    <w:uiPriority w:val="0"/>
    <w:rPr>
      <w:rFonts w:ascii="Times New Roman" w:hAnsi="Times New Roman" w:eastAsia="宋体" w:cs="Times New Roman"/>
      <w:szCs w:val="24"/>
    </w:rPr>
  </w:style>
  <w:style w:type="character" w:customStyle="1" w:styleId="104">
    <w:name w:val="正文首行缩进 2 字符"/>
    <w:basedOn w:val="105"/>
    <w:link w:val="54"/>
    <w:autoRedefine/>
    <w:qFormat/>
    <w:uiPriority w:val="0"/>
    <w:rPr>
      <w:rFonts w:ascii="Times New Roman" w:hAnsi="Times New Roman" w:eastAsia="宋体" w:cs="Times New Roman"/>
      <w:szCs w:val="24"/>
    </w:rPr>
  </w:style>
  <w:style w:type="character" w:customStyle="1" w:styleId="105">
    <w:name w:val="正文文本缩进 Char"/>
    <w:autoRedefine/>
    <w:qFormat/>
    <w:uiPriority w:val="0"/>
    <w:rPr>
      <w:rFonts w:ascii="Times New Roman" w:hAnsi="Times New Roman" w:eastAsia="宋体" w:cs="Times New Roman"/>
      <w:szCs w:val="24"/>
    </w:rPr>
  </w:style>
  <w:style w:type="character" w:customStyle="1" w:styleId="106">
    <w:name w:val="标题 3 Char"/>
    <w:autoRedefine/>
    <w:semiHidden/>
    <w:qFormat/>
    <w:uiPriority w:val="9"/>
    <w:rPr>
      <w:rFonts w:ascii="Times New Roman" w:hAnsi="Times New Roman" w:eastAsia="宋体" w:cs="Times New Roman"/>
      <w:b/>
      <w:bCs/>
      <w:sz w:val="32"/>
      <w:szCs w:val="32"/>
    </w:rPr>
  </w:style>
  <w:style w:type="character" w:customStyle="1" w:styleId="107">
    <w:name w:val="标题 4 Char"/>
    <w:autoRedefine/>
    <w:semiHidden/>
    <w:qFormat/>
    <w:uiPriority w:val="9"/>
    <w:rPr>
      <w:rFonts w:ascii="Cambria" w:hAnsi="Cambria" w:eastAsia="宋体" w:cs="Times New Roman"/>
      <w:b/>
      <w:bCs/>
      <w:sz w:val="28"/>
      <w:szCs w:val="28"/>
    </w:rPr>
  </w:style>
  <w:style w:type="character" w:customStyle="1" w:styleId="108">
    <w:name w:val="标题 3 Char1 Char Char1"/>
    <w:autoRedefine/>
    <w:qFormat/>
    <w:uiPriority w:val="0"/>
    <w:rPr>
      <w:rFonts w:eastAsia="宋体"/>
      <w:b/>
      <w:bCs/>
      <w:kern w:val="2"/>
      <w:sz w:val="32"/>
      <w:szCs w:val="32"/>
      <w:lang w:val="en-US" w:eastAsia="zh-CN" w:bidi="ar-SA"/>
    </w:rPr>
  </w:style>
  <w:style w:type="character" w:customStyle="1" w:styleId="109">
    <w:name w:val="节 Char"/>
    <w:autoRedefine/>
    <w:qFormat/>
    <w:uiPriority w:val="0"/>
    <w:rPr>
      <w:rFonts w:ascii="Arial" w:hAnsi="Arial" w:eastAsia="黑体"/>
      <w:b/>
      <w:bCs/>
      <w:kern w:val="2"/>
      <w:sz w:val="32"/>
      <w:szCs w:val="32"/>
      <w:lang w:val="en-US" w:eastAsia="zh-CN" w:bidi="ar-SA"/>
    </w:rPr>
  </w:style>
  <w:style w:type="paragraph" w:customStyle="1" w:styleId="110">
    <w:name w:val="正文1"/>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character" w:customStyle="1" w:styleId="111">
    <w:name w:val="Char Char1"/>
    <w:autoRedefine/>
    <w:qFormat/>
    <w:uiPriority w:val="0"/>
    <w:rPr>
      <w:rFonts w:eastAsia="宋体"/>
      <w:kern w:val="2"/>
      <w:sz w:val="18"/>
      <w:szCs w:val="18"/>
      <w:lang w:val="en-US" w:eastAsia="zh-CN" w:bidi="ar-SA"/>
    </w:rPr>
  </w:style>
  <w:style w:type="paragraph" w:customStyle="1" w:styleId="112">
    <w:name w:val="Char Char Char Char Char Char"/>
    <w:basedOn w:val="1"/>
    <w:autoRedefine/>
    <w:qFormat/>
    <w:uiPriority w:val="0"/>
    <w:pPr>
      <w:snapToGrid w:val="0"/>
      <w:spacing w:line="360" w:lineRule="auto"/>
      <w:ind w:firstLine="200" w:firstLineChars="200"/>
    </w:pPr>
    <w:rPr>
      <w:rFonts w:eastAsia="仿宋_GB2312"/>
      <w:sz w:val="24"/>
    </w:rPr>
  </w:style>
  <w:style w:type="character" w:customStyle="1" w:styleId="113">
    <w:name w:val="fontbt"/>
    <w:basedOn w:val="61"/>
    <w:autoRedefine/>
    <w:qFormat/>
    <w:uiPriority w:val="0"/>
  </w:style>
  <w:style w:type="paragraph" w:customStyle="1" w:styleId="114">
    <w:name w:val="xl48"/>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Tahoma"/>
      <w:kern w:val="0"/>
      <w:sz w:val="20"/>
      <w:szCs w:val="21"/>
    </w:rPr>
  </w:style>
  <w:style w:type="character" w:customStyle="1" w:styleId="115">
    <w:name w:val="Re Char1"/>
    <w:autoRedefine/>
    <w:qFormat/>
    <w:uiPriority w:val="0"/>
    <w:rPr>
      <w:rFonts w:eastAsia="宋体"/>
      <w:b/>
      <w:bCs/>
      <w:kern w:val="2"/>
      <w:sz w:val="32"/>
      <w:szCs w:val="32"/>
      <w:lang w:val="en-US" w:eastAsia="zh-CN" w:bidi="ar-SA"/>
    </w:rPr>
  </w:style>
  <w:style w:type="paragraph" w:customStyle="1" w:styleId="116">
    <w:name w:val="xl26"/>
    <w:basedOn w:val="1"/>
    <w:autoRedefine/>
    <w:qFormat/>
    <w:uiPriority w:val="0"/>
    <w:pPr>
      <w:widowControl/>
      <w:spacing w:before="100" w:after="100"/>
      <w:jc w:val="center"/>
    </w:pPr>
    <w:rPr>
      <w:kern w:val="0"/>
      <w:szCs w:val="20"/>
    </w:rPr>
  </w:style>
  <w:style w:type="character" w:customStyle="1" w:styleId="117">
    <w:name w:val="节 Char2"/>
    <w:autoRedefine/>
    <w:qFormat/>
    <w:uiPriority w:val="0"/>
    <w:rPr>
      <w:rFonts w:ascii="Arial" w:hAnsi="Arial" w:eastAsia="黑体" w:cs="Times New Roman"/>
      <w:b/>
      <w:bCs/>
      <w:sz w:val="32"/>
      <w:szCs w:val="32"/>
    </w:rPr>
  </w:style>
  <w:style w:type="paragraph" w:customStyle="1" w:styleId="118">
    <w:name w:val="石榴石正文 仿宋_GB2312 四号"/>
    <w:basedOn w:val="1"/>
    <w:autoRedefine/>
    <w:qFormat/>
    <w:uiPriority w:val="0"/>
    <w:pPr>
      <w:jc w:val="left"/>
    </w:pPr>
    <w:rPr>
      <w:rFonts w:ascii="宋体" w:hAnsi="宋体"/>
      <w:b/>
      <w:sz w:val="18"/>
      <w:szCs w:val="18"/>
    </w:rPr>
  </w:style>
  <w:style w:type="paragraph" w:customStyle="1" w:styleId="119">
    <w:name w:val="Char Char Char Char Char2 Char Char Char Char"/>
    <w:basedOn w:val="1"/>
    <w:autoRedefine/>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120">
    <w:name w:val="Re Char2"/>
    <w:autoRedefine/>
    <w:qFormat/>
    <w:uiPriority w:val="0"/>
    <w:rPr>
      <w:rFonts w:ascii="宋体" w:hAnsi="Tahoma" w:eastAsia="宋体" w:cs="Tahoma"/>
      <w:b/>
      <w:bCs/>
      <w:kern w:val="2"/>
      <w:sz w:val="32"/>
      <w:szCs w:val="32"/>
      <w:lang w:val="en-US" w:eastAsia="zh-CN" w:bidi="ar-SA"/>
    </w:rPr>
  </w:style>
  <w:style w:type="paragraph" w:customStyle="1" w:styleId="121">
    <w:name w:val="Char3"/>
    <w:basedOn w:val="1"/>
    <w:autoRedefine/>
    <w:qFormat/>
    <w:uiPriority w:val="0"/>
    <w:pPr>
      <w:spacing w:line="360" w:lineRule="auto"/>
      <w:ind w:firstLine="200" w:firstLineChars="200"/>
    </w:pPr>
    <w:rPr>
      <w:rFonts w:ascii="宋体" w:hAnsi="宋体" w:cs="宋体"/>
      <w:sz w:val="24"/>
    </w:rPr>
  </w:style>
  <w:style w:type="paragraph" w:customStyle="1" w:styleId="122">
    <w:name w:val="Char2"/>
    <w:basedOn w:val="1"/>
    <w:autoRedefine/>
    <w:qFormat/>
    <w:uiPriority w:val="0"/>
  </w:style>
  <w:style w:type="paragraph" w:customStyle="1" w:styleId="123">
    <w:name w:val="Char1"/>
    <w:basedOn w:val="1"/>
    <w:autoRedefine/>
    <w:qFormat/>
    <w:uiPriority w:val="0"/>
  </w:style>
  <w:style w:type="paragraph" w:customStyle="1" w:styleId="124">
    <w:name w:val="Char Char Char1 Char"/>
    <w:basedOn w:val="1"/>
    <w:autoRedefine/>
    <w:qFormat/>
    <w:uiPriority w:val="0"/>
    <w:rPr>
      <w:szCs w:val="21"/>
    </w:rPr>
  </w:style>
  <w:style w:type="paragraph" w:customStyle="1" w:styleId="125">
    <w:name w:val="6"/>
    <w:basedOn w:val="1"/>
    <w:next w:val="23"/>
    <w:autoRedefine/>
    <w:qFormat/>
    <w:uiPriority w:val="0"/>
    <w:pPr>
      <w:spacing w:line="360" w:lineRule="auto"/>
      <w:ind w:firstLine="480" w:firstLineChars="200"/>
    </w:pPr>
    <w:rPr>
      <w:sz w:val="24"/>
    </w:rPr>
  </w:style>
  <w:style w:type="paragraph" w:customStyle="1" w:styleId="126">
    <w:name w:val="Char Char Char Char Char"/>
    <w:basedOn w:val="1"/>
    <w:autoRedefine/>
    <w:qFormat/>
    <w:uiPriority w:val="0"/>
  </w:style>
  <w:style w:type="paragraph" w:customStyle="1" w:styleId="127">
    <w:name w:val="表小5"/>
    <w:basedOn w:val="1"/>
    <w:autoRedefine/>
    <w:qFormat/>
    <w:uiPriority w:val="0"/>
    <w:pPr>
      <w:tabs>
        <w:tab w:val="left" w:pos="0"/>
        <w:tab w:val="left" w:pos="2619"/>
      </w:tabs>
      <w:snapToGrid w:val="0"/>
      <w:jc w:val="center"/>
    </w:pPr>
    <w:rPr>
      <w:rFonts w:hAnsi="宋体"/>
      <w:spacing w:val="6"/>
      <w:szCs w:val="20"/>
    </w:rPr>
  </w:style>
  <w:style w:type="paragraph" w:customStyle="1" w:styleId="128">
    <w:name w:val="Char Char Char Char"/>
    <w:basedOn w:val="1"/>
    <w:autoRedefine/>
    <w:qFormat/>
    <w:uiPriority w:val="0"/>
    <w:rPr>
      <w:szCs w:val="21"/>
    </w:rPr>
  </w:style>
  <w:style w:type="paragraph" w:customStyle="1" w:styleId="129">
    <w:name w:val="样式 小四 行距: 1.5 倍行距"/>
    <w:basedOn w:val="1"/>
    <w:autoRedefine/>
    <w:qFormat/>
    <w:uiPriority w:val="0"/>
    <w:pPr>
      <w:spacing w:line="360" w:lineRule="auto"/>
      <w:ind w:firstLine="480" w:firstLineChars="200"/>
    </w:pPr>
    <w:rPr>
      <w:kern w:val="0"/>
      <w:sz w:val="28"/>
      <w:szCs w:val="20"/>
    </w:rPr>
  </w:style>
  <w:style w:type="paragraph" w:customStyle="1" w:styleId="130">
    <w:name w:val="1.1.1.1"/>
    <w:basedOn w:val="1"/>
    <w:link w:val="131"/>
    <w:autoRedefine/>
    <w:qFormat/>
    <w:uiPriority w:val="0"/>
    <w:pPr>
      <w:adjustRightInd w:val="0"/>
      <w:snapToGrid w:val="0"/>
      <w:spacing w:before="40" w:after="40" w:line="288" w:lineRule="auto"/>
      <w:jc w:val="left"/>
      <w:textAlignment w:val="baseline"/>
    </w:pPr>
    <w:rPr>
      <w:rFonts w:ascii="黑体" w:hAnsi="华文仿宋" w:eastAsia="黑体"/>
      <w:spacing w:val="4"/>
      <w:kern w:val="0"/>
      <w:sz w:val="28"/>
      <w:szCs w:val="20"/>
    </w:rPr>
  </w:style>
  <w:style w:type="character" w:customStyle="1" w:styleId="131">
    <w:name w:val="1.1.1.1 Char"/>
    <w:link w:val="130"/>
    <w:autoRedefine/>
    <w:qFormat/>
    <w:uiPriority w:val="0"/>
    <w:rPr>
      <w:rFonts w:ascii="黑体" w:hAnsi="华文仿宋" w:eastAsia="黑体" w:cs="Times New Roman"/>
      <w:spacing w:val="4"/>
      <w:kern w:val="0"/>
      <w:sz w:val="28"/>
      <w:szCs w:val="20"/>
    </w:rPr>
  </w:style>
  <w:style w:type="paragraph" w:customStyle="1" w:styleId="132">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133">
    <w:name w:val="Char11"/>
    <w:basedOn w:val="1"/>
    <w:autoRedefine/>
    <w:qFormat/>
    <w:uiPriority w:val="0"/>
    <w:pPr>
      <w:widowControl/>
      <w:spacing w:after="160" w:line="240" w:lineRule="exact"/>
      <w:jc w:val="left"/>
    </w:pPr>
    <w:rPr>
      <w:szCs w:val="20"/>
    </w:rPr>
  </w:style>
  <w:style w:type="paragraph" w:customStyle="1" w:styleId="134">
    <w:name w:val="1 Char Char Char Char Char Char Char"/>
    <w:basedOn w:val="1"/>
    <w:autoRedefine/>
    <w:qFormat/>
    <w:uiPriority w:val="0"/>
  </w:style>
  <w:style w:type="paragraph" w:customStyle="1" w:styleId="135">
    <w:name w:val="简单回函地址"/>
    <w:basedOn w:val="1"/>
    <w:autoRedefine/>
    <w:qFormat/>
    <w:uiPriority w:val="0"/>
    <w:pPr>
      <w:adjustRightInd w:val="0"/>
      <w:spacing w:line="312" w:lineRule="atLeast"/>
      <w:textAlignment w:val="baseline"/>
    </w:pPr>
    <w:rPr>
      <w:kern w:val="0"/>
      <w:szCs w:val="20"/>
    </w:rPr>
  </w:style>
  <w:style w:type="paragraph" w:customStyle="1" w:styleId="136">
    <w:name w:val="二级标题 Char Char Char"/>
    <w:basedOn w:val="1"/>
    <w:next w:val="1"/>
    <w:autoRedefine/>
    <w:qFormat/>
    <w:uiPriority w:val="0"/>
    <w:pPr>
      <w:spacing w:line="529" w:lineRule="exact"/>
      <w:ind w:firstLine="200" w:firstLineChars="200"/>
    </w:pPr>
    <w:rPr>
      <w:rFonts w:ascii="宋体" w:hAnsi="宋体" w:cs="宋体"/>
      <w:sz w:val="24"/>
    </w:rPr>
  </w:style>
  <w:style w:type="paragraph" w:customStyle="1" w:styleId="137">
    <w:name w:val="表文字"/>
    <w:basedOn w:val="1"/>
    <w:link w:val="138"/>
    <w:autoRedefine/>
    <w:qFormat/>
    <w:uiPriority w:val="0"/>
    <w:pPr>
      <w:topLinePunct/>
      <w:adjustRightInd w:val="0"/>
      <w:spacing w:line="240" w:lineRule="exact"/>
      <w:jc w:val="center"/>
      <w:textAlignment w:val="baseline"/>
    </w:pPr>
    <w:rPr>
      <w:kern w:val="0"/>
      <w:sz w:val="20"/>
      <w:szCs w:val="21"/>
    </w:rPr>
  </w:style>
  <w:style w:type="character" w:customStyle="1" w:styleId="138">
    <w:name w:val="表文字 Char1"/>
    <w:link w:val="137"/>
    <w:autoRedefine/>
    <w:qFormat/>
    <w:uiPriority w:val="0"/>
    <w:rPr>
      <w:rFonts w:ascii="Times New Roman" w:hAnsi="Times New Roman" w:eastAsia="宋体" w:cs="Times New Roman"/>
      <w:szCs w:val="21"/>
    </w:rPr>
  </w:style>
  <w:style w:type="character" w:customStyle="1" w:styleId="139">
    <w:name w:val="c1"/>
    <w:autoRedefine/>
    <w:qFormat/>
    <w:uiPriority w:val="0"/>
    <w:rPr>
      <w:rFonts w:hint="default" w:ascii="ˎ̥" w:hAnsi="ˎ̥"/>
      <w:color w:val="000000"/>
      <w:sz w:val="21"/>
      <w:szCs w:val="21"/>
      <w:u w:val="none"/>
    </w:rPr>
  </w:style>
  <w:style w:type="character" w:customStyle="1" w:styleId="140">
    <w:name w:val="正文文本 Char Char Char"/>
    <w:autoRedefine/>
    <w:qFormat/>
    <w:locked/>
    <w:uiPriority w:val="0"/>
    <w:rPr>
      <w:rFonts w:eastAsia="宋体"/>
      <w:kern w:val="2"/>
      <w:sz w:val="21"/>
      <w:szCs w:val="24"/>
      <w:lang w:val="en-US" w:eastAsia="zh-CN" w:bidi="ar-SA"/>
    </w:rPr>
  </w:style>
  <w:style w:type="paragraph" w:customStyle="1" w:styleId="141">
    <w:name w:val="表格文字"/>
    <w:basedOn w:val="21"/>
    <w:next w:val="21"/>
    <w:link w:val="142"/>
    <w:autoRedefine/>
    <w:qFormat/>
    <w:uiPriority w:val="0"/>
    <w:pPr>
      <w:snapToGrid w:val="0"/>
    </w:pPr>
    <w:rPr>
      <w:rFonts w:ascii="宋体" w:hAnsi="宋体" w:eastAsia="宋体" w:cs="Times New Roman"/>
      <w:sz w:val="21"/>
      <w:lang w:val="en-US" w:eastAsia="zh-CN" w:bidi="ar-SA"/>
    </w:rPr>
  </w:style>
  <w:style w:type="character" w:customStyle="1" w:styleId="142">
    <w:name w:val="表格文字 Char Char"/>
    <w:link w:val="141"/>
    <w:autoRedefine/>
    <w:qFormat/>
    <w:uiPriority w:val="0"/>
    <w:rPr>
      <w:rFonts w:ascii="宋体" w:hAnsi="宋体"/>
      <w:sz w:val="21"/>
    </w:rPr>
  </w:style>
  <w:style w:type="paragraph" w:customStyle="1" w:styleId="14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Char Char Char Char Char Char Char Char Char"/>
    <w:basedOn w:val="1"/>
    <w:autoRedefine/>
    <w:qFormat/>
    <w:uiPriority w:val="0"/>
  </w:style>
  <w:style w:type="paragraph" w:customStyle="1" w:styleId="145">
    <w:name w:val="正文（唐）"/>
    <w:basedOn w:val="1"/>
    <w:autoRedefine/>
    <w:semiHidden/>
    <w:qFormat/>
    <w:uiPriority w:val="0"/>
    <w:pPr>
      <w:autoSpaceDE w:val="0"/>
      <w:autoSpaceDN w:val="0"/>
      <w:adjustRightInd w:val="0"/>
      <w:spacing w:line="460" w:lineRule="exact"/>
      <w:ind w:left="-45" w:firstLine="480" w:firstLineChars="200"/>
    </w:pPr>
    <w:rPr>
      <w:rFonts w:ascii="宋体" w:hAnsi="宋体" w:eastAsia="Times New Roman" w:cs="宋体"/>
      <w:b/>
      <w:sz w:val="24"/>
    </w:rPr>
  </w:style>
  <w:style w:type="character" w:customStyle="1" w:styleId="146">
    <w:name w:val="页眉小5号 Char Char"/>
    <w:autoRedefine/>
    <w:qFormat/>
    <w:uiPriority w:val="0"/>
    <w:rPr>
      <w:rFonts w:eastAsia="宋体"/>
      <w:kern w:val="2"/>
      <w:sz w:val="18"/>
      <w:szCs w:val="18"/>
      <w:lang w:val="en-US" w:eastAsia="zh-CN" w:bidi="ar-SA"/>
    </w:rPr>
  </w:style>
  <w:style w:type="paragraph" w:customStyle="1" w:styleId="147">
    <w:name w:val="表文"/>
    <w:basedOn w:val="1"/>
    <w:link w:val="148"/>
    <w:autoRedefine/>
    <w:semiHidden/>
    <w:qFormat/>
    <w:uiPriority w:val="0"/>
    <w:pPr>
      <w:adjustRightInd w:val="0"/>
      <w:snapToGrid w:val="0"/>
      <w:spacing w:beforeLines="30" w:afterLines="10"/>
      <w:jc w:val="center"/>
      <w:textAlignment w:val="baseline"/>
    </w:pPr>
    <w:rPr>
      <w:snapToGrid w:val="0"/>
      <w:kern w:val="0"/>
      <w:sz w:val="18"/>
      <w:szCs w:val="18"/>
    </w:rPr>
  </w:style>
  <w:style w:type="character" w:customStyle="1" w:styleId="148">
    <w:name w:val="表文 Char2"/>
    <w:link w:val="147"/>
    <w:autoRedefine/>
    <w:semiHidden/>
    <w:qFormat/>
    <w:uiPriority w:val="0"/>
    <w:rPr>
      <w:rFonts w:ascii="Times New Roman" w:hAnsi="Times New Roman" w:eastAsia="宋体" w:cs="Times New Roman"/>
      <w:snapToGrid w:val="0"/>
      <w:kern w:val="0"/>
      <w:sz w:val="18"/>
      <w:szCs w:val="18"/>
    </w:rPr>
  </w:style>
  <w:style w:type="character" w:customStyle="1" w:styleId="149">
    <w:name w:val="四号宋体左齐行距1.5倍 Char"/>
    <w:autoRedefine/>
    <w:qFormat/>
    <w:locked/>
    <w:uiPriority w:val="0"/>
    <w:rPr>
      <w:rFonts w:eastAsia="宋体"/>
      <w:b/>
      <w:bCs/>
      <w:kern w:val="2"/>
      <w:sz w:val="32"/>
      <w:szCs w:val="32"/>
      <w:lang w:val="en-US" w:eastAsia="zh-CN" w:bidi="ar-SA"/>
    </w:rPr>
  </w:style>
  <w:style w:type="character" w:customStyle="1" w:styleId="150">
    <w:name w:val="p11"/>
    <w:autoRedefine/>
    <w:qFormat/>
    <w:uiPriority w:val="0"/>
    <w:rPr>
      <w:rFonts w:hint="default"/>
      <w:spacing w:val="375"/>
      <w:sz w:val="18"/>
      <w:szCs w:val="18"/>
    </w:rPr>
  </w:style>
  <w:style w:type="paragraph" w:customStyle="1" w:styleId="151">
    <w:name w:val="标题4"/>
    <w:basedOn w:val="1"/>
    <w:link w:val="152"/>
    <w:autoRedefine/>
    <w:qFormat/>
    <w:uiPriority w:val="0"/>
    <w:pPr>
      <w:tabs>
        <w:tab w:val="left" w:pos="1960"/>
      </w:tabs>
      <w:spacing w:line="360" w:lineRule="auto"/>
      <w:outlineLvl w:val="0"/>
    </w:pPr>
    <w:rPr>
      <w:sz w:val="28"/>
      <w:szCs w:val="20"/>
    </w:rPr>
  </w:style>
  <w:style w:type="character" w:customStyle="1" w:styleId="152">
    <w:name w:val="标题4 Char1"/>
    <w:link w:val="151"/>
    <w:autoRedefine/>
    <w:qFormat/>
    <w:uiPriority w:val="0"/>
    <w:rPr>
      <w:rFonts w:ascii="Times New Roman" w:hAnsi="Times New Roman"/>
      <w:kern w:val="2"/>
      <w:sz w:val="28"/>
    </w:rPr>
  </w:style>
  <w:style w:type="character" w:customStyle="1" w:styleId="153">
    <w:name w:val="ft42"/>
    <w:autoRedefine/>
    <w:qFormat/>
    <w:uiPriority w:val="0"/>
    <w:rPr>
      <w:rFonts w:hint="default" w:ascii="Times" w:hAnsi="Times" w:cs="Times"/>
      <w:color w:val="000000"/>
      <w:sz w:val="27"/>
      <w:szCs w:val="27"/>
    </w:rPr>
  </w:style>
  <w:style w:type="character" w:customStyle="1" w:styleId="154">
    <w:name w:val="ft44"/>
    <w:autoRedefine/>
    <w:qFormat/>
    <w:uiPriority w:val="0"/>
    <w:rPr>
      <w:rFonts w:hint="default" w:ascii="Times" w:hAnsi="Times" w:cs="Times"/>
      <w:color w:val="000000"/>
      <w:sz w:val="11"/>
      <w:szCs w:val="11"/>
    </w:rPr>
  </w:style>
  <w:style w:type="character" w:customStyle="1" w:styleId="155">
    <w:name w:val="ft610"/>
    <w:autoRedefine/>
    <w:qFormat/>
    <w:uiPriority w:val="0"/>
    <w:rPr>
      <w:rFonts w:hint="default" w:ascii="Times" w:hAnsi="Times" w:cs="Times"/>
      <w:color w:val="000000"/>
      <w:sz w:val="24"/>
      <w:szCs w:val="24"/>
    </w:rPr>
  </w:style>
  <w:style w:type="character" w:customStyle="1" w:styleId="156">
    <w:name w:val="ft183"/>
    <w:autoRedefine/>
    <w:qFormat/>
    <w:uiPriority w:val="0"/>
    <w:rPr>
      <w:rFonts w:hint="default" w:ascii="Times" w:hAnsi="Times" w:cs="Times"/>
      <w:color w:val="000000"/>
      <w:spacing w:val="345"/>
      <w:sz w:val="24"/>
      <w:szCs w:val="24"/>
    </w:rPr>
  </w:style>
  <w:style w:type="character" w:customStyle="1" w:styleId="157">
    <w:name w:val="jj1"/>
    <w:autoRedefine/>
    <w:qFormat/>
    <w:uiPriority w:val="0"/>
    <w:rPr>
      <w:spacing w:val="300"/>
    </w:rPr>
  </w:style>
  <w:style w:type="character" w:customStyle="1" w:styleId="158">
    <w:name w:val="wangyong1"/>
    <w:autoRedefine/>
    <w:qFormat/>
    <w:uiPriority w:val="0"/>
    <w:rPr>
      <w:rFonts w:hint="default"/>
      <w:color w:val="000000"/>
      <w:spacing w:val="280"/>
      <w:sz w:val="18"/>
      <w:szCs w:val="18"/>
      <w:u w:val="none"/>
    </w:rPr>
  </w:style>
  <w:style w:type="character" w:customStyle="1" w:styleId="159">
    <w:name w:val="wbz2"/>
    <w:autoRedefine/>
    <w:qFormat/>
    <w:uiPriority w:val="0"/>
    <w:rPr>
      <w:rFonts w:hint="default"/>
      <w:color w:val="000000"/>
      <w:spacing w:val="0"/>
      <w:sz w:val="18"/>
      <w:szCs w:val="18"/>
      <w:u w:val="none"/>
    </w:rPr>
  </w:style>
  <w:style w:type="paragraph" w:customStyle="1" w:styleId="160">
    <w:name w:val="样式1"/>
    <w:basedOn w:val="6"/>
    <w:link w:val="161"/>
    <w:autoRedefine/>
    <w:qFormat/>
    <w:uiPriority w:val="0"/>
    <w:pPr>
      <w:numPr>
        <w:ilvl w:val="0"/>
        <w:numId w:val="0"/>
      </w:numPr>
      <w:tabs>
        <w:tab w:val="left" w:pos="2160"/>
      </w:tabs>
      <w:ind w:left="2160" w:hanging="420"/>
    </w:pPr>
    <w:rPr>
      <w:b w:val="0"/>
      <w:bCs/>
      <w:sz w:val="24"/>
    </w:rPr>
  </w:style>
  <w:style w:type="character" w:customStyle="1" w:styleId="161">
    <w:name w:val="样式1 Char"/>
    <w:link w:val="160"/>
    <w:autoRedefine/>
    <w:qFormat/>
    <w:uiPriority w:val="0"/>
    <w:rPr>
      <w:rFonts w:ascii="Arial" w:hAnsi="Arial" w:eastAsia="黑体" w:cs="Times New Roman"/>
      <w:sz w:val="24"/>
      <w:szCs w:val="20"/>
    </w:rPr>
  </w:style>
  <w:style w:type="paragraph" w:customStyle="1" w:styleId="162">
    <w:name w:val="样式2"/>
    <w:basedOn w:val="151"/>
    <w:next w:val="17"/>
    <w:autoRedefine/>
    <w:qFormat/>
    <w:uiPriority w:val="0"/>
  </w:style>
  <w:style w:type="paragraph" w:customStyle="1" w:styleId="163">
    <w:name w:val="111"/>
    <w:basedOn w:val="6"/>
    <w:next w:val="1"/>
    <w:autoRedefine/>
    <w:qFormat/>
    <w:uiPriority w:val="0"/>
    <w:pPr>
      <w:numPr>
        <w:ilvl w:val="0"/>
        <w:numId w:val="0"/>
      </w:numPr>
      <w:tabs>
        <w:tab w:val="left" w:pos="2160"/>
      </w:tabs>
      <w:ind w:left="2160" w:hanging="420"/>
    </w:pPr>
  </w:style>
  <w:style w:type="paragraph" w:customStyle="1" w:styleId="164">
    <w:name w:val="新"/>
    <w:basedOn w:val="7"/>
    <w:autoRedefine/>
    <w:qFormat/>
    <w:uiPriority w:val="0"/>
    <w:pPr>
      <w:tabs>
        <w:tab w:val="left" w:pos="2580"/>
      </w:tabs>
      <w:ind w:left="2580" w:hanging="420"/>
    </w:pPr>
    <w:rPr>
      <w:bCs w:val="0"/>
      <w:sz w:val="24"/>
      <w:szCs w:val="20"/>
    </w:rPr>
  </w:style>
  <w:style w:type="character" w:customStyle="1" w:styleId="165">
    <w:name w:val="页眉小5号 Char Char1"/>
    <w:autoRedefine/>
    <w:qFormat/>
    <w:uiPriority w:val="0"/>
    <w:rPr>
      <w:rFonts w:eastAsia="宋体"/>
      <w:kern w:val="2"/>
      <w:sz w:val="18"/>
      <w:szCs w:val="18"/>
      <w:lang w:val="en-US" w:eastAsia="zh-CN" w:bidi="ar-SA"/>
    </w:rPr>
  </w:style>
  <w:style w:type="character" w:customStyle="1" w:styleId="166">
    <w:name w:val="链接"/>
    <w:autoRedefine/>
    <w:qFormat/>
    <w:uiPriority w:val="0"/>
    <w:rPr>
      <w:rFonts w:ascii="Times New Roman" w:eastAsia="宋体"/>
      <w:color w:val="0000FF"/>
      <w:sz w:val="21"/>
      <w:u w:val="single" w:color="0000FF"/>
      <w:vertAlign w:val="baseline"/>
      <w:lang w:val="en-US" w:eastAsia="zh-CN"/>
    </w:rPr>
  </w:style>
  <w:style w:type="paragraph" w:customStyle="1" w:styleId="167">
    <w:name w:val="目录1"/>
    <w:basedOn w:val="1"/>
    <w:next w:val="1"/>
    <w:autoRedefine/>
    <w:qFormat/>
    <w:uiPriority w:val="0"/>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168">
    <w:name w:val="目录标题"/>
    <w:basedOn w:val="1"/>
    <w:next w:val="1"/>
    <w:autoRedefine/>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169">
    <w:name w:val="文章总标题"/>
    <w:basedOn w:val="1"/>
    <w:next w:val="170"/>
    <w:autoRedefine/>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170">
    <w:name w:val="文章附标题"/>
    <w:basedOn w:val="1"/>
    <w:next w:val="171"/>
    <w:autoRedefine/>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171">
    <w:name w:val="章标题"/>
    <w:basedOn w:val="1"/>
    <w:next w:val="172"/>
    <w:autoRedefine/>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172">
    <w:name w:val="节标题"/>
    <w:basedOn w:val="1"/>
    <w:next w:val="173"/>
    <w:autoRedefine/>
    <w:qFormat/>
    <w:uiPriority w:val="0"/>
    <w:pPr>
      <w:widowControl/>
      <w:spacing w:line="289" w:lineRule="atLeast"/>
      <w:jc w:val="center"/>
      <w:textAlignment w:val="baseline"/>
    </w:pPr>
    <w:rPr>
      <w:color w:val="000000"/>
      <w:kern w:val="0"/>
      <w:sz w:val="28"/>
      <w:szCs w:val="20"/>
      <w:u w:color="000000"/>
    </w:rPr>
  </w:style>
  <w:style w:type="paragraph" w:customStyle="1" w:styleId="173">
    <w:name w:val="小节标题"/>
    <w:basedOn w:val="1"/>
    <w:next w:val="1"/>
    <w:autoRedefine/>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174">
    <w:name w:val="目录3"/>
    <w:basedOn w:val="1"/>
    <w:next w:val="1"/>
    <w:autoRedefine/>
    <w:qFormat/>
    <w:uiPriority w:val="0"/>
    <w:pPr>
      <w:widowControl/>
      <w:tabs>
        <w:tab w:val="left" w:leader="dot" w:pos="8503"/>
      </w:tabs>
      <w:spacing w:line="317" w:lineRule="atLeast"/>
      <w:ind w:firstLine="419"/>
      <w:textAlignment w:val="baseline"/>
    </w:pPr>
    <w:rPr>
      <w:color w:val="000000"/>
      <w:kern w:val="0"/>
      <w:szCs w:val="20"/>
      <w:u w:color="000000"/>
    </w:rPr>
  </w:style>
  <w:style w:type="paragraph" w:customStyle="1" w:styleId="175">
    <w:name w:val="目录2"/>
    <w:basedOn w:val="1"/>
    <w:next w:val="1"/>
    <w:autoRedefine/>
    <w:qFormat/>
    <w:uiPriority w:val="0"/>
    <w:pPr>
      <w:widowControl/>
      <w:tabs>
        <w:tab w:val="left" w:leader="dot" w:pos="8503"/>
      </w:tabs>
      <w:spacing w:line="317" w:lineRule="atLeast"/>
      <w:ind w:firstLine="209"/>
      <w:textAlignment w:val="baseline"/>
    </w:pPr>
    <w:rPr>
      <w:color w:val="000000"/>
      <w:kern w:val="0"/>
      <w:szCs w:val="20"/>
      <w:u w:color="000000"/>
    </w:rPr>
  </w:style>
  <w:style w:type="paragraph" w:customStyle="1" w:styleId="176">
    <w:name w:val="目录4"/>
    <w:basedOn w:val="1"/>
    <w:next w:val="1"/>
    <w:autoRedefine/>
    <w:qFormat/>
    <w:uiPriority w:val="0"/>
    <w:pPr>
      <w:widowControl/>
      <w:tabs>
        <w:tab w:val="left" w:leader="dot" w:pos="8503"/>
      </w:tabs>
      <w:spacing w:line="317" w:lineRule="atLeast"/>
      <w:ind w:firstLine="629"/>
      <w:textAlignment w:val="baseline"/>
    </w:pPr>
    <w:rPr>
      <w:color w:val="000000"/>
      <w:kern w:val="0"/>
      <w:szCs w:val="20"/>
      <w:u w:color="000000"/>
    </w:rPr>
  </w:style>
  <w:style w:type="paragraph" w:customStyle="1" w:styleId="177">
    <w:name w:val="0005左缩2"/>
    <w:basedOn w:val="1"/>
    <w:autoRedefine/>
    <w:qFormat/>
    <w:uiPriority w:val="0"/>
    <w:pPr>
      <w:widowControl/>
      <w:autoSpaceDE w:val="0"/>
      <w:autoSpaceDN w:val="0"/>
      <w:adjustRightInd w:val="0"/>
      <w:spacing w:afterLines="30" w:line="500" w:lineRule="exact"/>
      <w:ind w:firstLine="200" w:firstLineChars="200"/>
    </w:pPr>
    <w:rPr>
      <w:rFonts w:ascii="宋体" w:hAnsi="宋体"/>
      <w:sz w:val="28"/>
      <w:szCs w:val="28"/>
    </w:rPr>
  </w:style>
  <w:style w:type="paragraph" w:customStyle="1" w:styleId="178">
    <w:name w:val="正"/>
    <w:basedOn w:val="9"/>
    <w:link w:val="179"/>
    <w:autoRedefine/>
    <w:qFormat/>
    <w:uiPriority w:val="0"/>
    <w:pPr>
      <w:topLinePunct/>
      <w:autoSpaceDE w:val="0"/>
      <w:autoSpaceDN w:val="0"/>
      <w:adjustRightInd w:val="0"/>
      <w:snapToGrid w:val="0"/>
      <w:spacing w:line="500" w:lineRule="exact"/>
      <w:ind w:firstLine="560"/>
    </w:pPr>
    <w:rPr>
      <w:rFonts w:ascii="宋体" w:hAnsi="宋体"/>
      <w:sz w:val="28"/>
      <w:szCs w:val="28"/>
      <w:lang w:val="zh-CN"/>
    </w:rPr>
  </w:style>
  <w:style w:type="character" w:customStyle="1" w:styleId="179">
    <w:name w:val="正 Char1"/>
    <w:link w:val="178"/>
    <w:autoRedefine/>
    <w:qFormat/>
    <w:uiPriority w:val="0"/>
    <w:rPr>
      <w:rFonts w:ascii="宋体" w:hAnsi="宋体" w:eastAsia="宋体" w:cs="Times New Roman"/>
      <w:sz w:val="28"/>
      <w:szCs w:val="28"/>
      <w:lang w:val="zh-CN"/>
    </w:rPr>
  </w:style>
  <w:style w:type="paragraph" w:customStyle="1" w:styleId="180">
    <w:name w:val="样式 首行缩进:  2 字符"/>
    <w:basedOn w:val="1"/>
    <w:link w:val="181"/>
    <w:autoRedefine/>
    <w:qFormat/>
    <w:uiPriority w:val="0"/>
    <w:pPr>
      <w:adjustRightInd w:val="0"/>
      <w:snapToGrid w:val="0"/>
      <w:spacing w:line="360" w:lineRule="auto"/>
      <w:ind w:firstLine="420" w:firstLineChars="200"/>
    </w:pPr>
    <w:rPr>
      <w:kern w:val="0"/>
      <w:sz w:val="28"/>
      <w:szCs w:val="20"/>
    </w:rPr>
  </w:style>
  <w:style w:type="character" w:customStyle="1" w:styleId="181">
    <w:name w:val="样式 首行缩进:  2 字符 Char"/>
    <w:link w:val="180"/>
    <w:autoRedefine/>
    <w:qFormat/>
    <w:locked/>
    <w:uiPriority w:val="0"/>
    <w:rPr>
      <w:rFonts w:ascii="Times New Roman" w:hAnsi="Times New Roman" w:eastAsia="宋体" w:cs="宋体"/>
      <w:sz w:val="28"/>
      <w:szCs w:val="20"/>
    </w:rPr>
  </w:style>
  <w:style w:type="paragraph" w:customStyle="1" w:styleId="182">
    <w:name w:val="标题3"/>
    <w:basedOn w:val="1"/>
    <w:next w:val="1"/>
    <w:autoRedefine/>
    <w:qFormat/>
    <w:uiPriority w:val="0"/>
    <w:pPr>
      <w:tabs>
        <w:tab w:val="left" w:pos="5900"/>
      </w:tabs>
      <w:spacing w:line="520" w:lineRule="exact"/>
      <w:ind w:firstLine="557" w:firstLineChars="198"/>
      <w:jc w:val="left"/>
      <w:outlineLvl w:val="2"/>
    </w:pPr>
    <w:rPr>
      <w:rFonts w:ascii="宋体" w:hAnsi="宋体"/>
      <w:b/>
      <w:sz w:val="28"/>
      <w:szCs w:val="28"/>
    </w:rPr>
  </w:style>
  <w:style w:type="paragraph" w:customStyle="1" w:styleId="183">
    <w:name w:val="font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4">
    <w:name w:val="font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5">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86">
    <w:name w:val="font7"/>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87">
    <w:name w:val="font8"/>
    <w:basedOn w:val="1"/>
    <w:autoRedefine/>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188">
    <w:name w:val="font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9">
    <w:name w:val="font10"/>
    <w:basedOn w:val="1"/>
    <w:autoRedefine/>
    <w:qFormat/>
    <w:uiPriority w:val="0"/>
    <w:pPr>
      <w:widowControl/>
      <w:spacing w:before="100" w:beforeAutospacing="1" w:after="100" w:afterAutospacing="1"/>
      <w:jc w:val="left"/>
    </w:pPr>
    <w:rPr>
      <w:rFonts w:ascii="宋体" w:hAnsi="宋体" w:cs="宋体"/>
      <w:b/>
      <w:bCs/>
      <w:color w:val="000000"/>
      <w:kern w:val="0"/>
      <w:sz w:val="24"/>
    </w:rPr>
  </w:style>
  <w:style w:type="paragraph" w:customStyle="1" w:styleId="190">
    <w:name w:val="font11"/>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91">
    <w:name w:val="xl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2">
    <w:name w:val="xl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3">
    <w:name w:val="xl2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4">
    <w:name w:val="xl30"/>
    <w:basedOn w:val="1"/>
    <w:autoRedefine/>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195">
    <w:name w:val="xl31"/>
    <w:basedOn w:val="1"/>
    <w:autoRedefine/>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196">
    <w:name w:val="xl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7">
    <w:name w:val="xl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8">
    <w:name w:val="xl34"/>
    <w:basedOn w:val="1"/>
    <w:autoRedefine/>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199">
    <w:name w:val="xl3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0">
    <w:name w:val="xl3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1">
    <w:name w:val="xl3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2">
    <w:name w:val="xl38"/>
    <w:basedOn w:val="1"/>
    <w:autoRedefine/>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203">
    <w:name w:val="xl39"/>
    <w:basedOn w:val="1"/>
    <w:autoRedefine/>
    <w:qFormat/>
    <w:uiPriority w:val="0"/>
    <w:pPr>
      <w:widowControl/>
      <w:spacing w:before="100" w:beforeAutospacing="1" w:after="100" w:afterAutospacing="1"/>
      <w:jc w:val="left"/>
    </w:pPr>
    <w:rPr>
      <w:rFonts w:ascii="宋体" w:hAnsi="宋体" w:cs="宋体"/>
      <w:color w:val="808080"/>
      <w:kern w:val="0"/>
      <w:sz w:val="24"/>
    </w:rPr>
  </w:style>
  <w:style w:type="paragraph" w:customStyle="1" w:styleId="204">
    <w:name w:val="xl40"/>
    <w:basedOn w:val="1"/>
    <w:autoRedefine/>
    <w:qFormat/>
    <w:uiPriority w:val="0"/>
    <w:pPr>
      <w:widowControl/>
      <w:spacing w:before="100" w:beforeAutospacing="1" w:after="100" w:afterAutospacing="1"/>
      <w:jc w:val="left"/>
    </w:pPr>
    <w:rPr>
      <w:rFonts w:ascii="宋体" w:hAnsi="宋体" w:cs="宋体"/>
      <w:color w:val="808080"/>
      <w:kern w:val="0"/>
      <w:sz w:val="24"/>
    </w:rPr>
  </w:style>
  <w:style w:type="paragraph" w:customStyle="1" w:styleId="205">
    <w:name w:val="xl41"/>
    <w:basedOn w:val="1"/>
    <w:autoRedefine/>
    <w:qFormat/>
    <w:uiPriority w:val="0"/>
    <w:pPr>
      <w:widowControl/>
      <w:spacing w:before="100" w:beforeAutospacing="1" w:after="100" w:afterAutospacing="1"/>
      <w:jc w:val="left"/>
    </w:pPr>
    <w:rPr>
      <w:rFonts w:ascii="宋体" w:hAnsi="宋体" w:cs="宋体"/>
      <w:color w:val="808080"/>
      <w:kern w:val="0"/>
      <w:sz w:val="24"/>
    </w:rPr>
  </w:style>
  <w:style w:type="paragraph" w:customStyle="1" w:styleId="206">
    <w:name w:val="xl42"/>
    <w:basedOn w:val="1"/>
    <w:autoRedefine/>
    <w:qFormat/>
    <w:uiPriority w:val="0"/>
    <w:pPr>
      <w:widowControl/>
      <w:shd w:val="clear" w:color="auto" w:fill="CCFFCC"/>
      <w:spacing w:before="100" w:beforeAutospacing="1" w:after="100" w:afterAutospacing="1"/>
      <w:jc w:val="left"/>
      <w:textAlignment w:val="bottom"/>
    </w:pPr>
    <w:rPr>
      <w:rFonts w:ascii="宋体" w:hAnsi="宋体" w:cs="宋体"/>
      <w:kern w:val="0"/>
      <w:sz w:val="24"/>
    </w:rPr>
  </w:style>
  <w:style w:type="paragraph" w:customStyle="1" w:styleId="207">
    <w:name w:val="xl44"/>
    <w:basedOn w:val="1"/>
    <w:autoRedefine/>
    <w:qFormat/>
    <w:uiPriority w:val="0"/>
    <w:pPr>
      <w:widowControl/>
      <w:shd w:val="clear" w:color="auto" w:fill="C0C0C0"/>
      <w:spacing w:before="100" w:beforeAutospacing="1" w:after="100" w:afterAutospacing="1"/>
      <w:jc w:val="left"/>
    </w:pPr>
    <w:rPr>
      <w:rFonts w:ascii="宋体" w:hAnsi="宋体" w:cs="宋体"/>
      <w:kern w:val="0"/>
      <w:sz w:val="24"/>
    </w:rPr>
  </w:style>
  <w:style w:type="paragraph" w:customStyle="1" w:styleId="208">
    <w:name w:val="xl45"/>
    <w:basedOn w:val="1"/>
    <w:autoRedefine/>
    <w:qFormat/>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209">
    <w:name w:val="xl46"/>
    <w:basedOn w:val="1"/>
    <w:autoRedefine/>
    <w:qFormat/>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210">
    <w:name w:val="xl47"/>
    <w:basedOn w:val="1"/>
    <w:autoRedefine/>
    <w:qFormat/>
    <w:uiPriority w:val="0"/>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211">
    <w:name w:val="初设正文"/>
    <w:basedOn w:val="1"/>
    <w:autoRedefine/>
    <w:qFormat/>
    <w:uiPriority w:val="0"/>
    <w:pPr>
      <w:spacing w:after="120" w:line="440" w:lineRule="exact"/>
      <w:ind w:left="425" w:firstLine="425"/>
    </w:pPr>
    <w:rPr>
      <w:rFonts w:ascii="Arial" w:hAnsi="Arial"/>
      <w:kern w:val="0"/>
      <w:sz w:val="24"/>
      <w:szCs w:val="20"/>
    </w:rPr>
  </w:style>
  <w:style w:type="paragraph" w:customStyle="1" w:styleId="212">
    <w:name w:val="标题符"/>
    <w:basedOn w:val="1"/>
    <w:autoRedefine/>
    <w:qFormat/>
    <w:uiPriority w:val="0"/>
    <w:pPr>
      <w:tabs>
        <w:tab w:val="left" w:pos="360"/>
      </w:tabs>
      <w:overflowPunct w:val="0"/>
      <w:snapToGrid w:val="0"/>
      <w:spacing w:line="480" w:lineRule="exact"/>
      <w:ind w:firstLine="560" w:firstLineChars="200"/>
    </w:pPr>
    <w:rPr>
      <w:rFonts w:ascii="Arial" w:hAnsi="Arial" w:eastAsia="仿宋_GB2312"/>
      <w:sz w:val="28"/>
      <w:szCs w:val="20"/>
    </w:rPr>
  </w:style>
  <w:style w:type="paragraph" w:customStyle="1" w:styleId="213">
    <w:name w:val="蒲标题2"/>
    <w:basedOn w:val="3"/>
    <w:autoRedefine/>
    <w:qFormat/>
    <w:uiPriority w:val="0"/>
    <w:pPr>
      <w:autoSpaceDE w:val="0"/>
      <w:autoSpaceDN w:val="0"/>
      <w:adjustRightInd w:val="0"/>
      <w:snapToGrid w:val="0"/>
      <w:spacing w:before="0" w:after="0" w:line="360" w:lineRule="auto"/>
      <w:outlineLvl w:val="0"/>
    </w:pPr>
    <w:rPr>
      <w:rFonts w:ascii="Times New Roman" w:hAnsi="Times New Roman" w:eastAsia="宋体"/>
      <w:color w:val="000000"/>
      <w:sz w:val="24"/>
      <w:szCs w:val="24"/>
    </w:rPr>
  </w:style>
  <w:style w:type="paragraph" w:customStyle="1" w:styleId="214">
    <w:name w:val="0002"/>
    <w:basedOn w:val="3"/>
    <w:autoRedefine/>
    <w:qFormat/>
    <w:uiPriority w:val="0"/>
    <w:pPr>
      <w:keepNext w:val="0"/>
      <w:keepLines w:val="0"/>
      <w:spacing w:beforeLines="100" w:after="0" w:line="360" w:lineRule="auto"/>
    </w:pPr>
    <w:rPr>
      <w:rFonts w:ascii="宋体" w:eastAsia="宋体"/>
    </w:rPr>
  </w:style>
  <w:style w:type="character" w:customStyle="1" w:styleId="215">
    <w:name w:val="Char Char8"/>
    <w:autoRedefine/>
    <w:qFormat/>
    <w:locked/>
    <w:uiPriority w:val="0"/>
    <w:rPr>
      <w:rFonts w:eastAsia="宋体"/>
      <w:kern w:val="2"/>
      <w:sz w:val="18"/>
      <w:szCs w:val="18"/>
      <w:lang w:val="en-US" w:eastAsia="zh-CN" w:bidi="ar-SA"/>
    </w:rPr>
  </w:style>
  <w:style w:type="character" w:customStyle="1" w:styleId="216">
    <w:name w:val="hui141"/>
    <w:autoRedefine/>
    <w:qFormat/>
    <w:uiPriority w:val="0"/>
    <w:rPr>
      <w:b/>
      <w:bCs/>
      <w:color w:val="333333"/>
      <w:sz w:val="21"/>
      <w:szCs w:val="21"/>
    </w:rPr>
  </w:style>
  <w:style w:type="character" w:customStyle="1" w:styleId="217">
    <w:name w:val="小2号宋体居中行距2倍 Char"/>
    <w:autoRedefine/>
    <w:qFormat/>
    <w:locked/>
    <w:uiPriority w:val="0"/>
    <w:rPr>
      <w:rFonts w:eastAsia="宋体"/>
      <w:b/>
      <w:bCs/>
      <w:kern w:val="44"/>
      <w:sz w:val="44"/>
      <w:szCs w:val="44"/>
      <w:lang w:val="en-US" w:eastAsia="zh-CN" w:bidi="ar-SA"/>
    </w:rPr>
  </w:style>
  <w:style w:type="character" w:customStyle="1" w:styleId="218">
    <w:name w:val="三号宋体居中行距2倍距 Char"/>
    <w:autoRedefine/>
    <w:qFormat/>
    <w:locked/>
    <w:uiPriority w:val="0"/>
    <w:rPr>
      <w:rFonts w:ascii="Arial" w:hAnsi="Arial" w:eastAsia="黑体"/>
      <w:b/>
      <w:bCs/>
      <w:kern w:val="2"/>
      <w:sz w:val="32"/>
      <w:szCs w:val="32"/>
      <w:lang w:val="en-US" w:eastAsia="zh-CN" w:bidi="ar-SA"/>
    </w:rPr>
  </w:style>
  <w:style w:type="character" w:customStyle="1" w:styleId="219">
    <w:name w:val="Char Char12"/>
    <w:autoRedefine/>
    <w:qFormat/>
    <w:locked/>
    <w:uiPriority w:val="0"/>
    <w:rPr>
      <w:rFonts w:ascii="Arial" w:hAnsi="Arial" w:eastAsia="黑体"/>
      <w:b/>
      <w:bCs/>
      <w:kern w:val="2"/>
      <w:sz w:val="24"/>
      <w:szCs w:val="24"/>
      <w:lang w:val="en-US" w:eastAsia="zh-CN" w:bidi="ar-SA"/>
    </w:rPr>
  </w:style>
  <w:style w:type="character" w:customStyle="1" w:styleId="220">
    <w:name w:val="Char Char6"/>
    <w:autoRedefine/>
    <w:qFormat/>
    <w:locked/>
    <w:uiPriority w:val="0"/>
    <w:rPr>
      <w:rFonts w:ascii="宋体" w:hAnsi="宋体" w:eastAsia="宋体"/>
      <w:color w:val="FF0000"/>
      <w:kern w:val="2"/>
      <w:sz w:val="18"/>
      <w:szCs w:val="21"/>
      <w:lang w:val="en-US" w:eastAsia="zh-CN" w:bidi="ar-SA"/>
    </w:rPr>
  </w:style>
  <w:style w:type="character" w:customStyle="1" w:styleId="221">
    <w:name w:val="Char Char5"/>
    <w:autoRedefine/>
    <w:semiHidden/>
    <w:qFormat/>
    <w:locked/>
    <w:uiPriority w:val="0"/>
    <w:rPr>
      <w:rFonts w:eastAsia="仿宋_GB2312"/>
      <w:kern w:val="2"/>
      <w:sz w:val="32"/>
      <w:szCs w:val="24"/>
      <w:lang w:val="en-US" w:eastAsia="zh-CN" w:bidi="ar-SA"/>
    </w:rPr>
  </w:style>
  <w:style w:type="character" w:customStyle="1" w:styleId="222">
    <w:name w:val="Char Char110"/>
    <w:autoRedefine/>
    <w:qFormat/>
    <w:locked/>
    <w:uiPriority w:val="0"/>
    <w:rPr>
      <w:rFonts w:eastAsia="宋体"/>
      <w:kern w:val="2"/>
      <w:sz w:val="21"/>
      <w:szCs w:val="24"/>
      <w:lang w:val="en-US" w:eastAsia="zh-CN" w:bidi="ar-SA"/>
    </w:rPr>
  </w:style>
  <w:style w:type="character" w:customStyle="1" w:styleId="223">
    <w:name w:val="Char Char4"/>
    <w:autoRedefine/>
    <w:semiHidden/>
    <w:qFormat/>
    <w:locked/>
    <w:uiPriority w:val="0"/>
    <w:rPr>
      <w:rFonts w:eastAsia="宋体"/>
      <w:kern w:val="2"/>
      <w:sz w:val="21"/>
      <w:szCs w:val="24"/>
      <w:lang w:val="en-US" w:eastAsia="zh-CN" w:bidi="ar-SA"/>
    </w:rPr>
  </w:style>
  <w:style w:type="character" w:customStyle="1" w:styleId="224">
    <w:name w:val="Char Char3"/>
    <w:autoRedefine/>
    <w:semiHidden/>
    <w:qFormat/>
    <w:locked/>
    <w:uiPriority w:val="0"/>
    <w:rPr>
      <w:rFonts w:ascii="宋体" w:hAnsi="Tahoma" w:eastAsia="宋体" w:cs="Tahoma"/>
      <w:kern w:val="2"/>
      <w:sz w:val="18"/>
      <w:szCs w:val="18"/>
      <w:lang w:val="en-US" w:eastAsia="zh-CN" w:bidi="ar-SA"/>
    </w:rPr>
  </w:style>
  <w:style w:type="paragraph" w:customStyle="1" w:styleId="225">
    <w:name w:val="表格"/>
    <w:autoRedefine/>
    <w:qFormat/>
    <w:uiPriority w:val="0"/>
    <w:pPr>
      <w:widowControl w:val="0"/>
      <w:suppressAutoHyphens/>
      <w:autoSpaceDE w:val="0"/>
      <w:snapToGrid w:val="0"/>
      <w:jc w:val="center"/>
    </w:pPr>
    <w:rPr>
      <w:rFonts w:ascii="Times New Roman" w:hAnsi="Times New Roman" w:eastAsia="仿宋_GB2312" w:cs="Times New Roman"/>
      <w:kern w:val="2"/>
      <w:sz w:val="21"/>
      <w:lang w:val="en-US" w:eastAsia="zh-CN" w:bidi="ar-SA"/>
    </w:rPr>
  </w:style>
  <w:style w:type="paragraph" w:styleId="226">
    <w:name w:val="List Paragraph"/>
    <w:basedOn w:val="1"/>
    <w:autoRedefine/>
    <w:qFormat/>
    <w:uiPriority w:val="34"/>
    <w:pPr>
      <w:ind w:firstLine="200" w:firstLineChars="200"/>
      <w:contextualSpacing/>
    </w:pPr>
    <w:rPr>
      <w:rFonts w:ascii="Arial" w:hAnsi="Arial"/>
      <w:color w:val="000000"/>
      <w:sz w:val="28"/>
      <w:szCs w:val="32"/>
    </w:rPr>
  </w:style>
  <w:style w:type="paragraph" w:customStyle="1" w:styleId="227">
    <w:name w:val="样式 图格式"/>
    <w:basedOn w:val="3"/>
    <w:autoRedefine/>
    <w:semiHidden/>
    <w:qFormat/>
    <w:uiPriority w:val="0"/>
    <w:pPr>
      <w:shd w:val="clear" w:color="auto" w:fill="FFFFFF"/>
      <w:kinsoku w:val="0"/>
      <w:overflowPunct w:val="0"/>
      <w:autoSpaceDE w:val="0"/>
      <w:autoSpaceDN w:val="0"/>
      <w:snapToGrid w:val="0"/>
      <w:spacing w:before="0" w:after="0" w:line="300" w:lineRule="atLeast"/>
      <w:outlineLvl w:val="9"/>
    </w:pPr>
    <w:rPr>
      <w:rFonts w:eastAsia="宋体" w:cs="宋体"/>
      <w:color w:val="0000FF"/>
      <w:sz w:val="24"/>
      <w:szCs w:val="24"/>
    </w:rPr>
  </w:style>
  <w:style w:type="paragraph" w:customStyle="1" w:styleId="228">
    <w:name w:val="样式 5号表"/>
    <w:basedOn w:val="1"/>
    <w:autoRedefine/>
    <w:qFormat/>
    <w:uiPriority w:val="0"/>
    <w:pPr>
      <w:shd w:val="clear" w:color="auto" w:fill="FFFFFF"/>
      <w:kinsoku w:val="0"/>
      <w:overflowPunct w:val="0"/>
      <w:autoSpaceDE w:val="0"/>
      <w:autoSpaceDN w:val="0"/>
      <w:snapToGrid w:val="0"/>
      <w:spacing w:line="300" w:lineRule="exact"/>
    </w:pPr>
    <w:rPr>
      <w:rFonts w:ascii="宋体" w:hAnsi="宋体" w:cs="宋体"/>
      <w:bCs/>
      <w:szCs w:val="20"/>
    </w:rPr>
  </w:style>
  <w:style w:type="paragraph" w:customStyle="1" w:styleId="229">
    <w:name w:val="样式 标题 1 + 宋体 四号 居中"/>
    <w:basedOn w:val="2"/>
    <w:autoRedefine/>
    <w:qFormat/>
    <w:uiPriority w:val="0"/>
    <w:pPr>
      <w:spacing w:before="0" w:after="0" w:line="600" w:lineRule="exact"/>
      <w:jc w:val="center"/>
    </w:pPr>
    <w:rPr>
      <w:bCs w:val="0"/>
      <w:color w:val="FF0000"/>
      <w:sz w:val="32"/>
      <w:szCs w:val="28"/>
    </w:rPr>
  </w:style>
  <w:style w:type="character" w:customStyle="1" w:styleId="230">
    <w:name w:val="样式 标题 2 + 首行缩进:  2 字符 Char"/>
    <w:link w:val="231"/>
    <w:autoRedefine/>
    <w:qFormat/>
    <w:locked/>
    <w:uiPriority w:val="0"/>
    <w:rPr>
      <w:rFonts w:ascii="Arial" w:hAnsi="Arial" w:eastAsia="宋体" w:cs="宋体"/>
      <w:b/>
      <w:bCs/>
    </w:rPr>
  </w:style>
  <w:style w:type="paragraph" w:customStyle="1" w:styleId="231">
    <w:name w:val="样式 标题 2 + 首行缩进:  2 字符"/>
    <w:basedOn w:val="3"/>
    <w:link w:val="230"/>
    <w:autoRedefine/>
    <w:qFormat/>
    <w:uiPriority w:val="0"/>
    <w:pPr>
      <w:tabs>
        <w:tab w:val="left" w:pos="360"/>
      </w:tabs>
      <w:spacing w:before="120" w:after="120" w:line="500" w:lineRule="exact"/>
      <w:ind w:left="840" w:hanging="420" w:firstLineChars="200"/>
    </w:pPr>
    <w:rPr>
      <w:sz w:val="20"/>
      <w:szCs w:val="20"/>
    </w:rPr>
  </w:style>
  <w:style w:type="paragraph" w:customStyle="1" w:styleId="232">
    <w:name w:val="xl24"/>
    <w:basedOn w:val="1"/>
    <w:autoRedefine/>
    <w:semiHidden/>
    <w:qFormat/>
    <w:uiPriority w:val="0"/>
    <w:pPr>
      <w:widowControl/>
      <w:spacing w:before="100" w:beforeAutospacing="1" w:after="100" w:afterAutospacing="1"/>
      <w:jc w:val="left"/>
    </w:pPr>
    <w:rPr>
      <w:rFonts w:ascii="宋体" w:hAnsi="宋体"/>
      <w:kern w:val="0"/>
      <w:sz w:val="24"/>
    </w:rPr>
  </w:style>
  <w:style w:type="paragraph" w:customStyle="1" w:styleId="233">
    <w:name w:val="font1"/>
    <w:basedOn w:val="1"/>
    <w:autoRedefine/>
    <w:semiHidden/>
    <w:qFormat/>
    <w:uiPriority w:val="0"/>
    <w:pPr>
      <w:widowControl/>
      <w:spacing w:before="100" w:beforeAutospacing="1" w:after="100" w:afterAutospacing="1"/>
      <w:jc w:val="left"/>
    </w:pPr>
    <w:rPr>
      <w:rFonts w:ascii="宋体" w:hAnsi="宋体"/>
      <w:kern w:val="0"/>
      <w:sz w:val="24"/>
    </w:rPr>
  </w:style>
  <w:style w:type="paragraph" w:customStyle="1" w:styleId="234">
    <w:name w:val="xl43"/>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35">
    <w:name w:val="xl49"/>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36">
    <w:name w:val="xl50"/>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37">
    <w:name w:val="xl51"/>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2"/>
      <w:szCs w:val="22"/>
    </w:rPr>
  </w:style>
  <w:style w:type="paragraph" w:customStyle="1" w:styleId="238">
    <w:name w:val="xl52"/>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239">
    <w:name w:val="xl53"/>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40">
    <w:name w:val="xl54"/>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241">
    <w:name w:val="xl55"/>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42">
    <w:name w:val="xl56"/>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43">
    <w:name w:val="xl57"/>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244">
    <w:name w:val="xl58"/>
    <w:basedOn w:val="1"/>
    <w:autoRedefine/>
    <w:semiHidden/>
    <w:qFormat/>
    <w:uiPriority w:val="0"/>
    <w:pPr>
      <w:widowControl/>
      <w:spacing w:before="100" w:beforeAutospacing="1" w:after="100" w:afterAutospacing="1"/>
      <w:jc w:val="center"/>
    </w:pPr>
    <w:rPr>
      <w:rFonts w:ascii="宋体" w:hAnsi="宋体"/>
      <w:kern w:val="0"/>
      <w:sz w:val="32"/>
      <w:szCs w:val="32"/>
    </w:rPr>
  </w:style>
  <w:style w:type="paragraph" w:customStyle="1" w:styleId="245">
    <w:name w:val="font12"/>
    <w:basedOn w:val="1"/>
    <w:autoRedefine/>
    <w:semiHidden/>
    <w:qFormat/>
    <w:uiPriority w:val="0"/>
    <w:pPr>
      <w:widowControl/>
      <w:spacing w:before="100" w:beforeAutospacing="1" w:after="100" w:afterAutospacing="1"/>
      <w:jc w:val="left"/>
    </w:pPr>
    <w:rPr>
      <w:color w:val="000000"/>
      <w:kern w:val="0"/>
      <w:sz w:val="24"/>
    </w:rPr>
  </w:style>
  <w:style w:type="paragraph" w:customStyle="1" w:styleId="246">
    <w:name w:val="font13"/>
    <w:basedOn w:val="1"/>
    <w:autoRedefine/>
    <w:semiHidden/>
    <w:qFormat/>
    <w:uiPriority w:val="0"/>
    <w:pPr>
      <w:widowControl/>
      <w:spacing w:before="100" w:beforeAutospacing="1" w:after="100" w:afterAutospacing="1"/>
      <w:jc w:val="left"/>
    </w:pPr>
    <w:rPr>
      <w:kern w:val="0"/>
      <w:sz w:val="24"/>
    </w:rPr>
  </w:style>
  <w:style w:type="paragraph" w:customStyle="1" w:styleId="247">
    <w:name w:val="样式 标题 1 + 首行缩进:  2 字符"/>
    <w:basedOn w:val="2"/>
    <w:autoRedefine/>
    <w:qFormat/>
    <w:uiPriority w:val="0"/>
    <w:pPr>
      <w:spacing w:before="120" w:after="120" w:line="360" w:lineRule="auto"/>
    </w:pPr>
    <w:rPr>
      <w:rFonts w:ascii="宋体" w:hAnsi="宋体" w:cs="宋体"/>
      <w:color w:val="FF0000"/>
      <w:sz w:val="36"/>
      <w:szCs w:val="20"/>
    </w:rPr>
  </w:style>
  <w:style w:type="paragraph" w:customStyle="1" w:styleId="248">
    <w:name w:val="样式 样式 标题 2 + 宋体 小二 首行缩进:  2 字符 + 段前: 0.5 行 段后: 0.5 行"/>
    <w:basedOn w:val="1"/>
    <w:autoRedefine/>
    <w:qFormat/>
    <w:uiPriority w:val="0"/>
    <w:pPr>
      <w:keepNext/>
      <w:keepLines/>
      <w:spacing w:beforeLines="50"/>
      <w:outlineLvl w:val="1"/>
    </w:pPr>
    <w:rPr>
      <w:rFonts w:ascii="宋体" w:hAnsi="宋体" w:cs="宋体"/>
      <w:b/>
      <w:bCs/>
      <w:sz w:val="32"/>
      <w:szCs w:val="20"/>
    </w:rPr>
  </w:style>
  <w:style w:type="character" w:customStyle="1" w:styleId="249">
    <w:name w:val="样式 标题 2 + 宋体 小二 首行缩进:  2 字符 Char"/>
    <w:link w:val="250"/>
    <w:autoRedefine/>
    <w:qFormat/>
    <w:locked/>
    <w:uiPriority w:val="0"/>
    <w:rPr>
      <w:rFonts w:ascii="宋体" w:hAnsi="宋体" w:eastAsia="宋体" w:cs="宋体"/>
      <w:b/>
      <w:bCs/>
      <w:sz w:val="32"/>
    </w:rPr>
  </w:style>
  <w:style w:type="paragraph" w:customStyle="1" w:styleId="250">
    <w:name w:val="样式 标题 2 + 宋体 小二 首行缩进:  2 字符"/>
    <w:basedOn w:val="3"/>
    <w:link w:val="249"/>
    <w:autoRedefine/>
    <w:qFormat/>
    <w:uiPriority w:val="0"/>
    <w:pPr>
      <w:spacing w:beforeLines="50" w:afterLines="50" w:line="240" w:lineRule="auto"/>
    </w:pPr>
    <w:rPr>
      <w:rFonts w:ascii="宋体" w:hAnsi="宋体"/>
      <w:szCs w:val="20"/>
    </w:rPr>
  </w:style>
  <w:style w:type="paragraph" w:customStyle="1" w:styleId="251">
    <w:name w:val="样式 标题 3 + 段前: 0.5 行 段后: 0.5 行"/>
    <w:basedOn w:val="5"/>
    <w:autoRedefine/>
    <w:qFormat/>
    <w:uiPriority w:val="0"/>
    <w:pPr>
      <w:spacing w:before="0" w:after="0" w:line="360" w:lineRule="auto"/>
    </w:pPr>
    <w:rPr>
      <w:rFonts w:ascii="宋体" w:hAnsi="宋体" w:cs="宋体"/>
      <w:b w:val="0"/>
      <w:sz w:val="30"/>
      <w:szCs w:val="20"/>
    </w:rPr>
  </w:style>
  <w:style w:type="paragraph" w:customStyle="1" w:styleId="252">
    <w:name w:val="小标题"/>
    <w:basedOn w:val="1"/>
    <w:autoRedefine/>
    <w:qFormat/>
    <w:uiPriority w:val="0"/>
    <w:pPr>
      <w:spacing w:line="500" w:lineRule="exact"/>
      <w:ind w:firstLine="567"/>
    </w:pPr>
    <w:rPr>
      <w:sz w:val="28"/>
      <w:szCs w:val="28"/>
    </w:rPr>
  </w:style>
  <w:style w:type="paragraph" w:customStyle="1" w:styleId="253">
    <w:name w:val="大标题"/>
    <w:basedOn w:val="1"/>
    <w:autoRedefine/>
    <w:qFormat/>
    <w:uiPriority w:val="0"/>
    <w:pPr>
      <w:spacing w:line="500" w:lineRule="exact"/>
      <w:jc w:val="left"/>
    </w:pPr>
    <w:rPr>
      <w:sz w:val="28"/>
      <w:szCs w:val="28"/>
    </w:rPr>
  </w:style>
  <w:style w:type="paragraph" w:customStyle="1" w:styleId="254">
    <w:name w:val="样式 样式 首行缩进:  2 字符 + 居中"/>
    <w:basedOn w:val="180"/>
    <w:autoRedefine/>
    <w:qFormat/>
    <w:uiPriority w:val="0"/>
    <w:pPr>
      <w:adjustRightInd/>
      <w:snapToGrid/>
      <w:spacing w:line="500" w:lineRule="exact"/>
      <w:ind w:firstLine="0" w:firstLineChars="0"/>
      <w:jc w:val="center"/>
    </w:pPr>
    <w:rPr>
      <w:rFonts w:ascii="宋体" w:hAnsi="宋体"/>
    </w:rPr>
  </w:style>
  <w:style w:type="paragraph" w:customStyle="1" w:styleId="255">
    <w:name w:val="样式 样式 首行缩进:  2 字符 + 居中1"/>
    <w:basedOn w:val="180"/>
    <w:autoRedefine/>
    <w:qFormat/>
    <w:uiPriority w:val="0"/>
    <w:pPr>
      <w:adjustRightInd/>
      <w:snapToGrid/>
      <w:spacing w:line="500" w:lineRule="exact"/>
      <w:ind w:firstLine="0" w:firstLineChars="0"/>
      <w:jc w:val="center"/>
    </w:pPr>
    <w:rPr>
      <w:rFonts w:ascii="宋体" w:hAnsi="宋体"/>
      <w:szCs w:val="28"/>
    </w:rPr>
  </w:style>
  <w:style w:type="paragraph" w:customStyle="1" w:styleId="256">
    <w:name w:val="样式 首行缩进:  2 字符1"/>
    <w:basedOn w:val="1"/>
    <w:autoRedefine/>
    <w:qFormat/>
    <w:uiPriority w:val="0"/>
    <w:pPr>
      <w:spacing w:line="500" w:lineRule="exact"/>
      <w:ind w:firstLine="560"/>
    </w:pPr>
    <w:rPr>
      <w:rFonts w:cs="宋体"/>
      <w:sz w:val="28"/>
      <w:szCs w:val="28"/>
    </w:rPr>
  </w:style>
  <w:style w:type="paragraph" w:customStyle="1" w:styleId="257">
    <w:name w:val="3字符"/>
    <w:basedOn w:val="1"/>
    <w:autoRedefine/>
    <w:qFormat/>
    <w:uiPriority w:val="0"/>
    <w:pPr>
      <w:spacing w:line="500" w:lineRule="exact"/>
      <w:ind w:left="561" w:firstLine="100" w:firstLineChars="100"/>
    </w:pPr>
    <w:rPr>
      <w:sz w:val="28"/>
      <w:szCs w:val="28"/>
    </w:rPr>
  </w:style>
  <w:style w:type="paragraph" w:customStyle="1" w:styleId="258">
    <w:name w:val="征文"/>
    <w:basedOn w:val="1"/>
    <w:autoRedefine/>
    <w:qFormat/>
    <w:uiPriority w:val="0"/>
    <w:pPr>
      <w:spacing w:line="400" w:lineRule="exact"/>
      <w:ind w:firstLine="480"/>
    </w:pPr>
    <w:rPr>
      <w:rFonts w:cs="宋体"/>
      <w:sz w:val="24"/>
      <w:szCs w:val="20"/>
    </w:rPr>
  </w:style>
  <w:style w:type="paragraph" w:customStyle="1" w:styleId="259">
    <w:name w:val="样式 3字符 + 首行缩进:  1 字符"/>
    <w:basedOn w:val="257"/>
    <w:autoRedefine/>
    <w:qFormat/>
    <w:uiPriority w:val="0"/>
    <w:pPr>
      <w:ind w:firstLine="280"/>
    </w:pPr>
    <w:rPr>
      <w:rFonts w:cs="宋体"/>
      <w:szCs w:val="20"/>
    </w:rPr>
  </w:style>
  <w:style w:type="paragraph" w:customStyle="1" w:styleId="260">
    <w:name w:val="5号字表"/>
    <w:basedOn w:val="1"/>
    <w:autoRedefine/>
    <w:qFormat/>
    <w:uiPriority w:val="0"/>
    <w:pPr>
      <w:tabs>
        <w:tab w:val="left" w:pos="210"/>
      </w:tabs>
      <w:spacing w:line="500" w:lineRule="exact"/>
      <w:ind w:firstLine="200" w:firstLineChars="200"/>
      <w:jc w:val="left"/>
    </w:pPr>
    <w:rPr>
      <w:rFonts w:ascii="宋体" w:hAnsi="宋体" w:cs="宋体"/>
      <w:bCs/>
      <w:sz w:val="28"/>
      <w:szCs w:val="20"/>
    </w:rPr>
  </w:style>
  <w:style w:type="paragraph" w:customStyle="1" w:styleId="261">
    <w:name w:val="样式 目录 1 级别1"/>
    <w:basedOn w:val="1"/>
    <w:next w:val="1"/>
    <w:autoRedefine/>
    <w:qFormat/>
    <w:uiPriority w:val="0"/>
    <w:pPr>
      <w:shd w:val="clear" w:color="auto" w:fill="FFFFFF"/>
      <w:tabs>
        <w:tab w:val="left" w:pos="210"/>
      </w:tabs>
      <w:kinsoku w:val="0"/>
      <w:overflowPunct w:val="0"/>
      <w:autoSpaceDE w:val="0"/>
      <w:autoSpaceDN w:val="0"/>
      <w:adjustRightInd w:val="0"/>
      <w:snapToGrid w:val="0"/>
      <w:spacing w:line="400" w:lineRule="exact"/>
      <w:ind w:firstLine="200" w:firstLineChars="200"/>
      <w:jc w:val="left"/>
    </w:pPr>
    <w:rPr>
      <w:rFonts w:ascii="宋体" w:hAnsi="宋体" w:cs="宋体"/>
      <w:b/>
      <w:bCs/>
      <w:sz w:val="24"/>
      <w:szCs w:val="28"/>
    </w:rPr>
  </w:style>
  <w:style w:type="paragraph" w:customStyle="1" w:styleId="262">
    <w:name w:val="设计封面"/>
    <w:basedOn w:val="3"/>
    <w:autoRedefine/>
    <w:qFormat/>
    <w:uiPriority w:val="0"/>
    <w:pPr>
      <w:tabs>
        <w:tab w:val="left" w:pos="210"/>
      </w:tabs>
      <w:spacing w:before="0" w:after="0" w:line="500" w:lineRule="exact"/>
      <w:ind w:firstLine="200" w:firstLineChars="200"/>
      <w:jc w:val="center"/>
      <w:outlineLvl w:val="9"/>
    </w:pPr>
    <w:rPr>
      <w:rFonts w:eastAsia="华文中宋"/>
      <w:bCs w:val="0"/>
      <w:sz w:val="72"/>
      <w:szCs w:val="28"/>
    </w:rPr>
  </w:style>
  <w:style w:type="paragraph" w:customStyle="1" w:styleId="263">
    <w:name w:val="设计封面矿名魏体1"/>
    <w:basedOn w:val="1"/>
    <w:autoRedefine/>
    <w:qFormat/>
    <w:uiPriority w:val="0"/>
    <w:pPr>
      <w:tabs>
        <w:tab w:val="left" w:pos="210"/>
      </w:tabs>
      <w:autoSpaceDE w:val="0"/>
      <w:autoSpaceDN w:val="0"/>
      <w:spacing w:line="500" w:lineRule="exact"/>
      <w:jc w:val="center"/>
    </w:pPr>
    <w:rPr>
      <w:rFonts w:eastAsia="华文新魏"/>
      <w:bCs/>
      <w:sz w:val="52"/>
      <w:szCs w:val="28"/>
    </w:rPr>
  </w:style>
  <w:style w:type="paragraph" w:customStyle="1" w:styleId="264">
    <w:name w:val="设计封面日期中宋2"/>
    <w:basedOn w:val="1"/>
    <w:next w:val="1"/>
    <w:autoRedefine/>
    <w:qFormat/>
    <w:uiPriority w:val="0"/>
    <w:pPr>
      <w:tabs>
        <w:tab w:val="left" w:pos="210"/>
      </w:tabs>
      <w:snapToGrid w:val="0"/>
      <w:spacing w:line="360" w:lineRule="auto"/>
      <w:jc w:val="center"/>
    </w:pPr>
    <w:rPr>
      <w:rFonts w:ascii="宋体" w:hAnsi="宋体"/>
      <w:b/>
      <w:bCs/>
      <w:spacing w:val="60"/>
      <w:sz w:val="44"/>
      <w:szCs w:val="28"/>
    </w:rPr>
  </w:style>
  <w:style w:type="paragraph" w:customStyle="1" w:styleId="265">
    <w:name w:val="设计著录宋2"/>
    <w:basedOn w:val="264"/>
    <w:next w:val="1"/>
    <w:autoRedefine/>
    <w:qFormat/>
    <w:uiPriority w:val="0"/>
    <w:pPr>
      <w:adjustRightInd w:val="0"/>
      <w:ind w:firstLine="300" w:firstLineChars="300"/>
      <w:jc w:val="both"/>
    </w:pPr>
    <w:rPr>
      <w:rFonts w:ascii="Times New Roman" w:hAnsi="Times New Roman" w:eastAsia="华文中宋"/>
      <w:kern w:val="4"/>
    </w:rPr>
  </w:style>
  <w:style w:type="paragraph" w:customStyle="1" w:styleId="266">
    <w:name w:val="样式 标题 2 + 宋体 四号 首行缩进:  0.99 厘米"/>
    <w:basedOn w:val="3"/>
    <w:next w:val="1"/>
    <w:autoRedefine/>
    <w:semiHidden/>
    <w:qFormat/>
    <w:uiPriority w:val="0"/>
    <w:pPr>
      <w:tabs>
        <w:tab w:val="left" w:pos="210"/>
      </w:tabs>
      <w:spacing w:before="120" w:after="120" w:line="500" w:lineRule="exact"/>
      <w:ind w:firstLine="561" w:firstLineChars="200"/>
    </w:pPr>
    <w:rPr>
      <w:rFonts w:ascii="宋体" w:hAnsi="宋体" w:eastAsia="宋体"/>
      <w:bCs w:val="0"/>
      <w:sz w:val="28"/>
      <w:szCs w:val="28"/>
    </w:rPr>
  </w:style>
  <w:style w:type="paragraph" w:customStyle="1" w:styleId="267">
    <w:name w:val="样式 目录 1 + 首行缩进:  2 字符"/>
    <w:basedOn w:val="1"/>
    <w:next w:val="1"/>
    <w:autoRedefine/>
    <w:qFormat/>
    <w:uiPriority w:val="0"/>
    <w:pPr>
      <w:tabs>
        <w:tab w:val="left" w:pos="210"/>
      </w:tabs>
      <w:adjustRightInd w:val="0"/>
      <w:spacing w:line="360" w:lineRule="exact"/>
      <w:ind w:firstLine="200" w:firstLineChars="200"/>
      <w:jc w:val="left"/>
    </w:pPr>
    <w:rPr>
      <w:rFonts w:ascii="宋体" w:hAnsi="宋体" w:cs="宋体"/>
      <w:b/>
      <w:bCs/>
      <w:sz w:val="24"/>
      <w:szCs w:val="28"/>
    </w:rPr>
  </w:style>
  <w:style w:type="paragraph" w:customStyle="1" w:styleId="268">
    <w:name w:val="xl23"/>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69">
    <w:name w:val="样式 标题 1 + 首行缩进:  2.7 厘米"/>
    <w:basedOn w:val="2"/>
    <w:autoRedefine/>
    <w:qFormat/>
    <w:uiPriority w:val="0"/>
    <w:pPr>
      <w:tabs>
        <w:tab w:val="left" w:pos="210"/>
      </w:tabs>
      <w:spacing w:before="0" w:after="0" w:line="600" w:lineRule="exact"/>
      <w:ind w:firstLine="200" w:firstLineChars="200"/>
      <w:jc w:val="center"/>
    </w:pPr>
    <w:rPr>
      <w:rFonts w:ascii="宋体" w:hAnsi="宋体" w:cs="宋体"/>
      <w:bCs w:val="0"/>
      <w:color w:val="FF0000"/>
      <w:sz w:val="30"/>
      <w:szCs w:val="20"/>
    </w:rPr>
  </w:style>
  <w:style w:type="paragraph" w:customStyle="1" w:styleId="270">
    <w:name w:val="标题 1红4号"/>
    <w:basedOn w:val="2"/>
    <w:autoRedefine/>
    <w:qFormat/>
    <w:uiPriority w:val="0"/>
    <w:pPr>
      <w:shd w:val="clear" w:color="auto" w:fill="FFFFFF"/>
      <w:tabs>
        <w:tab w:val="left" w:pos="210"/>
      </w:tabs>
      <w:kinsoku w:val="0"/>
      <w:overflowPunct w:val="0"/>
      <w:autoSpaceDE w:val="0"/>
      <w:autoSpaceDN w:val="0"/>
      <w:spacing w:before="0" w:after="0" w:line="240" w:lineRule="auto"/>
      <w:ind w:firstLine="200" w:firstLineChars="200"/>
      <w:jc w:val="center"/>
    </w:pPr>
    <w:rPr>
      <w:rFonts w:ascii="宋体" w:hAnsi="宋体"/>
      <w:bCs w:val="0"/>
      <w:color w:val="FF6600"/>
      <w:sz w:val="28"/>
      <w:szCs w:val="28"/>
    </w:rPr>
  </w:style>
  <w:style w:type="paragraph" w:customStyle="1" w:styleId="271">
    <w:name w:val="标题 2 蓝四号"/>
    <w:basedOn w:val="3"/>
    <w:next w:val="1"/>
    <w:autoRedefine/>
    <w:semiHidden/>
    <w:qFormat/>
    <w:uiPriority w:val="0"/>
    <w:pPr>
      <w:shd w:val="clear" w:color="auto" w:fill="FFFFFF"/>
      <w:tabs>
        <w:tab w:val="left" w:pos="210"/>
      </w:tabs>
      <w:kinsoku w:val="0"/>
      <w:overflowPunct w:val="0"/>
      <w:autoSpaceDE w:val="0"/>
      <w:autoSpaceDN w:val="0"/>
      <w:spacing w:before="120" w:after="120" w:line="300" w:lineRule="exact"/>
    </w:pPr>
    <w:rPr>
      <w:rFonts w:ascii="宋体" w:hAnsi="宋体" w:eastAsia="宋体"/>
      <w:bCs w:val="0"/>
      <w:color w:val="0000FF"/>
      <w:sz w:val="24"/>
      <w:szCs w:val="24"/>
    </w:rPr>
  </w:style>
  <w:style w:type="paragraph" w:customStyle="1" w:styleId="272">
    <w:name w:val="样式 居中 首行缩进:  0 厘米"/>
    <w:basedOn w:val="1"/>
    <w:autoRedefine/>
    <w:qFormat/>
    <w:uiPriority w:val="0"/>
    <w:pPr>
      <w:adjustRightInd w:val="0"/>
      <w:snapToGrid w:val="0"/>
      <w:spacing w:line="500" w:lineRule="exact"/>
      <w:jc w:val="center"/>
    </w:pPr>
    <w:rPr>
      <w:rFonts w:ascii="宋体" w:hAnsi="宋体" w:cs="宋体"/>
      <w:sz w:val="28"/>
      <w:szCs w:val="20"/>
    </w:rPr>
  </w:style>
  <w:style w:type="paragraph" w:customStyle="1" w:styleId="273">
    <w:name w:val="样式 样式 标题 2 + 首行缩进:  2 字符 + 首行缩进:  2 字符"/>
    <w:basedOn w:val="231"/>
    <w:autoRedefine/>
    <w:qFormat/>
    <w:uiPriority w:val="0"/>
    <w:pPr>
      <w:tabs>
        <w:tab w:val="clear" w:pos="360"/>
      </w:tabs>
      <w:spacing w:before="0" w:after="0" w:line="560" w:lineRule="exact"/>
      <w:ind w:left="0" w:firstLine="200"/>
      <w:jc w:val="both"/>
    </w:pPr>
    <w:rPr>
      <w:rFonts w:ascii="楷体_GB2312"/>
      <w:sz w:val="28"/>
    </w:rPr>
  </w:style>
  <w:style w:type="paragraph" w:customStyle="1" w:styleId="274">
    <w:name w:val="样式 样式 标题 2 + 首行缩进:  2 字符 + 段前: 0 磅 段后: 0 磅"/>
    <w:basedOn w:val="231"/>
    <w:autoRedefine/>
    <w:qFormat/>
    <w:uiPriority w:val="0"/>
    <w:pPr>
      <w:tabs>
        <w:tab w:val="clear" w:pos="360"/>
      </w:tabs>
      <w:spacing w:before="0" w:after="0"/>
      <w:ind w:left="0" w:firstLine="562"/>
    </w:pPr>
    <w:rPr>
      <w:sz w:val="28"/>
    </w:rPr>
  </w:style>
  <w:style w:type="paragraph" w:customStyle="1" w:styleId="275">
    <w:name w:val="0001"/>
    <w:basedOn w:val="2"/>
    <w:autoRedefine/>
    <w:qFormat/>
    <w:uiPriority w:val="0"/>
    <w:pPr>
      <w:pageBreakBefore/>
      <w:widowControl/>
      <w:spacing w:beforeLines="200" w:after="0" w:line="360" w:lineRule="auto"/>
      <w:jc w:val="center"/>
    </w:pPr>
    <w:rPr>
      <w:rFonts w:ascii="宋体"/>
      <w:bCs w:val="0"/>
      <w:kern w:val="0"/>
      <w:sz w:val="36"/>
      <w:szCs w:val="20"/>
    </w:rPr>
  </w:style>
  <w:style w:type="paragraph" w:customStyle="1" w:styleId="276">
    <w:name w:val="0003"/>
    <w:basedOn w:val="5"/>
    <w:autoRedefine/>
    <w:qFormat/>
    <w:uiPriority w:val="0"/>
    <w:pPr>
      <w:keepNext w:val="0"/>
      <w:keepLines w:val="0"/>
      <w:spacing w:beforeLines="100" w:after="0" w:line="360" w:lineRule="auto"/>
      <w:jc w:val="left"/>
    </w:pPr>
    <w:rPr>
      <w:rFonts w:ascii="宋体"/>
      <w:sz w:val="28"/>
    </w:rPr>
  </w:style>
  <w:style w:type="paragraph" w:customStyle="1" w:styleId="277">
    <w:name w:val="0004正文"/>
    <w:basedOn w:val="1"/>
    <w:autoRedefine/>
    <w:qFormat/>
    <w:uiPriority w:val="0"/>
    <w:pPr>
      <w:widowControl/>
      <w:autoSpaceDE w:val="0"/>
      <w:autoSpaceDN w:val="0"/>
      <w:adjustRightInd w:val="0"/>
      <w:spacing w:line="500" w:lineRule="exact"/>
    </w:pPr>
    <w:rPr>
      <w:rFonts w:ascii="宋体" w:hAnsi="宋体"/>
      <w:sz w:val="28"/>
      <w:szCs w:val="28"/>
    </w:rPr>
  </w:style>
  <w:style w:type="paragraph" w:customStyle="1" w:styleId="278">
    <w:name w:val="样式 0004正文 + 首行缩进:  2 字符"/>
    <w:basedOn w:val="277"/>
    <w:autoRedefine/>
    <w:qFormat/>
    <w:uiPriority w:val="0"/>
    <w:pPr>
      <w:spacing w:afterLines="20"/>
      <w:ind w:firstLine="560"/>
    </w:pPr>
    <w:rPr>
      <w:rFonts w:cs="宋体"/>
      <w:szCs w:val="20"/>
    </w:rPr>
  </w:style>
  <w:style w:type="paragraph" w:customStyle="1" w:styleId="279">
    <w:name w:val="样式 0005左缩2 + 首行缩进:  2 字符 段后: 0.3 行"/>
    <w:basedOn w:val="177"/>
    <w:autoRedefine/>
    <w:qFormat/>
    <w:uiPriority w:val="0"/>
    <w:pPr>
      <w:ind w:firstLine="560"/>
    </w:pPr>
    <w:rPr>
      <w:rFonts w:cs="宋体"/>
      <w:szCs w:val="20"/>
    </w:rPr>
  </w:style>
  <w:style w:type="paragraph" w:customStyle="1" w:styleId="280">
    <w:name w:val="0006"/>
    <w:basedOn w:val="277"/>
    <w:autoRedefine/>
    <w:qFormat/>
    <w:uiPriority w:val="0"/>
    <w:pPr>
      <w:snapToGrid w:val="0"/>
      <w:spacing w:afterLines="50"/>
    </w:pPr>
    <w:rPr>
      <w:b/>
      <w:bCs/>
      <w:kern w:val="0"/>
      <w:lang w:val="zh-CN"/>
    </w:rPr>
  </w:style>
  <w:style w:type="paragraph" w:customStyle="1" w:styleId="281">
    <w:name w:val="0007小四 居中"/>
    <w:basedOn w:val="277"/>
    <w:autoRedefine/>
    <w:qFormat/>
    <w:uiPriority w:val="0"/>
    <w:pPr>
      <w:jc w:val="center"/>
    </w:pPr>
    <w:rPr>
      <w:sz w:val="24"/>
      <w:szCs w:val="24"/>
    </w:rPr>
  </w:style>
  <w:style w:type="paragraph" w:customStyle="1" w:styleId="282">
    <w:name w:val="TOC 标题1"/>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283">
    <w:name w:val="左2 Char"/>
    <w:link w:val="284"/>
    <w:autoRedefine/>
    <w:qFormat/>
    <w:locked/>
    <w:uiPriority w:val="0"/>
    <w:rPr>
      <w:rFonts w:ascii="宋体" w:hAnsi="宋体" w:eastAsia="宋体"/>
      <w:sz w:val="28"/>
      <w:szCs w:val="28"/>
    </w:rPr>
  </w:style>
  <w:style w:type="paragraph" w:customStyle="1" w:styleId="284">
    <w:name w:val="左2"/>
    <w:basedOn w:val="1"/>
    <w:next w:val="1"/>
    <w:link w:val="283"/>
    <w:autoRedefine/>
    <w:qFormat/>
    <w:uiPriority w:val="0"/>
    <w:pPr>
      <w:spacing w:line="500" w:lineRule="exact"/>
      <w:ind w:firstLine="560" w:firstLineChars="200"/>
    </w:pPr>
    <w:rPr>
      <w:rFonts w:ascii="宋体" w:hAnsi="宋体"/>
      <w:kern w:val="0"/>
      <w:sz w:val="28"/>
      <w:szCs w:val="28"/>
    </w:rPr>
  </w:style>
  <w:style w:type="character" w:customStyle="1" w:styleId="285">
    <w:name w:val="无间隔 字符"/>
    <w:link w:val="286"/>
    <w:autoRedefine/>
    <w:qFormat/>
    <w:locked/>
    <w:uiPriority w:val="0"/>
    <w:rPr>
      <w:rFonts w:ascii="Calibri" w:hAnsi="Calibri" w:eastAsia="宋体"/>
      <w:sz w:val="24"/>
      <w:szCs w:val="32"/>
      <w:lang w:eastAsia="en-US" w:bidi="en-US"/>
    </w:rPr>
  </w:style>
  <w:style w:type="paragraph" w:styleId="286">
    <w:name w:val="No Spacing"/>
    <w:basedOn w:val="1"/>
    <w:link w:val="285"/>
    <w:autoRedefine/>
    <w:qFormat/>
    <w:uiPriority w:val="0"/>
    <w:pPr>
      <w:widowControl/>
      <w:jc w:val="left"/>
    </w:pPr>
    <w:rPr>
      <w:rFonts w:ascii="Calibri" w:hAnsi="Calibri"/>
      <w:kern w:val="0"/>
      <w:sz w:val="24"/>
      <w:szCs w:val="32"/>
      <w:lang w:eastAsia="en-US" w:bidi="en-US"/>
    </w:rPr>
  </w:style>
  <w:style w:type="paragraph" w:customStyle="1" w:styleId="287">
    <w:name w:val="正文小四缩"/>
    <w:basedOn w:val="1"/>
    <w:autoRedefine/>
    <w:qFormat/>
    <w:uiPriority w:val="0"/>
    <w:pPr>
      <w:widowControl/>
      <w:adjustRightInd w:val="0"/>
      <w:spacing w:before="120" w:line="420" w:lineRule="atLeast"/>
      <w:ind w:firstLine="510"/>
      <w:jc w:val="left"/>
    </w:pPr>
    <w:rPr>
      <w:rFonts w:ascii="宋体"/>
      <w:bCs/>
      <w:kern w:val="0"/>
      <w:sz w:val="24"/>
      <w:szCs w:val="20"/>
      <w:lang w:eastAsia="en-US" w:bidi="en-US"/>
    </w:rPr>
  </w:style>
  <w:style w:type="character" w:customStyle="1" w:styleId="288">
    <w:name w:val="引用 字符"/>
    <w:link w:val="289"/>
    <w:autoRedefine/>
    <w:qFormat/>
    <w:locked/>
    <w:uiPriority w:val="0"/>
    <w:rPr>
      <w:rFonts w:ascii="Calibri" w:hAnsi="Calibri" w:eastAsia="宋体"/>
      <w:i/>
      <w:sz w:val="24"/>
      <w:szCs w:val="24"/>
      <w:lang w:eastAsia="en-US" w:bidi="en-US"/>
    </w:rPr>
  </w:style>
  <w:style w:type="paragraph" w:styleId="289">
    <w:name w:val="Quote"/>
    <w:basedOn w:val="1"/>
    <w:next w:val="1"/>
    <w:link w:val="288"/>
    <w:autoRedefine/>
    <w:qFormat/>
    <w:uiPriority w:val="0"/>
    <w:pPr>
      <w:widowControl/>
      <w:jc w:val="left"/>
    </w:pPr>
    <w:rPr>
      <w:rFonts w:ascii="Calibri" w:hAnsi="Calibri"/>
      <w:i/>
      <w:kern w:val="0"/>
      <w:sz w:val="24"/>
      <w:lang w:eastAsia="en-US" w:bidi="en-US"/>
    </w:rPr>
  </w:style>
  <w:style w:type="character" w:customStyle="1" w:styleId="290">
    <w:name w:val="引用 Char1"/>
    <w:autoRedefine/>
    <w:qFormat/>
    <w:uiPriority w:val="29"/>
    <w:rPr>
      <w:rFonts w:ascii="Times New Roman" w:hAnsi="Times New Roman" w:eastAsia="宋体" w:cs="Times New Roman"/>
      <w:i/>
      <w:iCs/>
      <w:color w:val="000000"/>
      <w:szCs w:val="24"/>
    </w:rPr>
  </w:style>
  <w:style w:type="character" w:customStyle="1" w:styleId="291">
    <w:name w:val="明显引用 字符"/>
    <w:link w:val="292"/>
    <w:autoRedefine/>
    <w:qFormat/>
    <w:locked/>
    <w:uiPriority w:val="0"/>
    <w:rPr>
      <w:rFonts w:ascii="Calibri" w:hAnsi="Calibri" w:eastAsia="宋体"/>
      <w:b/>
      <w:i/>
      <w:sz w:val="24"/>
      <w:lang w:eastAsia="en-US" w:bidi="en-US"/>
    </w:rPr>
  </w:style>
  <w:style w:type="paragraph" w:styleId="292">
    <w:name w:val="Intense Quote"/>
    <w:basedOn w:val="1"/>
    <w:next w:val="1"/>
    <w:link w:val="291"/>
    <w:autoRedefine/>
    <w:qFormat/>
    <w:uiPriority w:val="0"/>
    <w:pPr>
      <w:widowControl/>
      <w:ind w:left="720" w:right="720"/>
      <w:jc w:val="left"/>
    </w:pPr>
    <w:rPr>
      <w:rFonts w:ascii="Calibri" w:hAnsi="Calibri"/>
      <w:b/>
      <w:i/>
      <w:kern w:val="0"/>
      <w:sz w:val="24"/>
      <w:szCs w:val="20"/>
      <w:lang w:eastAsia="en-US" w:bidi="en-US"/>
    </w:rPr>
  </w:style>
  <w:style w:type="character" w:customStyle="1" w:styleId="293">
    <w:name w:val="明显引用 Char1"/>
    <w:autoRedefine/>
    <w:qFormat/>
    <w:uiPriority w:val="30"/>
    <w:rPr>
      <w:rFonts w:ascii="Times New Roman" w:hAnsi="Times New Roman" w:eastAsia="宋体" w:cs="Times New Roman"/>
      <w:b/>
      <w:bCs/>
      <w:i/>
      <w:iCs/>
      <w:color w:val="4F81BD"/>
      <w:szCs w:val="24"/>
    </w:rPr>
  </w:style>
  <w:style w:type="paragraph" w:customStyle="1" w:styleId="294">
    <w:name w:val="样式3"/>
    <w:basedOn w:val="182"/>
    <w:next w:val="182"/>
    <w:link w:val="295"/>
    <w:autoRedefine/>
    <w:qFormat/>
    <w:uiPriority w:val="0"/>
    <w:pPr>
      <w:keepNext/>
      <w:keepLines/>
      <w:tabs>
        <w:tab w:val="clear" w:pos="5900"/>
      </w:tabs>
      <w:autoSpaceDE w:val="0"/>
      <w:autoSpaceDN w:val="0"/>
      <w:adjustRightInd w:val="0"/>
      <w:snapToGrid w:val="0"/>
      <w:spacing w:afterLines="50" w:line="560" w:lineRule="exact"/>
      <w:ind w:right="100" w:rightChars="100" w:firstLine="0" w:firstLineChars="0"/>
    </w:pPr>
    <w:rPr>
      <w:rFonts w:ascii="Times New Roman" w:hAnsi="Times New Roman" w:eastAsia="仿宋_GB2312"/>
      <w:color w:val="000000"/>
      <w:spacing w:val="10"/>
      <w:kern w:val="0"/>
      <w:sz w:val="24"/>
      <w:szCs w:val="18"/>
      <w:lang w:val="zh-CN"/>
    </w:rPr>
  </w:style>
  <w:style w:type="character" w:customStyle="1" w:styleId="295">
    <w:name w:val="样式3 Char"/>
    <w:link w:val="294"/>
    <w:autoRedefine/>
    <w:qFormat/>
    <w:uiPriority w:val="0"/>
    <w:rPr>
      <w:rFonts w:ascii="Times New Roman" w:hAnsi="Times New Roman" w:eastAsia="仿宋_GB2312"/>
      <w:b/>
      <w:color w:val="000000"/>
      <w:spacing w:val="10"/>
      <w:sz w:val="24"/>
      <w:szCs w:val="18"/>
      <w:lang w:val="zh-CN"/>
    </w:rPr>
  </w:style>
  <w:style w:type="paragraph" w:customStyle="1" w:styleId="296">
    <w:name w:val="样式4"/>
    <w:basedOn w:val="151"/>
    <w:autoRedefine/>
    <w:qFormat/>
    <w:uiPriority w:val="0"/>
    <w:pPr>
      <w:keepNext/>
      <w:keepLines/>
      <w:tabs>
        <w:tab w:val="clear" w:pos="1960"/>
      </w:tabs>
      <w:spacing w:line="560" w:lineRule="exact"/>
      <w:outlineLvl w:val="3"/>
    </w:pPr>
    <w:rPr>
      <w:rFonts w:eastAsia="仿宋_GB2312"/>
      <w:b/>
      <w:bCs/>
      <w:sz w:val="24"/>
      <w:szCs w:val="28"/>
    </w:rPr>
  </w:style>
  <w:style w:type="paragraph" w:customStyle="1" w:styleId="297">
    <w:name w:val="样式 加粗 左侧:  0.32 厘米"/>
    <w:basedOn w:val="1"/>
    <w:autoRedefine/>
    <w:qFormat/>
    <w:uiPriority w:val="0"/>
    <w:pPr>
      <w:spacing w:line="500" w:lineRule="exact"/>
      <w:ind w:left="180"/>
    </w:pPr>
    <w:rPr>
      <w:rFonts w:cs="宋体"/>
      <w:b/>
      <w:bCs/>
      <w:sz w:val="28"/>
      <w:szCs w:val="20"/>
    </w:rPr>
  </w:style>
  <w:style w:type="paragraph" w:customStyle="1" w:styleId="298">
    <w:name w:val="缩2"/>
    <w:basedOn w:val="1"/>
    <w:autoRedefine/>
    <w:qFormat/>
    <w:uiPriority w:val="0"/>
    <w:pPr>
      <w:spacing w:line="500" w:lineRule="exact"/>
      <w:ind w:firstLine="560" w:firstLineChars="200"/>
    </w:pPr>
    <w:rPr>
      <w:sz w:val="28"/>
    </w:rPr>
  </w:style>
  <w:style w:type="paragraph" w:customStyle="1" w:styleId="299">
    <w:name w:val="表"/>
    <w:basedOn w:val="1"/>
    <w:next w:val="9"/>
    <w:autoRedefine/>
    <w:qFormat/>
    <w:uiPriority w:val="0"/>
    <w:pPr>
      <w:adjustRightInd w:val="0"/>
      <w:spacing w:before="120" w:line="360" w:lineRule="auto"/>
      <w:jc w:val="center"/>
    </w:pPr>
    <w:rPr>
      <w:rFonts w:ascii="宋体"/>
      <w:szCs w:val="20"/>
    </w:rPr>
  </w:style>
  <w:style w:type="paragraph" w:customStyle="1" w:styleId="300">
    <w:name w:val="样式 标题 21.1标题 2 + 首行缩进:  2 字符"/>
    <w:basedOn w:val="3"/>
    <w:autoRedefine/>
    <w:qFormat/>
    <w:uiPriority w:val="0"/>
    <w:pPr>
      <w:adjustRightInd w:val="0"/>
      <w:snapToGrid w:val="0"/>
      <w:spacing w:before="0" w:after="0" w:line="500" w:lineRule="exact"/>
      <w:ind w:firstLine="602" w:firstLineChars="200"/>
    </w:pPr>
    <w:rPr>
      <w:rFonts w:ascii="宋体" w:hAnsi="宋体" w:eastAsia="宋体" w:cs="宋体"/>
      <w:kern w:val="44"/>
      <w:sz w:val="30"/>
      <w:szCs w:val="30"/>
    </w:rPr>
  </w:style>
  <w:style w:type="paragraph" w:customStyle="1" w:styleId="301">
    <w:name w:val="样式6 正文"/>
    <w:autoRedefine/>
    <w:qFormat/>
    <w:uiPriority w:val="0"/>
    <w:pPr>
      <w:widowControl w:val="0"/>
      <w:spacing w:beforeLines="50" w:line="500" w:lineRule="exact"/>
      <w:ind w:firstLine="560" w:firstLineChars="200"/>
      <w:jc w:val="both"/>
    </w:pPr>
    <w:rPr>
      <w:rFonts w:ascii="仿宋_GB2312" w:hAnsi="Times New Roman" w:eastAsia="仿宋_GB2312" w:cs="Times New Roman"/>
      <w:sz w:val="28"/>
      <w:szCs w:val="28"/>
      <w:lang w:val="en-US" w:eastAsia="zh-CN" w:bidi="ar-SA"/>
    </w:rPr>
  </w:style>
  <w:style w:type="character" w:customStyle="1" w:styleId="302">
    <w:name w:val="Char Char18"/>
    <w:autoRedefine/>
    <w:qFormat/>
    <w:uiPriority w:val="0"/>
    <w:rPr>
      <w:b/>
      <w:bCs/>
      <w:color w:val="auto"/>
    </w:rPr>
  </w:style>
  <w:style w:type="character" w:customStyle="1" w:styleId="303">
    <w:name w:val="Char Char19"/>
    <w:autoRedefine/>
    <w:qFormat/>
    <w:uiPriority w:val="0"/>
    <w:rPr>
      <w:rFonts w:hint="default" w:ascii="Times New Roman" w:hAnsi="Times New Roman" w:cs="Times New Roman"/>
      <w:b/>
      <w:bCs/>
      <w:color w:val="auto"/>
      <w:kern w:val="44"/>
      <w:sz w:val="30"/>
      <w:szCs w:val="44"/>
    </w:rPr>
  </w:style>
  <w:style w:type="character" w:customStyle="1" w:styleId="304">
    <w:name w:val="Char Char17"/>
    <w:autoRedefine/>
    <w:qFormat/>
    <w:uiPriority w:val="0"/>
    <w:rPr>
      <w:rFonts w:hint="default" w:ascii="Times New Roman" w:hAnsi="Times New Roman" w:cs="Times New Roman"/>
      <w:bCs/>
      <w:kern w:val="2"/>
      <w:sz w:val="28"/>
      <w:szCs w:val="32"/>
    </w:rPr>
  </w:style>
  <w:style w:type="character" w:customStyle="1" w:styleId="305">
    <w:name w:val="Char Char10"/>
    <w:autoRedefine/>
    <w:qFormat/>
    <w:uiPriority w:val="0"/>
    <w:rPr>
      <w:color w:val="000000"/>
      <w:kern w:val="2"/>
      <w:sz w:val="18"/>
      <w:szCs w:val="18"/>
    </w:rPr>
  </w:style>
  <w:style w:type="character" w:customStyle="1" w:styleId="306">
    <w:name w:val="Char Char16"/>
    <w:autoRedefine/>
    <w:qFormat/>
    <w:uiPriority w:val="0"/>
    <w:rPr>
      <w:rFonts w:hint="eastAsia" w:ascii="黑体" w:eastAsia="黑体"/>
      <w:b/>
      <w:kern w:val="2"/>
      <w:sz w:val="28"/>
      <w:szCs w:val="28"/>
    </w:rPr>
  </w:style>
  <w:style w:type="character" w:customStyle="1" w:styleId="307">
    <w:name w:val="Char Char13"/>
    <w:autoRedefine/>
    <w:qFormat/>
    <w:uiPriority w:val="0"/>
    <w:rPr>
      <w:rFonts w:hint="eastAsia" w:ascii="宋体" w:hAnsi="宋体" w:eastAsia="宋体"/>
      <w:b/>
      <w:kern w:val="2"/>
      <w:sz w:val="24"/>
      <w:szCs w:val="24"/>
    </w:rPr>
  </w:style>
  <w:style w:type="character" w:customStyle="1" w:styleId="308">
    <w:name w:val="Char Char11"/>
    <w:autoRedefine/>
    <w:qFormat/>
    <w:uiPriority w:val="0"/>
    <w:rPr>
      <w:rFonts w:hint="eastAsia" w:ascii="黑体" w:eastAsia="黑体"/>
      <w:bCs/>
      <w:kern w:val="2"/>
      <w:sz w:val="28"/>
      <w:szCs w:val="21"/>
    </w:rPr>
  </w:style>
  <w:style w:type="character" w:customStyle="1" w:styleId="309">
    <w:name w:val="Char Char7"/>
    <w:autoRedefine/>
    <w:semiHidden/>
    <w:qFormat/>
    <w:uiPriority w:val="0"/>
    <w:rPr>
      <w:rFonts w:hint="eastAsia" w:ascii="宋体" w:hAnsi="宋体" w:eastAsia="宋体"/>
      <w:bCs/>
      <w:kern w:val="2"/>
      <w:sz w:val="28"/>
      <w:szCs w:val="24"/>
    </w:rPr>
  </w:style>
  <w:style w:type="character" w:customStyle="1" w:styleId="310">
    <w:name w:val="Char Char15"/>
    <w:autoRedefine/>
    <w:qFormat/>
    <w:uiPriority w:val="0"/>
    <w:rPr>
      <w:rFonts w:hint="eastAsia" w:ascii="宋体" w:hAnsi="宋体" w:eastAsia="宋体"/>
      <w:b/>
      <w:kern w:val="2"/>
      <w:sz w:val="28"/>
      <w:szCs w:val="28"/>
      <w:lang w:val="en-US" w:eastAsia="zh-CN" w:bidi="ar-SA"/>
    </w:rPr>
  </w:style>
  <w:style w:type="character" w:customStyle="1" w:styleId="311">
    <w:name w:val="不明显强调1"/>
    <w:autoRedefine/>
    <w:qFormat/>
    <w:uiPriority w:val="0"/>
    <w:rPr>
      <w:i/>
      <w:color w:val="5A5A5A"/>
    </w:rPr>
  </w:style>
  <w:style w:type="character" w:customStyle="1" w:styleId="312">
    <w:name w:val="明显强调1"/>
    <w:autoRedefine/>
    <w:qFormat/>
    <w:uiPriority w:val="0"/>
    <w:rPr>
      <w:b/>
      <w:i/>
      <w:sz w:val="24"/>
      <w:szCs w:val="24"/>
      <w:u w:val="single"/>
    </w:rPr>
  </w:style>
  <w:style w:type="character" w:customStyle="1" w:styleId="313">
    <w:name w:val="不明显参考1"/>
    <w:autoRedefine/>
    <w:qFormat/>
    <w:uiPriority w:val="0"/>
    <w:rPr>
      <w:sz w:val="24"/>
      <w:szCs w:val="24"/>
      <w:u w:val="single"/>
    </w:rPr>
  </w:style>
  <w:style w:type="character" w:customStyle="1" w:styleId="314">
    <w:name w:val="明显参考1"/>
    <w:autoRedefine/>
    <w:qFormat/>
    <w:uiPriority w:val="0"/>
    <w:rPr>
      <w:b/>
      <w:sz w:val="24"/>
      <w:u w:val="single"/>
    </w:rPr>
  </w:style>
  <w:style w:type="character" w:customStyle="1" w:styleId="315">
    <w:name w:val="书籍标题1"/>
    <w:autoRedefine/>
    <w:qFormat/>
    <w:uiPriority w:val="0"/>
    <w:rPr>
      <w:rFonts w:hint="default" w:ascii="Cambria" w:hAnsi="Cambria" w:eastAsia="宋体"/>
      <w:b/>
      <w:i/>
      <w:sz w:val="24"/>
      <w:szCs w:val="24"/>
    </w:rPr>
  </w:style>
  <w:style w:type="character" w:customStyle="1" w:styleId="316">
    <w:name w:val="Char Char20"/>
    <w:autoRedefine/>
    <w:qFormat/>
    <w:uiPriority w:val="0"/>
    <w:rPr>
      <w:rFonts w:hint="default" w:ascii="Times New Roman" w:hAnsi="宋体" w:cs="Times New Roman"/>
      <w:b/>
      <w:bCs/>
      <w:kern w:val="2"/>
      <w:sz w:val="28"/>
      <w:szCs w:val="32"/>
    </w:rPr>
  </w:style>
  <w:style w:type="character" w:customStyle="1" w:styleId="317">
    <w:name w:val="Char Char21"/>
    <w:autoRedefine/>
    <w:qFormat/>
    <w:uiPriority w:val="0"/>
    <w:rPr>
      <w:rFonts w:hint="eastAsia" w:ascii="黑体" w:hAnsi="Times New Roman" w:eastAsia="黑体"/>
      <w:bCs/>
      <w:kern w:val="44"/>
      <w:sz w:val="30"/>
      <w:szCs w:val="44"/>
    </w:rPr>
  </w:style>
  <w:style w:type="character" w:customStyle="1" w:styleId="318">
    <w:name w:val="标题 11 Char"/>
    <w:autoRedefine/>
    <w:qFormat/>
    <w:uiPriority w:val="0"/>
    <w:rPr>
      <w:rFonts w:hint="eastAsia" w:ascii="宋体" w:hAnsi="宋体" w:eastAsia="宋体" w:cs="Times New Roman"/>
      <w:kern w:val="44"/>
      <w:sz w:val="32"/>
      <w:szCs w:val="32"/>
    </w:rPr>
  </w:style>
  <w:style w:type="character" w:customStyle="1" w:styleId="319">
    <w:name w:val="1.1.1标题 3 Char Char"/>
    <w:autoRedefine/>
    <w:qFormat/>
    <w:uiPriority w:val="0"/>
    <w:rPr>
      <w:rFonts w:hint="default" w:ascii="Arial" w:hAnsi="Arial" w:eastAsia="宋体" w:cs="Times New Roman"/>
      <w:b/>
      <w:kern w:val="44"/>
      <w:sz w:val="30"/>
      <w:szCs w:val="20"/>
    </w:rPr>
  </w:style>
  <w:style w:type="character" w:customStyle="1" w:styleId="320">
    <w:name w:val="1.1标题 2 Char Char"/>
    <w:autoRedefine/>
    <w:qFormat/>
    <w:uiPriority w:val="0"/>
    <w:rPr>
      <w:rFonts w:hint="default" w:ascii="Arial" w:hAnsi="Arial" w:eastAsia="宋体" w:cs="Times New Roman"/>
      <w:b/>
      <w:kern w:val="44"/>
      <w:sz w:val="28"/>
      <w:szCs w:val="20"/>
    </w:rPr>
  </w:style>
  <w:style w:type="paragraph" w:customStyle="1" w:styleId="321">
    <w:name w:val="设计封面编号宋2"/>
    <w:basedOn w:val="263"/>
    <w:next w:val="262"/>
    <w:autoRedefine/>
    <w:qFormat/>
    <w:uiPriority w:val="0"/>
    <w:rPr>
      <w:rFonts w:eastAsia="宋体"/>
      <w:sz w:val="44"/>
    </w:rPr>
  </w:style>
  <w:style w:type="character" w:customStyle="1" w:styleId="322">
    <w:name w:val="Char Char81"/>
    <w:autoRedefine/>
    <w:qFormat/>
    <w:uiPriority w:val="0"/>
    <w:rPr>
      <w:rFonts w:eastAsia="宋体"/>
      <w:kern w:val="2"/>
      <w:sz w:val="18"/>
      <w:szCs w:val="18"/>
      <w:lang w:val="en-US" w:eastAsia="zh-CN" w:bidi="ar-SA"/>
    </w:rPr>
  </w:style>
  <w:style w:type="character" w:customStyle="1" w:styleId="323">
    <w:name w:val="Char Char51"/>
    <w:autoRedefine/>
    <w:semiHidden/>
    <w:qFormat/>
    <w:uiPriority w:val="0"/>
    <w:rPr>
      <w:rFonts w:eastAsia="宋体"/>
      <w:kern w:val="2"/>
      <w:sz w:val="21"/>
      <w:szCs w:val="24"/>
      <w:lang w:val="en-US" w:eastAsia="zh-CN" w:bidi="ar-SA"/>
    </w:rPr>
  </w:style>
  <w:style w:type="character" w:customStyle="1" w:styleId="324">
    <w:name w:val="Char Char181"/>
    <w:autoRedefine/>
    <w:qFormat/>
    <w:uiPriority w:val="0"/>
    <w:rPr>
      <w:b/>
      <w:bCs/>
      <w:color w:val="auto"/>
    </w:rPr>
  </w:style>
  <w:style w:type="character" w:customStyle="1" w:styleId="325">
    <w:name w:val="Char Char191"/>
    <w:autoRedefine/>
    <w:qFormat/>
    <w:uiPriority w:val="0"/>
    <w:rPr>
      <w:rFonts w:ascii="Times New Roman" w:hAnsi="Times New Roman"/>
      <w:b/>
      <w:bCs/>
      <w:color w:val="auto"/>
      <w:kern w:val="44"/>
      <w:sz w:val="30"/>
      <w:szCs w:val="44"/>
    </w:rPr>
  </w:style>
  <w:style w:type="character" w:customStyle="1" w:styleId="326">
    <w:name w:val="Char Char171"/>
    <w:autoRedefine/>
    <w:qFormat/>
    <w:uiPriority w:val="0"/>
    <w:rPr>
      <w:rFonts w:ascii="Times New Roman" w:hAnsi="Times New Roman"/>
      <w:bCs/>
      <w:kern w:val="2"/>
      <w:sz w:val="28"/>
      <w:szCs w:val="32"/>
    </w:rPr>
  </w:style>
  <w:style w:type="character" w:customStyle="1" w:styleId="327">
    <w:name w:val="Char Char101"/>
    <w:autoRedefine/>
    <w:qFormat/>
    <w:uiPriority w:val="0"/>
    <w:rPr>
      <w:color w:val="000000"/>
      <w:kern w:val="2"/>
      <w:sz w:val="18"/>
      <w:szCs w:val="18"/>
    </w:rPr>
  </w:style>
  <w:style w:type="character" w:customStyle="1" w:styleId="328">
    <w:name w:val="Char Char161"/>
    <w:autoRedefine/>
    <w:qFormat/>
    <w:uiPriority w:val="0"/>
    <w:rPr>
      <w:rFonts w:eastAsia="黑体"/>
      <w:b/>
      <w:kern w:val="2"/>
      <w:sz w:val="28"/>
      <w:szCs w:val="28"/>
    </w:rPr>
  </w:style>
  <w:style w:type="character" w:customStyle="1" w:styleId="329">
    <w:name w:val="Char Char121"/>
    <w:autoRedefine/>
    <w:qFormat/>
    <w:uiPriority w:val="0"/>
    <w:rPr>
      <w:rFonts w:ascii="Arial" w:hAnsi="Arial" w:eastAsia="黑体"/>
      <w:b/>
      <w:bCs/>
      <w:kern w:val="2"/>
      <w:sz w:val="24"/>
      <w:szCs w:val="24"/>
      <w:lang w:val="en-US" w:eastAsia="zh-CN" w:bidi="ar-SA"/>
    </w:rPr>
  </w:style>
  <w:style w:type="character" w:customStyle="1" w:styleId="330">
    <w:name w:val="Char Char9"/>
    <w:autoRedefine/>
    <w:qFormat/>
    <w:uiPriority w:val="0"/>
    <w:rPr>
      <w:rFonts w:ascii="Arial" w:hAnsi="Arial" w:eastAsia="黑体"/>
      <w:bCs/>
      <w:kern w:val="2"/>
      <w:sz w:val="24"/>
      <w:szCs w:val="24"/>
      <w:lang w:val="en-US" w:eastAsia="zh-CN" w:bidi="ar-SA"/>
    </w:rPr>
  </w:style>
  <w:style w:type="character" w:customStyle="1" w:styleId="331">
    <w:name w:val="Char Char111"/>
    <w:autoRedefine/>
    <w:qFormat/>
    <w:uiPriority w:val="0"/>
    <w:rPr>
      <w:rFonts w:eastAsia="黑体"/>
      <w:bCs/>
      <w:kern w:val="2"/>
      <w:sz w:val="28"/>
      <w:szCs w:val="21"/>
    </w:rPr>
  </w:style>
  <w:style w:type="paragraph" w:customStyle="1" w:styleId="332">
    <w:name w:val="标题 1红4号1"/>
    <w:basedOn w:val="2"/>
    <w:autoRedefine/>
    <w:qFormat/>
    <w:uiPriority w:val="0"/>
    <w:pPr>
      <w:shd w:val="clear" w:color="auto" w:fill="FFFFFF"/>
      <w:tabs>
        <w:tab w:val="left" w:pos="210"/>
      </w:tabs>
      <w:kinsoku w:val="0"/>
      <w:overflowPunct w:val="0"/>
      <w:autoSpaceDE w:val="0"/>
      <w:autoSpaceDN w:val="0"/>
      <w:spacing w:before="0" w:after="0" w:line="240" w:lineRule="auto"/>
      <w:ind w:firstLine="200" w:firstLineChars="200"/>
      <w:jc w:val="center"/>
    </w:pPr>
    <w:rPr>
      <w:rFonts w:ascii="宋体" w:hAnsi="宋体"/>
      <w:bCs w:val="0"/>
      <w:color w:val="FF6600"/>
      <w:sz w:val="28"/>
      <w:szCs w:val="28"/>
    </w:rPr>
  </w:style>
  <w:style w:type="paragraph" w:customStyle="1" w:styleId="333">
    <w:name w:val="标题 2 蓝四号1"/>
    <w:basedOn w:val="3"/>
    <w:next w:val="1"/>
    <w:autoRedefine/>
    <w:semiHidden/>
    <w:qFormat/>
    <w:uiPriority w:val="0"/>
    <w:pPr>
      <w:shd w:val="clear" w:color="auto" w:fill="FFFFFF"/>
      <w:tabs>
        <w:tab w:val="left" w:pos="210"/>
      </w:tabs>
      <w:kinsoku w:val="0"/>
      <w:overflowPunct w:val="0"/>
      <w:autoSpaceDE w:val="0"/>
      <w:autoSpaceDN w:val="0"/>
      <w:spacing w:before="120" w:after="120" w:line="300" w:lineRule="exact"/>
    </w:pPr>
    <w:rPr>
      <w:rFonts w:ascii="宋体" w:hAnsi="宋体" w:eastAsia="宋体"/>
      <w:bCs w:val="0"/>
      <w:color w:val="0000FF"/>
      <w:sz w:val="24"/>
      <w:szCs w:val="24"/>
    </w:rPr>
  </w:style>
  <w:style w:type="character" w:customStyle="1" w:styleId="334">
    <w:name w:val="Char Char151"/>
    <w:autoRedefine/>
    <w:qFormat/>
    <w:uiPriority w:val="0"/>
    <w:rPr>
      <w:rFonts w:ascii="宋体" w:hAnsi="宋体" w:eastAsia="宋体"/>
      <w:b/>
      <w:kern w:val="2"/>
      <w:sz w:val="28"/>
      <w:szCs w:val="28"/>
      <w:lang w:val="en-US" w:eastAsia="zh-CN" w:bidi="ar-SA"/>
    </w:rPr>
  </w:style>
  <w:style w:type="character" w:customStyle="1" w:styleId="335">
    <w:name w:val="Char Char201"/>
    <w:autoRedefine/>
    <w:qFormat/>
    <w:uiPriority w:val="0"/>
    <w:rPr>
      <w:rFonts w:ascii="Times New Roman" w:hAnsi="宋体" w:cs="Times New Roman"/>
      <w:b/>
      <w:bCs/>
      <w:kern w:val="2"/>
      <w:sz w:val="28"/>
      <w:szCs w:val="32"/>
    </w:rPr>
  </w:style>
  <w:style w:type="character" w:customStyle="1" w:styleId="336">
    <w:name w:val="Char Char211"/>
    <w:autoRedefine/>
    <w:qFormat/>
    <w:uiPriority w:val="0"/>
    <w:rPr>
      <w:rFonts w:ascii="黑体" w:hAnsi="Times New Roman" w:eastAsia="黑体"/>
      <w:bCs/>
      <w:kern w:val="44"/>
      <w:sz w:val="30"/>
      <w:szCs w:val="44"/>
    </w:rPr>
  </w:style>
  <w:style w:type="paragraph" w:customStyle="1" w:styleId="337">
    <w:name w:val="xl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38">
    <w:name w:val="xl59"/>
    <w:basedOn w:val="1"/>
    <w:autoRedefine/>
    <w:qFormat/>
    <w:uiPriority w:val="0"/>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339">
    <w:name w:val="xl60"/>
    <w:basedOn w:val="1"/>
    <w:autoRedefine/>
    <w:qFormat/>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340">
    <w:name w:val="xl61"/>
    <w:basedOn w:val="1"/>
    <w:autoRedefine/>
    <w:qFormat/>
    <w:uiPriority w:val="0"/>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341">
    <w:name w:val="xl62"/>
    <w:basedOn w:val="1"/>
    <w:autoRedefine/>
    <w:qFormat/>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342">
    <w:name w:val="xl63"/>
    <w:basedOn w:val="1"/>
    <w:autoRedefine/>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343">
    <w:name w:val="xl64"/>
    <w:basedOn w:val="1"/>
    <w:autoRedefine/>
    <w:qFormat/>
    <w:uiPriority w:val="0"/>
    <w:pPr>
      <w:widowControl/>
      <w:spacing w:before="100" w:beforeAutospacing="1" w:after="100" w:afterAutospacing="1"/>
      <w:jc w:val="center"/>
    </w:pPr>
    <w:rPr>
      <w:rFonts w:ascii="宋体" w:hAnsi="宋体" w:cs="宋体"/>
      <w:kern w:val="0"/>
      <w:sz w:val="24"/>
    </w:rPr>
  </w:style>
  <w:style w:type="paragraph" w:customStyle="1" w:styleId="344">
    <w:name w:val="4 Char"/>
    <w:basedOn w:val="1"/>
    <w:autoRedefine/>
    <w:qFormat/>
    <w:uiPriority w:val="0"/>
  </w:style>
  <w:style w:type="character" w:customStyle="1" w:styleId="345">
    <w:name w:val="bold121"/>
    <w:autoRedefine/>
    <w:qFormat/>
    <w:uiPriority w:val="0"/>
    <w:rPr>
      <w:b/>
      <w:bCs/>
      <w:sz w:val="18"/>
      <w:szCs w:val="18"/>
    </w:rPr>
  </w:style>
  <w:style w:type="paragraph" w:customStyle="1" w:styleId="346">
    <w:name w:val="Char Char Char Char Char2 Char Char Char Char1"/>
    <w:basedOn w:val="1"/>
    <w:autoRedefine/>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47">
    <w:name w:val="正文排版"/>
    <w:basedOn w:val="1"/>
    <w:autoRedefine/>
    <w:qFormat/>
    <w:uiPriority w:val="0"/>
    <w:pPr>
      <w:spacing w:line="500" w:lineRule="exact"/>
      <w:ind w:firstLine="560" w:firstLineChars="200"/>
    </w:pPr>
    <w:rPr>
      <w:rFonts w:ascii="宋体" w:hAnsi="宋体"/>
      <w:color w:val="000000"/>
      <w:sz w:val="28"/>
      <w:szCs w:val="28"/>
    </w:rPr>
  </w:style>
  <w:style w:type="paragraph" w:customStyle="1" w:styleId="348">
    <w:name w:val="表格内容"/>
    <w:basedOn w:val="349"/>
    <w:autoRedefine/>
    <w:qFormat/>
    <w:uiPriority w:val="0"/>
    <w:pPr>
      <w:adjustRightInd w:val="0"/>
      <w:snapToGrid w:val="0"/>
      <w:spacing w:line="0" w:lineRule="atLeast"/>
      <w:jc w:val="center"/>
      <w:textAlignment w:val="baseline"/>
    </w:pPr>
    <w:rPr>
      <w:rFonts w:ascii="仿宋_GB2312" w:eastAsia="仿宋_GB2312"/>
      <w:snapToGrid w:val="0"/>
      <w:spacing w:val="-4"/>
      <w:kern w:val="0"/>
      <w:sz w:val="17"/>
      <w:szCs w:val="20"/>
    </w:rPr>
  </w:style>
  <w:style w:type="paragraph" w:customStyle="1" w:styleId="349">
    <w:name w:val="表头"/>
    <w:basedOn w:val="350"/>
    <w:autoRedefine/>
    <w:qFormat/>
    <w:uiPriority w:val="0"/>
    <w:pPr>
      <w:adjustRightInd w:val="0"/>
      <w:snapToGrid w:val="0"/>
      <w:spacing w:line="360" w:lineRule="auto"/>
      <w:ind w:firstLine="0" w:firstLineChars="0"/>
      <w:jc w:val="center"/>
    </w:pPr>
    <w:rPr>
      <w:rFonts w:hint="eastAsia" w:ascii="Times New Roman" w:hAnsi="Times New Roman" w:eastAsia="宋体" w:cs="Times New Roman"/>
      <w:b/>
      <w:color w:val="000000"/>
      <w:sz w:val="24"/>
    </w:rPr>
  </w:style>
  <w:style w:type="paragraph" w:customStyle="1" w:styleId="350">
    <w:name w:val="正文d"/>
    <w:basedOn w:val="1"/>
    <w:autoRedefine/>
    <w:qFormat/>
    <w:uiPriority w:val="0"/>
    <w:pPr>
      <w:autoSpaceDE w:val="0"/>
      <w:autoSpaceDN w:val="0"/>
      <w:adjustRightInd w:val="0"/>
      <w:snapToGrid w:val="0"/>
      <w:spacing w:line="360" w:lineRule="auto"/>
      <w:ind w:firstLine="200" w:firstLineChars="200"/>
    </w:pPr>
    <w:rPr>
      <w:rFonts w:cs="宋体"/>
      <w:kern w:val="0"/>
      <w:szCs w:val="21"/>
    </w:rPr>
  </w:style>
  <w:style w:type="character" w:customStyle="1" w:styleId="351">
    <w:name w:val="第四层条 Char"/>
    <w:autoRedefine/>
    <w:qFormat/>
    <w:uiPriority w:val="0"/>
    <w:rPr>
      <w:rFonts w:eastAsia="宋体"/>
      <w:b/>
      <w:bCs/>
      <w:kern w:val="2"/>
      <w:sz w:val="28"/>
      <w:szCs w:val="28"/>
      <w:lang w:val="en-US" w:eastAsia="zh-CN" w:bidi="ar-SA"/>
    </w:rPr>
  </w:style>
  <w:style w:type="paragraph" w:customStyle="1" w:styleId="352">
    <w:name w:val="三级条标题"/>
    <w:basedOn w:val="1"/>
    <w:next w:val="1"/>
    <w:autoRedefine/>
    <w:qFormat/>
    <w:uiPriority w:val="0"/>
    <w:pPr>
      <w:widowControl/>
      <w:tabs>
        <w:tab w:val="left" w:pos="360"/>
      </w:tabs>
      <w:outlineLvl w:val="4"/>
    </w:pPr>
    <w:rPr>
      <w:rFonts w:ascii="黑体" w:eastAsia="黑体"/>
      <w:kern w:val="0"/>
      <w:szCs w:val="20"/>
    </w:rPr>
  </w:style>
  <w:style w:type="character" w:customStyle="1" w:styleId="353">
    <w:name w:val="第四层条 Char Char"/>
    <w:autoRedefine/>
    <w:qFormat/>
    <w:uiPriority w:val="0"/>
    <w:rPr>
      <w:rFonts w:eastAsia="宋体"/>
      <w:b/>
      <w:kern w:val="2"/>
      <w:sz w:val="28"/>
      <w:lang w:val="en-US" w:eastAsia="zh-CN" w:bidi="ar-SA"/>
    </w:rPr>
  </w:style>
  <w:style w:type="character" w:customStyle="1" w:styleId="354">
    <w:name w:val="第五层条 Char Char"/>
    <w:autoRedefine/>
    <w:qFormat/>
    <w:uiPriority w:val="0"/>
    <w:rPr>
      <w:rFonts w:ascii="Arial" w:hAnsi="Arial" w:eastAsia="黑体"/>
      <w:b/>
      <w:kern w:val="2"/>
      <w:sz w:val="24"/>
      <w:lang w:val="en-US" w:eastAsia="zh-CN" w:bidi="ar-SA"/>
    </w:rPr>
  </w:style>
  <w:style w:type="character" w:customStyle="1" w:styleId="355">
    <w:name w:val="标题5"/>
    <w:autoRedefine/>
    <w:qFormat/>
    <w:uiPriority w:val="0"/>
    <w:rPr>
      <w:rFonts w:hint="eastAsia" w:ascii="微软雅黑" w:hAnsi="微软雅黑" w:eastAsia="微软雅黑"/>
      <w:sz w:val="18"/>
      <w:szCs w:val="18"/>
    </w:rPr>
  </w:style>
  <w:style w:type="character" w:customStyle="1" w:styleId="356">
    <w:name w:val="14red1"/>
    <w:autoRedefine/>
    <w:qFormat/>
    <w:uiPriority w:val="0"/>
    <w:rPr>
      <w:color w:val="FF0000"/>
      <w:sz w:val="21"/>
      <w:szCs w:val="21"/>
      <w:u w:val="none"/>
    </w:rPr>
  </w:style>
  <w:style w:type="paragraph" w:customStyle="1" w:styleId="357">
    <w:name w:val="4"/>
    <w:basedOn w:val="1"/>
    <w:next w:val="30"/>
    <w:autoRedefine/>
    <w:qFormat/>
    <w:uiPriority w:val="0"/>
    <w:rPr>
      <w:rFonts w:ascii="宋体" w:hAnsi="Courier New"/>
      <w:szCs w:val="20"/>
    </w:rPr>
  </w:style>
  <w:style w:type="character" w:customStyle="1" w:styleId="358">
    <w:name w:val="正文文字 21 Char1"/>
    <w:autoRedefine/>
    <w:qFormat/>
    <w:uiPriority w:val="0"/>
    <w:rPr>
      <w:rFonts w:eastAsia="宋体"/>
      <w:kern w:val="2"/>
      <w:sz w:val="28"/>
      <w:szCs w:val="24"/>
      <w:lang w:val="en-US" w:eastAsia="zh-CN" w:bidi="ar-SA"/>
    </w:rPr>
  </w:style>
  <w:style w:type="paragraph" w:customStyle="1" w:styleId="359">
    <w:name w:val="样式 标题 1 + 小四"/>
    <w:basedOn w:val="2"/>
    <w:autoRedefine/>
    <w:qFormat/>
    <w:uiPriority w:val="0"/>
    <w:pPr>
      <w:keepNext w:val="0"/>
      <w:pageBreakBefore/>
      <w:spacing w:before="120" w:after="120" w:line="360" w:lineRule="auto"/>
      <w:jc w:val="center"/>
    </w:pPr>
    <w:rPr>
      <w:spacing w:val="20"/>
      <w:kern w:val="28"/>
      <w:sz w:val="28"/>
      <w:szCs w:val="32"/>
    </w:rPr>
  </w:style>
  <w:style w:type="paragraph" w:customStyle="1" w:styleId="360">
    <w:name w:val="样式8"/>
    <w:basedOn w:val="1"/>
    <w:autoRedefine/>
    <w:qFormat/>
    <w:uiPriority w:val="0"/>
    <w:pPr>
      <w:ind w:firstLine="499"/>
    </w:pPr>
    <w:rPr>
      <w:rFonts w:ascii="宋体"/>
      <w:color w:val="000000"/>
      <w:sz w:val="28"/>
      <w:szCs w:val="20"/>
    </w:rPr>
  </w:style>
  <w:style w:type="character" w:customStyle="1" w:styleId="361">
    <w:name w:val="smessage_content"/>
    <w:basedOn w:val="61"/>
    <w:autoRedefine/>
    <w:qFormat/>
    <w:uiPriority w:val="0"/>
  </w:style>
  <w:style w:type="paragraph" w:customStyle="1" w:styleId="362">
    <w:name w:val="表格体"/>
    <w:basedOn w:val="1"/>
    <w:autoRedefine/>
    <w:qFormat/>
    <w:uiPriority w:val="0"/>
    <w:pPr>
      <w:adjustRightInd w:val="0"/>
      <w:snapToGrid w:val="0"/>
      <w:jc w:val="center"/>
    </w:pPr>
    <w:rPr>
      <w:bCs/>
    </w:rPr>
  </w:style>
  <w:style w:type="paragraph" w:customStyle="1" w:styleId="363">
    <w:name w:val="默认段落字体 Para Char Char Char Char"/>
    <w:basedOn w:val="1"/>
    <w:autoRedefine/>
    <w:qFormat/>
    <w:uiPriority w:val="0"/>
  </w:style>
  <w:style w:type="character" w:customStyle="1" w:styleId="364">
    <w:name w:val="正文文字 Char"/>
    <w:autoRedefine/>
    <w:qFormat/>
    <w:uiPriority w:val="0"/>
    <w:rPr>
      <w:rFonts w:eastAsia="宋体"/>
      <w:kern w:val="2"/>
      <w:sz w:val="24"/>
      <w:szCs w:val="24"/>
      <w:lang w:val="en-US" w:eastAsia="zh-CN" w:bidi="ar-SA"/>
    </w:rPr>
  </w:style>
  <w:style w:type="character" w:customStyle="1" w:styleId="365">
    <w:name w:val="表头 Char Char"/>
    <w:autoRedefine/>
    <w:qFormat/>
    <w:uiPriority w:val="0"/>
    <w:rPr>
      <w:rFonts w:eastAsia="宋体"/>
      <w:kern w:val="2"/>
      <w:sz w:val="21"/>
      <w:szCs w:val="24"/>
      <w:lang w:val="en-US" w:eastAsia="zh-CN" w:bidi="ar-SA"/>
    </w:rPr>
  </w:style>
  <w:style w:type="character" w:customStyle="1" w:styleId="366">
    <w:name w:val="Body Text Indent 3 Char"/>
    <w:autoRedefine/>
    <w:qFormat/>
    <w:uiPriority w:val="0"/>
    <w:rPr>
      <w:kern w:val="2"/>
      <w:sz w:val="16"/>
      <w:szCs w:val="16"/>
    </w:rPr>
  </w:style>
  <w:style w:type="paragraph" w:customStyle="1" w:styleId="367">
    <w:name w:val="样式5"/>
    <w:basedOn w:val="1"/>
    <w:autoRedefine/>
    <w:qFormat/>
    <w:uiPriority w:val="0"/>
    <w:pPr>
      <w:snapToGrid w:val="0"/>
      <w:spacing w:line="360" w:lineRule="auto"/>
      <w:ind w:firstLine="510"/>
    </w:pPr>
    <w:rPr>
      <w:sz w:val="24"/>
    </w:rPr>
  </w:style>
  <w:style w:type="character" w:customStyle="1" w:styleId="368">
    <w:name w:val="textcontents"/>
    <w:basedOn w:val="61"/>
    <w:autoRedefine/>
    <w:qFormat/>
    <w:uiPriority w:val="0"/>
  </w:style>
  <w:style w:type="paragraph" w:customStyle="1" w:styleId="369">
    <w:name w:val="表格字"/>
    <w:basedOn w:val="42"/>
    <w:autoRedefine/>
    <w:qFormat/>
    <w:uiPriority w:val="0"/>
    <w:pPr>
      <w:adjustRightInd/>
      <w:spacing w:line="380" w:lineRule="exact"/>
      <w:ind w:left="0" w:leftChars="0" w:right="0" w:rightChars="0" w:firstLine="0" w:firstLineChars="0"/>
      <w:jc w:val="center"/>
      <w:textAlignment w:val="auto"/>
    </w:pPr>
    <w:rPr>
      <w:rFonts w:ascii="宋体" w:hAnsi="宋体" w:eastAsia="宋体"/>
      <w:szCs w:val="21"/>
    </w:rPr>
  </w:style>
  <w:style w:type="paragraph" w:customStyle="1" w:styleId="370">
    <w:name w:val="正文1 Char Char Char"/>
    <w:basedOn w:val="1"/>
    <w:autoRedefine/>
    <w:qFormat/>
    <w:uiPriority w:val="0"/>
    <w:pPr>
      <w:spacing w:line="560" w:lineRule="exact"/>
      <w:ind w:firstLine="200" w:firstLineChars="200"/>
    </w:pPr>
    <w:rPr>
      <w:rFonts w:ascii="宋体" w:hAnsi="宋体" w:cs="宋体"/>
      <w:sz w:val="24"/>
    </w:rPr>
  </w:style>
  <w:style w:type="paragraph" w:customStyle="1" w:styleId="371">
    <w:name w:val="样式12q"/>
    <w:basedOn w:val="1"/>
    <w:link w:val="372"/>
    <w:autoRedefine/>
    <w:qFormat/>
    <w:uiPriority w:val="0"/>
    <w:pPr>
      <w:spacing w:line="360" w:lineRule="auto"/>
      <w:ind w:firstLine="560" w:firstLineChars="200"/>
    </w:pPr>
    <w:rPr>
      <w:kern w:val="0"/>
      <w:sz w:val="28"/>
      <w:szCs w:val="28"/>
    </w:rPr>
  </w:style>
  <w:style w:type="character" w:customStyle="1" w:styleId="372">
    <w:name w:val="样式12q Char"/>
    <w:link w:val="371"/>
    <w:autoRedefine/>
    <w:qFormat/>
    <w:uiPriority w:val="0"/>
    <w:rPr>
      <w:rFonts w:ascii="Times New Roman" w:hAnsi="Times New Roman" w:eastAsia="宋体" w:cs="Times New Roman"/>
      <w:sz w:val="28"/>
      <w:szCs w:val="28"/>
    </w:rPr>
  </w:style>
  <w:style w:type="paragraph" w:customStyle="1" w:styleId="373">
    <w:name w:val="标题 3，BSH-3条标题1.1.1"/>
    <w:basedOn w:val="5"/>
    <w:link w:val="374"/>
    <w:autoRedefine/>
    <w:qFormat/>
    <w:uiPriority w:val="0"/>
    <w:pPr>
      <w:spacing w:before="0" w:after="0" w:line="360" w:lineRule="auto"/>
      <w:jc w:val="left"/>
      <w:outlineLvl w:val="9"/>
    </w:pPr>
    <w:rPr>
      <w:rFonts w:ascii="宋体" w:hAnsi="宋体"/>
      <w:b w:val="0"/>
      <w:bCs w:val="0"/>
      <w:caps/>
      <w:sz w:val="24"/>
      <w:szCs w:val="24"/>
    </w:rPr>
  </w:style>
  <w:style w:type="character" w:customStyle="1" w:styleId="374">
    <w:name w:val="标题 3，BSH-3条标题1.1.1 Char Char"/>
    <w:link w:val="373"/>
    <w:autoRedefine/>
    <w:qFormat/>
    <w:uiPriority w:val="0"/>
    <w:rPr>
      <w:rFonts w:ascii="宋体" w:hAnsi="宋体" w:eastAsia="宋体" w:cs="Times New Roman"/>
      <w:caps/>
      <w:kern w:val="0"/>
      <w:sz w:val="24"/>
      <w:szCs w:val="24"/>
    </w:rPr>
  </w:style>
  <w:style w:type="paragraph" w:customStyle="1" w:styleId="375">
    <w:name w:val="样式 标题 2节标题 1.11.1标题2SeBSH-2h2l22nd levelTitre22Header ..."/>
    <w:basedOn w:val="3"/>
    <w:link w:val="376"/>
    <w:autoRedefine/>
    <w:qFormat/>
    <w:uiPriority w:val="0"/>
    <w:pPr>
      <w:spacing w:line="415" w:lineRule="auto"/>
    </w:pPr>
    <w:rPr>
      <w:rFonts w:ascii="宋体" w:hAnsi="宋体"/>
      <w:sz w:val="24"/>
    </w:rPr>
  </w:style>
  <w:style w:type="character" w:customStyle="1" w:styleId="376">
    <w:name w:val="样式 标题 2节标题 1.11.1标题2SeBSH-2h2l22nd levelTitre22Header ... Char"/>
    <w:link w:val="375"/>
    <w:autoRedefine/>
    <w:qFormat/>
    <w:uiPriority w:val="0"/>
    <w:rPr>
      <w:rFonts w:ascii="宋体" w:hAnsi="宋体" w:eastAsia="黑体" w:cs="Times New Roman"/>
      <w:bCs/>
      <w:sz w:val="24"/>
      <w:szCs w:val="32"/>
    </w:rPr>
  </w:style>
  <w:style w:type="paragraph" w:customStyle="1" w:styleId="377">
    <w:name w:val="样式 宋体 四号 行距: 1.5 倍行距"/>
    <w:basedOn w:val="1"/>
    <w:autoRedefine/>
    <w:qFormat/>
    <w:uiPriority w:val="0"/>
    <w:pPr>
      <w:tabs>
        <w:tab w:val="left" w:pos="840"/>
      </w:tabs>
      <w:snapToGrid w:val="0"/>
      <w:spacing w:line="360" w:lineRule="auto"/>
      <w:ind w:right="-170" w:firstLine="480" w:firstLineChars="200"/>
    </w:pPr>
    <w:rPr>
      <w:rFonts w:ascii="宋体" w:hAnsi="宋体"/>
      <w:sz w:val="24"/>
    </w:rPr>
  </w:style>
  <w:style w:type="paragraph" w:customStyle="1" w:styleId="378">
    <w:name w:val="正文：段落格式"/>
    <w:basedOn w:val="1"/>
    <w:link w:val="379"/>
    <w:autoRedefine/>
    <w:qFormat/>
    <w:uiPriority w:val="0"/>
    <w:pPr>
      <w:tabs>
        <w:tab w:val="left" w:pos="1320"/>
      </w:tabs>
      <w:adjustRightInd w:val="0"/>
      <w:snapToGrid w:val="0"/>
      <w:spacing w:line="440" w:lineRule="atLeast"/>
      <w:ind w:left="1320" w:hanging="420"/>
    </w:pPr>
    <w:rPr>
      <w:rFonts w:ascii="宋体" w:hAnsi="宋体"/>
      <w:color w:val="000000"/>
      <w:kern w:val="15"/>
      <w:sz w:val="24"/>
    </w:rPr>
  </w:style>
  <w:style w:type="character" w:customStyle="1" w:styleId="379">
    <w:name w:val="正文：段落格式 Char"/>
    <w:link w:val="378"/>
    <w:autoRedefine/>
    <w:qFormat/>
    <w:uiPriority w:val="0"/>
    <w:rPr>
      <w:rFonts w:ascii="宋体" w:hAnsi="宋体" w:eastAsia="宋体" w:cs="Times New Roman"/>
      <w:color w:val="000000"/>
      <w:kern w:val="15"/>
      <w:sz w:val="24"/>
      <w:szCs w:val="24"/>
    </w:rPr>
  </w:style>
  <w:style w:type="paragraph" w:customStyle="1" w:styleId="380">
    <w:name w:val="样式 样式 正文缩进s4 + 首行缩进:  2 字符 + 首行缩进:  2 字符"/>
    <w:basedOn w:val="1"/>
    <w:autoRedefine/>
    <w:qFormat/>
    <w:uiPriority w:val="0"/>
    <w:pPr>
      <w:adjustRightInd w:val="0"/>
      <w:snapToGrid w:val="0"/>
      <w:spacing w:line="336" w:lineRule="auto"/>
      <w:ind w:firstLine="545" w:firstLineChars="227"/>
    </w:pPr>
    <w:rPr>
      <w:rFonts w:ascii="宋体" w:hAnsi="宋体"/>
      <w:color w:val="000000"/>
      <w:sz w:val="28"/>
      <w:szCs w:val="20"/>
    </w:rPr>
  </w:style>
  <w:style w:type="paragraph" w:customStyle="1" w:styleId="381">
    <w:name w:val="纯文本1"/>
    <w:basedOn w:val="1"/>
    <w:autoRedefine/>
    <w:qFormat/>
    <w:uiPriority w:val="0"/>
    <w:pPr>
      <w:adjustRightInd w:val="0"/>
      <w:jc w:val="left"/>
      <w:textAlignment w:val="baseline"/>
    </w:pPr>
    <w:rPr>
      <w:rFonts w:ascii="宋体" w:hAnsi="Courier New"/>
      <w:sz w:val="28"/>
      <w:szCs w:val="28"/>
    </w:rPr>
  </w:style>
  <w:style w:type="paragraph" w:customStyle="1" w:styleId="382">
    <w:name w:val="正文文本最新 Char Char Char Char1 Char"/>
    <w:basedOn w:val="1"/>
    <w:link w:val="383"/>
    <w:autoRedefine/>
    <w:qFormat/>
    <w:uiPriority w:val="0"/>
    <w:pPr>
      <w:spacing w:line="360" w:lineRule="auto"/>
      <w:ind w:firstLine="200" w:firstLineChars="200"/>
    </w:pPr>
    <w:rPr>
      <w:bCs/>
      <w:kern w:val="0"/>
      <w:sz w:val="28"/>
    </w:rPr>
  </w:style>
  <w:style w:type="character" w:customStyle="1" w:styleId="383">
    <w:name w:val="正文文本最新 Char Char Char Char1 Char Char"/>
    <w:link w:val="382"/>
    <w:autoRedefine/>
    <w:qFormat/>
    <w:uiPriority w:val="0"/>
    <w:rPr>
      <w:rFonts w:ascii="Times New Roman" w:hAnsi="Times New Roman" w:eastAsia="宋体" w:cs="Times New Roman"/>
      <w:bCs/>
      <w:sz w:val="28"/>
      <w:szCs w:val="24"/>
    </w:rPr>
  </w:style>
  <w:style w:type="paragraph" w:customStyle="1" w:styleId="384">
    <w:name w:val="标题1q"/>
    <w:basedOn w:val="1"/>
    <w:next w:val="1"/>
    <w:autoRedefine/>
    <w:qFormat/>
    <w:uiPriority w:val="0"/>
    <w:pPr>
      <w:spacing w:line="360" w:lineRule="auto"/>
      <w:ind w:left="431" w:firstLine="200" w:firstLineChars="200"/>
      <w:jc w:val="center"/>
    </w:pPr>
    <w:rPr>
      <w:szCs w:val="20"/>
    </w:rPr>
  </w:style>
  <w:style w:type="character" w:customStyle="1" w:styleId="385">
    <w:name w:val="正文 宋体 小四 Char"/>
    <w:link w:val="386"/>
    <w:autoRedefine/>
    <w:qFormat/>
    <w:uiPriority w:val="0"/>
    <w:rPr>
      <w:rFonts w:ascii="宋体" w:hAnsi="宋体" w:eastAsia="宋体"/>
      <w:sz w:val="24"/>
    </w:rPr>
  </w:style>
  <w:style w:type="paragraph" w:customStyle="1" w:styleId="386">
    <w:name w:val="正文 宋体 小四"/>
    <w:basedOn w:val="1"/>
    <w:link w:val="385"/>
    <w:autoRedefine/>
    <w:qFormat/>
    <w:uiPriority w:val="0"/>
    <w:pPr>
      <w:spacing w:line="360" w:lineRule="auto"/>
      <w:ind w:firstLine="480"/>
    </w:pPr>
    <w:rPr>
      <w:rFonts w:ascii="宋体" w:hAnsi="宋体"/>
      <w:kern w:val="0"/>
      <w:sz w:val="24"/>
      <w:szCs w:val="20"/>
    </w:rPr>
  </w:style>
  <w:style w:type="paragraph" w:customStyle="1" w:styleId="387">
    <w:name w:val="默认段落字体 Para Char"/>
    <w:basedOn w:val="1"/>
    <w:autoRedefine/>
    <w:qFormat/>
    <w:uiPriority w:val="0"/>
    <w:pPr>
      <w:spacing w:line="360" w:lineRule="auto"/>
      <w:ind w:firstLine="200" w:firstLineChars="200"/>
    </w:pPr>
    <w:rPr>
      <w:rFonts w:ascii="宋体" w:hAnsi="宋体" w:cs="宋体"/>
      <w:sz w:val="24"/>
    </w:rPr>
  </w:style>
  <w:style w:type="paragraph" w:customStyle="1" w:styleId="388">
    <w:name w:val="xl65"/>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389">
    <w:name w:val="表号文字"/>
    <w:basedOn w:val="1"/>
    <w:autoRedefine/>
    <w:qFormat/>
    <w:uiPriority w:val="0"/>
    <w:pPr>
      <w:adjustRightInd w:val="0"/>
      <w:snapToGrid w:val="0"/>
      <w:spacing w:before="120" w:line="300" w:lineRule="auto"/>
      <w:jc w:val="left"/>
    </w:pPr>
    <w:rPr>
      <w:rFonts w:eastAsia="黑体"/>
    </w:rPr>
  </w:style>
  <w:style w:type="paragraph" w:customStyle="1" w:styleId="390">
    <w:name w:val="正文文字1"/>
    <w:basedOn w:val="1"/>
    <w:link w:val="391"/>
    <w:autoRedefine/>
    <w:qFormat/>
    <w:uiPriority w:val="0"/>
    <w:pPr>
      <w:spacing w:line="300" w:lineRule="auto"/>
      <w:ind w:firstLine="200" w:firstLineChars="200"/>
    </w:pPr>
    <w:rPr>
      <w:kern w:val="0"/>
      <w:sz w:val="24"/>
    </w:rPr>
  </w:style>
  <w:style w:type="character" w:customStyle="1" w:styleId="391">
    <w:name w:val="正文文字1 Char"/>
    <w:link w:val="390"/>
    <w:autoRedefine/>
    <w:qFormat/>
    <w:uiPriority w:val="0"/>
    <w:rPr>
      <w:rFonts w:ascii="Times New Roman" w:hAnsi="Times New Roman" w:eastAsia="宋体" w:cs="Times New Roman"/>
      <w:sz w:val="24"/>
      <w:szCs w:val="24"/>
    </w:rPr>
  </w:style>
  <w:style w:type="character" w:customStyle="1" w:styleId="392">
    <w:name w:val="第五层条 Char"/>
    <w:autoRedefine/>
    <w:qFormat/>
    <w:uiPriority w:val="0"/>
    <w:rPr>
      <w:rFonts w:ascii="Arial" w:hAnsi="Arial" w:eastAsia="黑体"/>
      <w:b/>
      <w:bCs/>
      <w:kern w:val="2"/>
      <w:sz w:val="24"/>
      <w:szCs w:val="24"/>
      <w:lang w:val="en-US" w:eastAsia="zh-CN" w:bidi="ar-SA"/>
    </w:rPr>
  </w:style>
  <w:style w:type="paragraph" w:customStyle="1" w:styleId="393">
    <w:name w:val="报告书"/>
    <w:basedOn w:val="1"/>
    <w:autoRedefine/>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394">
    <w:name w:val="报告"/>
    <w:basedOn w:val="1"/>
    <w:autoRedefine/>
    <w:qFormat/>
    <w:uiPriority w:val="0"/>
    <w:pPr>
      <w:autoSpaceDE w:val="0"/>
      <w:autoSpaceDN w:val="0"/>
      <w:adjustRightInd w:val="0"/>
      <w:spacing w:line="360" w:lineRule="auto"/>
      <w:ind w:firstLine="505"/>
      <w:jc w:val="left"/>
      <w:textAlignment w:val="baseline"/>
    </w:pPr>
    <w:rPr>
      <w:kern w:val="0"/>
      <w:sz w:val="24"/>
      <w:szCs w:val="20"/>
    </w:rPr>
  </w:style>
  <w:style w:type="paragraph" w:customStyle="1" w:styleId="395">
    <w:name w:val="报告表正文"/>
    <w:basedOn w:val="1"/>
    <w:autoRedefine/>
    <w:qFormat/>
    <w:uiPriority w:val="0"/>
    <w:pPr>
      <w:adjustRightInd w:val="0"/>
      <w:spacing w:line="300" w:lineRule="auto"/>
      <w:ind w:left="113" w:right="113"/>
      <w:textAlignment w:val="baseline"/>
    </w:pPr>
    <w:rPr>
      <w:kern w:val="0"/>
      <w:sz w:val="24"/>
      <w:szCs w:val="20"/>
    </w:rPr>
  </w:style>
  <w:style w:type="paragraph" w:customStyle="1" w:styleId="396">
    <w:name w:val="报告表格"/>
    <w:basedOn w:val="1"/>
    <w:next w:val="393"/>
    <w:autoRedefine/>
    <w:qFormat/>
    <w:uiPriority w:val="0"/>
    <w:pPr>
      <w:autoSpaceDE w:val="0"/>
      <w:autoSpaceDN w:val="0"/>
      <w:adjustRightInd w:val="0"/>
      <w:spacing w:line="318" w:lineRule="atLeast"/>
      <w:jc w:val="center"/>
      <w:textAlignment w:val="bottom"/>
    </w:pPr>
    <w:rPr>
      <w:kern w:val="0"/>
      <w:sz w:val="24"/>
      <w:szCs w:val="20"/>
    </w:rPr>
  </w:style>
  <w:style w:type="character" w:customStyle="1" w:styleId="397">
    <w:name w:val="上标"/>
    <w:autoRedefine/>
    <w:qFormat/>
    <w:uiPriority w:val="0"/>
    <w:rPr>
      <w:vertAlign w:val="superscript"/>
    </w:rPr>
  </w:style>
  <w:style w:type="paragraph" w:customStyle="1" w:styleId="398">
    <w:name w:val="表体"/>
    <w:basedOn w:val="1"/>
    <w:autoRedefine/>
    <w:qFormat/>
    <w:uiPriority w:val="0"/>
    <w:pPr>
      <w:adjustRightInd w:val="0"/>
      <w:snapToGrid w:val="0"/>
      <w:spacing w:beforeLines="20" w:afterLines="20"/>
      <w:jc w:val="center"/>
    </w:pPr>
  </w:style>
  <w:style w:type="paragraph" w:customStyle="1" w:styleId="399">
    <w:name w:val="样式 标题 3标题3小标题1.1.1标题 3 + 段后: 4 磅"/>
    <w:basedOn w:val="5"/>
    <w:autoRedefine/>
    <w:qFormat/>
    <w:uiPriority w:val="0"/>
    <w:pPr>
      <w:widowControl/>
      <w:spacing w:before="0" w:after="80" w:line="360" w:lineRule="auto"/>
      <w:jc w:val="left"/>
    </w:pPr>
    <w:rPr>
      <w:rFonts w:eastAsia="黑体" w:cs="宋体"/>
      <w:b w:val="0"/>
      <w:bCs w:val="0"/>
      <w:spacing w:val="-5"/>
      <w:kern w:val="28"/>
      <w:sz w:val="24"/>
      <w:szCs w:val="20"/>
    </w:rPr>
  </w:style>
  <w:style w:type="paragraph" w:customStyle="1" w:styleId="400">
    <w:name w:val="蒲表头"/>
    <w:basedOn w:val="1"/>
    <w:autoRedefine/>
    <w:qFormat/>
    <w:uiPriority w:val="0"/>
    <w:pPr>
      <w:adjustRightInd w:val="0"/>
      <w:snapToGrid w:val="0"/>
      <w:jc w:val="center"/>
    </w:pPr>
    <w:rPr>
      <w:color w:val="0000FF"/>
      <w:szCs w:val="21"/>
    </w:rPr>
  </w:style>
  <w:style w:type="paragraph" w:customStyle="1" w:styleId="401">
    <w:name w:val="样式 首行缩进:  1.01 厘米"/>
    <w:basedOn w:val="1"/>
    <w:autoRedefine/>
    <w:qFormat/>
    <w:uiPriority w:val="0"/>
    <w:pPr>
      <w:spacing w:line="500" w:lineRule="exact"/>
      <w:ind w:firstLine="570"/>
    </w:pPr>
    <w:rPr>
      <w:rFonts w:cs="宋体"/>
      <w:kern w:val="28"/>
      <w:sz w:val="28"/>
      <w:szCs w:val="20"/>
    </w:rPr>
  </w:style>
  <w:style w:type="paragraph" w:customStyle="1" w:styleId="402">
    <w:name w:val="5文章(治)"/>
    <w:basedOn w:val="1"/>
    <w:autoRedefine/>
    <w:qFormat/>
    <w:uiPriority w:val="0"/>
    <w:pPr>
      <w:spacing w:line="360" w:lineRule="auto"/>
      <w:ind w:firstLine="560" w:firstLineChars="200"/>
      <w:jc w:val="left"/>
    </w:pPr>
    <w:rPr>
      <w:rFonts w:eastAsia="楷体_GB2312"/>
      <w:sz w:val="28"/>
      <w:szCs w:val="20"/>
    </w:rPr>
  </w:style>
  <w:style w:type="paragraph" w:customStyle="1" w:styleId="403">
    <w:name w:val="3标题(治)"/>
    <w:basedOn w:val="5"/>
    <w:link w:val="404"/>
    <w:autoRedefine/>
    <w:qFormat/>
    <w:uiPriority w:val="0"/>
    <w:pPr>
      <w:spacing w:beforeLines="50" w:afterLines="50" w:line="360" w:lineRule="auto"/>
      <w:textAlignment w:val="baseline"/>
    </w:pPr>
    <w:rPr>
      <w:sz w:val="28"/>
      <w:szCs w:val="28"/>
    </w:rPr>
  </w:style>
  <w:style w:type="character" w:customStyle="1" w:styleId="404">
    <w:name w:val="3标题(治) Char"/>
    <w:link w:val="403"/>
    <w:autoRedefine/>
    <w:qFormat/>
    <w:uiPriority w:val="0"/>
    <w:rPr>
      <w:rFonts w:ascii="Times New Roman" w:hAnsi="Times New Roman" w:eastAsia="宋体" w:cs="Times New Roman"/>
      <w:b/>
      <w:bCs/>
      <w:sz w:val="28"/>
      <w:szCs w:val="28"/>
    </w:rPr>
  </w:style>
  <w:style w:type="paragraph" w:customStyle="1" w:styleId="405">
    <w:name w:val="蒲标题1"/>
    <w:basedOn w:val="2"/>
    <w:autoRedefine/>
    <w:qFormat/>
    <w:uiPriority w:val="0"/>
    <w:pPr>
      <w:spacing w:before="100" w:after="100" w:line="360" w:lineRule="auto"/>
    </w:pPr>
    <w:rPr>
      <w:kern w:val="2"/>
      <w:sz w:val="32"/>
      <w:szCs w:val="32"/>
    </w:rPr>
  </w:style>
  <w:style w:type="paragraph" w:customStyle="1" w:styleId="406">
    <w:name w:val="蒲标题3"/>
    <w:basedOn w:val="5"/>
    <w:link w:val="407"/>
    <w:autoRedefine/>
    <w:qFormat/>
    <w:uiPriority w:val="0"/>
    <w:pPr>
      <w:autoSpaceDE w:val="0"/>
      <w:autoSpaceDN w:val="0"/>
      <w:adjustRightInd w:val="0"/>
      <w:snapToGrid w:val="0"/>
      <w:spacing w:before="0" w:after="0" w:line="360" w:lineRule="auto"/>
      <w:outlineLvl w:val="0"/>
    </w:pPr>
    <w:rPr>
      <w:color w:val="000000"/>
      <w:sz w:val="24"/>
      <w:szCs w:val="24"/>
    </w:rPr>
  </w:style>
  <w:style w:type="character" w:customStyle="1" w:styleId="407">
    <w:name w:val="蒲标题3 Char"/>
    <w:link w:val="406"/>
    <w:autoRedefine/>
    <w:qFormat/>
    <w:uiPriority w:val="0"/>
    <w:rPr>
      <w:rFonts w:ascii="Times New Roman" w:hAnsi="Times New Roman" w:eastAsia="宋体" w:cs="Times New Roman"/>
      <w:b/>
      <w:bCs/>
      <w:color w:val="000000"/>
      <w:sz w:val="24"/>
      <w:szCs w:val="24"/>
    </w:rPr>
  </w:style>
  <w:style w:type="paragraph" w:customStyle="1" w:styleId="408">
    <w:name w:val="蒲正文"/>
    <w:basedOn w:val="1"/>
    <w:link w:val="409"/>
    <w:autoRedefine/>
    <w:qFormat/>
    <w:uiPriority w:val="0"/>
    <w:pPr>
      <w:adjustRightInd w:val="0"/>
      <w:snapToGrid w:val="0"/>
      <w:spacing w:line="360" w:lineRule="auto"/>
      <w:ind w:firstLine="480" w:firstLineChars="200"/>
    </w:pPr>
    <w:rPr>
      <w:kern w:val="0"/>
      <w:sz w:val="24"/>
    </w:rPr>
  </w:style>
  <w:style w:type="character" w:customStyle="1" w:styleId="409">
    <w:name w:val="蒲正文 Char"/>
    <w:link w:val="408"/>
    <w:autoRedefine/>
    <w:qFormat/>
    <w:uiPriority w:val="0"/>
    <w:rPr>
      <w:rFonts w:ascii="Times New Roman" w:hAnsi="Times New Roman" w:eastAsia="宋体" w:cs="Times New Roman"/>
      <w:kern w:val="0"/>
      <w:sz w:val="24"/>
      <w:szCs w:val="24"/>
    </w:rPr>
  </w:style>
  <w:style w:type="paragraph" w:customStyle="1" w:styleId="410">
    <w:name w:val="二级无标题条"/>
    <w:basedOn w:val="1"/>
    <w:autoRedefine/>
    <w:qFormat/>
    <w:uiPriority w:val="0"/>
  </w:style>
  <w:style w:type="paragraph" w:customStyle="1" w:styleId="411">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12">
    <w:name w:val="表1"/>
    <w:next w:val="1"/>
    <w:link w:val="413"/>
    <w:autoRedefine/>
    <w:qFormat/>
    <w:uiPriority w:val="0"/>
    <w:pPr>
      <w:adjustRightInd w:val="0"/>
      <w:snapToGrid w:val="0"/>
      <w:jc w:val="center"/>
    </w:pPr>
    <w:rPr>
      <w:rFonts w:ascii="宋体" w:hAnsi="Times New Roman" w:eastAsia="宋体" w:cs="Times New Roman"/>
      <w:sz w:val="21"/>
      <w:lang w:val="en-US" w:eastAsia="zh-CN" w:bidi="ar-SA"/>
    </w:rPr>
  </w:style>
  <w:style w:type="character" w:customStyle="1" w:styleId="413">
    <w:name w:val="表1 Char"/>
    <w:link w:val="412"/>
    <w:autoRedefine/>
    <w:qFormat/>
    <w:uiPriority w:val="0"/>
    <w:rPr>
      <w:rFonts w:ascii="宋体" w:hAnsi="Times New Roman"/>
      <w:sz w:val="21"/>
    </w:rPr>
  </w:style>
  <w:style w:type="paragraph" w:customStyle="1" w:styleId="414">
    <w:name w:val="7表格(治)"/>
    <w:autoRedefine/>
    <w:qFormat/>
    <w:uiPriority w:val="0"/>
    <w:pPr>
      <w:jc w:val="center"/>
    </w:pPr>
    <w:rPr>
      <w:rFonts w:ascii="宋体" w:hAnsi="宋体" w:eastAsia="宋体" w:cs="Times New Roman"/>
      <w:color w:val="0000FF"/>
      <w:sz w:val="21"/>
      <w:lang w:val="en-US" w:eastAsia="zh-CN" w:bidi="ar-SA"/>
    </w:rPr>
  </w:style>
  <w:style w:type="paragraph" w:customStyle="1" w:styleId="415">
    <w:name w:val="1表格"/>
    <w:basedOn w:val="1"/>
    <w:autoRedefine/>
    <w:qFormat/>
    <w:uiPriority w:val="0"/>
    <w:pPr>
      <w:snapToGrid w:val="0"/>
      <w:spacing w:line="160" w:lineRule="atLeast"/>
      <w:jc w:val="center"/>
    </w:pPr>
    <w:rPr>
      <w:rFonts w:eastAsia="仿宋_GB2312"/>
      <w:szCs w:val="20"/>
    </w:rPr>
  </w:style>
  <w:style w:type="paragraph" w:customStyle="1" w:styleId="416">
    <w:name w:val="6表(图)头(治)"/>
    <w:next w:val="1"/>
    <w:autoRedefine/>
    <w:qFormat/>
    <w:uiPriority w:val="0"/>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417">
    <w:name w:val="1文章"/>
    <w:basedOn w:val="1"/>
    <w:autoRedefine/>
    <w:qFormat/>
    <w:uiPriority w:val="0"/>
    <w:pPr>
      <w:snapToGrid w:val="0"/>
      <w:spacing w:line="360" w:lineRule="auto"/>
      <w:ind w:firstLine="573"/>
    </w:pPr>
    <w:rPr>
      <w:rFonts w:eastAsia="仿宋_GB2312"/>
      <w:sz w:val="28"/>
      <w:szCs w:val="20"/>
    </w:rPr>
  </w:style>
  <w:style w:type="paragraph" w:customStyle="1" w:styleId="418">
    <w:name w:val="1表格头"/>
    <w:basedOn w:val="415"/>
    <w:autoRedefine/>
    <w:qFormat/>
    <w:uiPriority w:val="0"/>
    <w:pPr>
      <w:jc w:val="both"/>
    </w:pPr>
    <w:rPr>
      <w:rFonts w:eastAsia="宋体"/>
      <w:b/>
      <w:color w:val="000000"/>
      <w:sz w:val="24"/>
      <w:szCs w:val="24"/>
    </w:rPr>
  </w:style>
  <w:style w:type="paragraph" w:customStyle="1" w:styleId="419">
    <w:name w:val="a9"/>
    <w:basedOn w:val="1"/>
    <w:autoRedefine/>
    <w:qFormat/>
    <w:uiPriority w:val="0"/>
    <w:pPr>
      <w:widowControl/>
      <w:adjustRightInd w:val="0"/>
      <w:spacing w:before="100" w:beforeAutospacing="1" w:after="100" w:afterAutospacing="1" w:line="360" w:lineRule="atLeast"/>
      <w:jc w:val="left"/>
      <w:textAlignment w:val="baseline"/>
    </w:pPr>
    <w:rPr>
      <w:rFonts w:ascii="宋体" w:hAnsi="宋体"/>
      <w:color w:val="000000"/>
      <w:kern w:val="0"/>
      <w:sz w:val="24"/>
      <w:szCs w:val="20"/>
    </w:rPr>
  </w:style>
  <w:style w:type="paragraph" w:customStyle="1" w:styleId="420">
    <w:name w:val="text3"/>
    <w:basedOn w:val="1"/>
    <w:autoRedefine/>
    <w:qFormat/>
    <w:uiPriority w:val="0"/>
    <w:pPr>
      <w:widowControl/>
      <w:adjustRightInd w:val="0"/>
      <w:spacing w:before="100" w:beforeAutospacing="1" w:after="100" w:afterAutospacing="1" w:line="300" w:lineRule="atLeast"/>
      <w:jc w:val="left"/>
      <w:textAlignment w:val="baseline"/>
    </w:pPr>
    <w:rPr>
      <w:rFonts w:ascii="宋体" w:hAnsi="宋体"/>
      <w:color w:val="000000"/>
      <w:kern w:val="0"/>
      <w:sz w:val="24"/>
      <w:szCs w:val="20"/>
    </w:rPr>
  </w:style>
  <w:style w:type="character" w:customStyle="1" w:styleId="421">
    <w:name w:val="infodetail"/>
    <w:basedOn w:val="61"/>
    <w:autoRedefine/>
    <w:qFormat/>
    <w:uiPriority w:val="0"/>
  </w:style>
  <w:style w:type="paragraph" w:customStyle="1" w:styleId="422">
    <w:name w:val="表头文字"/>
    <w:basedOn w:val="1"/>
    <w:next w:val="1"/>
    <w:autoRedefine/>
    <w:qFormat/>
    <w:uiPriority w:val="0"/>
    <w:pPr>
      <w:adjustRightInd w:val="0"/>
      <w:snapToGrid w:val="0"/>
      <w:spacing w:beforeLines="50"/>
      <w:jc w:val="center"/>
    </w:pPr>
    <w:rPr>
      <w:rFonts w:ascii="宋体" w:hAnsi="宋体"/>
      <w:b/>
      <w:szCs w:val="21"/>
    </w:rPr>
  </w:style>
  <w:style w:type="paragraph" w:customStyle="1" w:styleId="423">
    <w:name w:val="表名"/>
    <w:basedOn w:val="1"/>
    <w:autoRedefine/>
    <w:qFormat/>
    <w:uiPriority w:val="0"/>
    <w:pPr>
      <w:overflowPunct w:val="0"/>
      <w:topLinePunct/>
      <w:adjustRightInd w:val="0"/>
      <w:snapToGrid w:val="0"/>
      <w:spacing w:beforeLines="50"/>
      <w:ind w:firstLine="413" w:firstLineChars="196"/>
      <w:outlineLvl w:val="4"/>
    </w:pPr>
    <w:rPr>
      <w:rFonts w:ascii="宋体" w:hAnsi="宋体"/>
      <w:b/>
      <w:color w:val="0000FF"/>
      <w:kern w:val="10"/>
      <w:szCs w:val="21"/>
      <w:lang w:val="zh-CN"/>
    </w:rPr>
  </w:style>
  <w:style w:type="paragraph" w:customStyle="1" w:styleId="424">
    <w:name w:val="三级标题"/>
    <w:basedOn w:val="1"/>
    <w:link w:val="425"/>
    <w:autoRedefine/>
    <w:qFormat/>
    <w:uiPriority w:val="0"/>
    <w:pPr>
      <w:adjustRightInd w:val="0"/>
      <w:snapToGrid w:val="0"/>
      <w:spacing w:beforeLines="50" w:afterLines="50" w:line="300" w:lineRule="auto"/>
      <w:outlineLvl w:val="2"/>
    </w:pPr>
    <w:rPr>
      <w:rFonts w:eastAsia="黑体"/>
      <w:kern w:val="0"/>
      <w:sz w:val="28"/>
    </w:rPr>
  </w:style>
  <w:style w:type="character" w:customStyle="1" w:styleId="425">
    <w:name w:val="三级标题 Char"/>
    <w:link w:val="424"/>
    <w:autoRedefine/>
    <w:qFormat/>
    <w:uiPriority w:val="0"/>
    <w:rPr>
      <w:rFonts w:ascii="Times New Roman" w:hAnsi="Times New Roman" w:eastAsia="黑体" w:cs="Times New Roman"/>
      <w:sz w:val="28"/>
      <w:szCs w:val="24"/>
    </w:rPr>
  </w:style>
  <w:style w:type="paragraph" w:customStyle="1" w:styleId="426">
    <w:name w:val="四级标题"/>
    <w:basedOn w:val="1"/>
    <w:autoRedefine/>
    <w:qFormat/>
    <w:uiPriority w:val="0"/>
    <w:pPr>
      <w:adjustRightInd w:val="0"/>
      <w:snapToGrid w:val="0"/>
      <w:spacing w:before="120" w:after="120" w:line="300" w:lineRule="auto"/>
      <w:outlineLvl w:val="3"/>
    </w:pPr>
    <w:rPr>
      <w:rFonts w:eastAsia="华文中宋"/>
      <w:sz w:val="28"/>
    </w:rPr>
  </w:style>
  <w:style w:type="paragraph" w:customStyle="1" w:styleId="427">
    <w:name w:val="表号"/>
    <w:basedOn w:val="1"/>
    <w:link w:val="428"/>
    <w:autoRedefine/>
    <w:qFormat/>
    <w:uiPriority w:val="0"/>
    <w:pPr>
      <w:ind w:firstLine="200" w:firstLineChars="200"/>
      <w:outlineLvl w:val="5"/>
    </w:pPr>
    <w:rPr>
      <w:kern w:val="0"/>
      <w:sz w:val="20"/>
    </w:rPr>
  </w:style>
  <w:style w:type="character" w:customStyle="1" w:styleId="428">
    <w:name w:val="表号 Char1"/>
    <w:link w:val="427"/>
    <w:autoRedefine/>
    <w:qFormat/>
    <w:uiPriority w:val="0"/>
    <w:rPr>
      <w:rFonts w:ascii="Times New Roman" w:hAnsi="Times New Roman" w:eastAsia="宋体" w:cs="Times New Roman"/>
      <w:szCs w:val="24"/>
    </w:rPr>
  </w:style>
  <w:style w:type="paragraph" w:customStyle="1" w:styleId="429">
    <w:name w:val="样式 样式 黑色 首行缩进:  2 字符 行距: 固定值 25 磅 + Times New Roman 首行缩进:  2 字符"/>
    <w:basedOn w:val="1"/>
    <w:autoRedefine/>
    <w:qFormat/>
    <w:uiPriority w:val="0"/>
    <w:pPr>
      <w:spacing w:line="580" w:lineRule="exact"/>
      <w:ind w:firstLine="200" w:firstLineChars="200"/>
    </w:pPr>
    <w:rPr>
      <w:rFonts w:eastAsia="仿宋_GB2312" w:cs="宋体"/>
      <w:b/>
      <w:bCs/>
      <w:color w:val="000000"/>
      <w:sz w:val="28"/>
      <w:szCs w:val="20"/>
    </w:rPr>
  </w:style>
  <w:style w:type="paragraph" w:customStyle="1" w:styleId="430">
    <w:name w:val="标准"/>
    <w:basedOn w:val="1"/>
    <w:autoRedefine/>
    <w:qFormat/>
    <w:uiPriority w:val="0"/>
    <w:pPr>
      <w:adjustRightInd w:val="0"/>
      <w:spacing w:line="312" w:lineRule="atLeast"/>
      <w:jc w:val="center"/>
      <w:textAlignment w:val="baseline"/>
    </w:pPr>
    <w:rPr>
      <w:rFonts w:eastAsia="黑体"/>
      <w:kern w:val="0"/>
      <w:szCs w:val="20"/>
    </w:rPr>
  </w:style>
  <w:style w:type="paragraph" w:customStyle="1" w:styleId="431">
    <w:name w:val="样式 标题 4 + 黑色 首行缩进:  2 字符 段前: 7.5 磅 行距: 固定值 23 磅1"/>
    <w:basedOn w:val="6"/>
    <w:autoRedefine/>
    <w:qFormat/>
    <w:uiPriority w:val="0"/>
    <w:pPr>
      <w:numPr>
        <w:ilvl w:val="0"/>
        <w:numId w:val="0"/>
      </w:numPr>
      <w:autoSpaceDE w:val="0"/>
      <w:autoSpaceDN w:val="0"/>
      <w:adjustRightInd w:val="0"/>
      <w:spacing w:before="100" w:beforeAutospacing="1" w:line="440" w:lineRule="exact"/>
      <w:ind w:firstLine="480" w:firstLineChars="200"/>
    </w:pPr>
    <w:rPr>
      <w:rFonts w:ascii="Times New Roman" w:hAnsi="Times New Roman"/>
      <w:b w:val="0"/>
      <w:bCs/>
      <w:sz w:val="24"/>
    </w:rPr>
  </w:style>
  <w:style w:type="character" w:customStyle="1" w:styleId="432">
    <w:name w:val="1.1标题2 Char Char"/>
    <w:autoRedefine/>
    <w:qFormat/>
    <w:uiPriority w:val="0"/>
    <w:rPr>
      <w:rFonts w:ascii="Arial" w:hAnsi="Arial" w:eastAsia="黑体"/>
      <w:b/>
      <w:bCs/>
      <w:kern w:val="2"/>
      <w:sz w:val="32"/>
      <w:szCs w:val="32"/>
      <w:lang w:val="en-US" w:eastAsia="zh-CN" w:bidi="ar-SA"/>
    </w:rPr>
  </w:style>
  <w:style w:type="paragraph" w:customStyle="1" w:styleId="433">
    <w:name w:val="段落1"/>
    <w:basedOn w:val="1"/>
    <w:link w:val="434"/>
    <w:autoRedefine/>
    <w:qFormat/>
    <w:uiPriority w:val="0"/>
    <w:pPr>
      <w:adjustRightInd w:val="0"/>
      <w:spacing w:line="360" w:lineRule="auto"/>
      <w:ind w:right="210" w:rightChars="100" w:firstLine="480" w:firstLineChars="200"/>
      <w:textAlignment w:val="baseline"/>
    </w:pPr>
    <w:rPr>
      <w:rFonts w:ascii="宋体" w:hAnsi="宋体"/>
      <w:color w:val="000000"/>
      <w:kern w:val="0"/>
      <w:sz w:val="24"/>
    </w:rPr>
  </w:style>
  <w:style w:type="character" w:customStyle="1" w:styleId="434">
    <w:name w:val="段落1 Char1"/>
    <w:link w:val="433"/>
    <w:autoRedefine/>
    <w:qFormat/>
    <w:uiPriority w:val="0"/>
    <w:rPr>
      <w:rFonts w:ascii="宋体" w:hAnsi="宋体" w:eastAsia="宋体" w:cs="Times New Roman"/>
      <w:color w:val="000000"/>
      <w:sz w:val="24"/>
      <w:szCs w:val="24"/>
    </w:rPr>
  </w:style>
  <w:style w:type="character" w:customStyle="1" w:styleId="435">
    <w:name w:val="keywords"/>
    <w:autoRedefine/>
    <w:qFormat/>
    <w:uiPriority w:val="0"/>
    <w:rPr>
      <w:b/>
      <w:bCs/>
      <w:color w:val="EE0033"/>
    </w:rPr>
  </w:style>
  <w:style w:type="paragraph" w:customStyle="1" w:styleId="436">
    <w:name w:val="5-正文"/>
    <w:basedOn w:val="33"/>
    <w:link w:val="437"/>
    <w:autoRedefine/>
    <w:qFormat/>
    <w:uiPriority w:val="0"/>
    <w:pPr>
      <w:spacing w:after="0" w:line="480" w:lineRule="exact"/>
      <w:ind w:left="0" w:leftChars="0" w:firstLine="480" w:firstLineChars="200"/>
    </w:pPr>
    <w:rPr>
      <w:rFonts w:ascii="宋体" w:hAnsi="宋体"/>
      <w:sz w:val="24"/>
    </w:rPr>
  </w:style>
  <w:style w:type="character" w:customStyle="1" w:styleId="437">
    <w:name w:val="5-正文 Char"/>
    <w:link w:val="436"/>
    <w:autoRedefine/>
    <w:qFormat/>
    <w:uiPriority w:val="0"/>
    <w:rPr>
      <w:rFonts w:ascii="宋体" w:hAnsi="宋体" w:eastAsia="宋体" w:cs="Times New Roman"/>
      <w:sz w:val="24"/>
      <w:szCs w:val="24"/>
    </w:rPr>
  </w:style>
  <w:style w:type="paragraph" w:customStyle="1" w:styleId="438">
    <w:name w:val="2-正文"/>
    <w:basedOn w:val="1"/>
    <w:autoRedefine/>
    <w:qFormat/>
    <w:uiPriority w:val="0"/>
    <w:pPr>
      <w:widowControl/>
      <w:spacing w:line="480" w:lineRule="exact"/>
      <w:ind w:firstLine="480" w:firstLineChars="200"/>
      <w:jc w:val="left"/>
    </w:pPr>
    <w:rPr>
      <w:rFonts w:ascii="宋体" w:hAnsi="宋体"/>
      <w:kern w:val="0"/>
      <w:sz w:val="24"/>
      <w:szCs w:val="22"/>
      <w:lang w:eastAsia="en-US" w:bidi="en-US"/>
    </w:rPr>
  </w:style>
  <w:style w:type="character" w:customStyle="1" w:styleId="439">
    <w:name w:val="Body Text Indent 2 Char"/>
    <w:autoRedefine/>
    <w:qFormat/>
    <w:uiPriority w:val="0"/>
    <w:rPr>
      <w:rFonts w:ascii="仿宋_GB2312" w:eastAsia="仿宋_GB2312"/>
      <w:kern w:val="2"/>
      <w:sz w:val="24"/>
      <w:szCs w:val="24"/>
      <w:lang w:val="en-US" w:eastAsia="zh-CN" w:bidi="ar-SA"/>
    </w:rPr>
  </w:style>
  <w:style w:type="paragraph" w:customStyle="1" w:styleId="440">
    <w:name w:val="正文3"/>
    <w:basedOn w:val="1"/>
    <w:next w:val="1"/>
    <w:autoRedefine/>
    <w:qFormat/>
    <w:uiPriority w:val="0"/>
    <w:pPr>
      <w:spacing w:line="529" w:lineRule="exact"/>
      <w:ind w:firstLine="200" w:firstLineChars="200"/>
    </w:pPr>
    <w:rPr>
      <w:rFonts w:ascii="宋体" w:hAnsi="宋体" w:cs="宋体"/>
      <w:sz w:val="24"/>
    </w:rPr>
  </w:style>
  <w:style w:type="character" w:customStyle="1" w:styleId="441">
    <w:name w:val="Char Char131"/>
    <w:autoRedefine/>
    <w:qFormat/>
    <w:uiPriority w:val="0"/>
    <w:rPr>
      <w:rFonts w:eastAsia="宋体"/>
      <w:kern w:val="2"/>
      <w:sz w:val="21"/>
      <w:szCs w:val="24"/>
      <w:lang w:val="en-US" w:eastAsia="zh-CN" w:bidi="ar-SA"/>
    </w:rPr>
  </w:style>
  <w:style w:type="character" w:customStyle="1" w:styleId="442">
    <w:name w:val="Date Char"/>
    <w:autoRedefine/>
    <w:semiHidden/>
    <w:qFormat/>
    <w:locked/>
    <w:uiPriority w:val="0"/>
    <w:rPr>
      <w:rFonts w:eastAsia="宋体"/>
      <w:kern w:val="2"/>
      <w:sz w:val="21"/>
      <w:szCs w:val="24"/>
      <w:lang w:val="en-US" w:eastAsia="zh-CN" w:bidi="ar-SA"/>
    </w:rPr>
  </w:style>
  <w:style w:type="character" w:customStyle="1" w:styleId="443">
    <w:name w:val="Char Char14"/>
    <w:autoRedefine/>
    <w:qFormat/>
    <w:uiPriority w:val="0"/>
    <w:rPr>
      <w:rFonts w:ascii="Arial" w:hAnsi="Arial" w:eastAsia="黑体"/>
      <w:b/>
      <w:kern w:val="2"/>
      <w:sz w:val="24"/>
      <w:lang w:val="en-US" w:eastAsia="zh-CN" w:bidi="ar-SA"/>
    </w:rPr>
  </w:style>
  <w:style w:type="character" w:customStyle="1" w:styleId="444">
    <w:name w:val="四号仿宋左空1格行距1倍 Char Char"/>
    <w:autoRedefine/>
    <w:qFormat/>
    <w:locked/>
    <w:uiPriority w:val="0"/>
    <w:rPr>
      <w:rFonts w:ascii="Arial" w:hAnsi="Arial" w:eastAsia="黑体"/>
      <w:b/>
      <w:bCs/>
      <w:kern w:val="2"/>
      <w:sz w:val="28"/>
      <w:szCs w:val="28"/>
      <w:lang w:val="en-US" w:eastAsia="zh-CN" w:bidi="ar-SA"/>
    </w:rPr>
  </w:style>
  <w:style w:type="character" w:customStyle="1" w:styleId="445">
    <w:name w:val="Char Char141"/>
    <w:autoRedefine/>
    <w:qFormat/>
    <w:locked/>
    <w:uiPriority w:val="0"/>
    <w:rPr>
      <w:rFonts w:eastAsia="宋体"/>
      <w:b/>
      <w:bCs/>
      <w:kern w:val="2"/>
      <w:sz w:val="28"/>
      <w:szCs w:val="28"/>
      <w:lang w:val="en-US" w:eastAsia="zh-CN" w:bidi="ar-SA"/>
    </w:rPr>
  </w:style>
  <w:style w:type="character" w:customStyle="1" w:styleId="446">
    <w:name w:val="4号黑体左空2格行距1倍 Char Char"/>
    <w:autoRedefine/>
    <w:qFormat/>
    <w:locked/>
    <w:uiPriority w:val="0"/>
    <w:rPr>
      <w:rFonts w:eastAsia="宋体"/>
      <w:b/>
      <w:kern w:val="2"/>
      <w:sz w:val="24"/>
      <w:lang w:val="en-US" w:eastAsia="zh-CN" w:bidi="ar-SA"/>
    </w:rPr>
  </w:style>
  <w:style w:type="character" w:customStyle="1" w:styleId="447">
    <w:name w:val="Char Char91"/>
    <w:autoRedefine/>
    <w:qFormat/>
    <w:locked/>
    <w:uiPriority w:val="0"/>
    <w:rPr>
      <w:rFonts w:ascii="Arial" w:hAnsi="Arial" w:eastAsia="黑体"/>
      <w:kern w:val="2"/>
      <w:sz w:val="24"/>
      <w:lang w:val="en-US" w:eastAsia="zh-CN" w:bidi="ar-SA"/>
    </w:rPr>
  </w:style>
  <w:style w:type="character" w:customStyle="1" w:styleId="448">
    <w:name w:val="Char Char"/>
    <w:autoRedefine/>
    <w:qFormat/>
    <w:locked/>
    <w:uiPriority w:val="0"/>
    <w:rPr>
      <w:rFonts w:eastAsia="宋体"/>
      <w:kern w:val="2"/>
      <w:sz w:val="28"/>
      <w:lang w:val="en-US" w:eastAsia="zh-CN" w:bidi="ar-SA"/>
    </w:rPr>
  </w:style>
  <w:style w:type="character" w:customStyle="1" w:styleId="449">
    <w:name w:val="Char Char31"/>
    <w:autoRedefine/>
    <w:qFormat/>
    <w:locked/>
    <w:uiPriority w:val="0"/>
    <w:rPr>
      <w:rFonts w:ascii="仿宋_GB2312" w:eastAsia="仿宋_GB2312"/>
      <w:kern w:val="2"/>
      <w:sz w:val="24"/>
      <w:szCs w:val="24"/>
      <w:lang w:val="en-US" w:eastAsia="zh-CN" w:bidi="ar-SA"/>
    </w:rPr>
  </w:style>
  <w:style w:type="character" w:customStyle="1" w:styleId="450">
    <w:name w:val="Char Char2"/>
    <w:autoRedefine/>
    <w:semiHidden/>
    <w:qFormat/>
    <w:locked/>
    <w:uiPriority w:val="0"/>
    <w:rPr>
      <w:rFonts w:ascii="宋体" w:hAnsi="Tahoma" w:eastAsia="宋体" w:cs="Tahoma"/>
      <w:kern w:val="2"/>
      <w:sz w:val="18"/>
      <w:szCs w:val="18"/>
      <w:lang w:val="en-US" w:eastAsia="zh-CN" w:bidi="ar-SA"/>
    </w:rPr>
  </w:style>
  <w:style w:type="paragraph" w:customStyle="1" w:styleId="451">
    <w:name w:val="Char Char2 Char Char Char Char Char Char Char Char Char Char Char Char Char Char"/>
    <w:basedOn w:val="1"/>
    <w:autoRedefine/>
    <w:qFormat/>
    <w:uiPriority w:val="0"/>
  </w:style>
  <w:style w:type="character" w:customStyle="1" w:styleId="452">
    <w:name w:val="文本 Char1"/>
    <w:autoRedefine/>
    <w:qFormat/>
    <w:uiPriority w:val="0"/>
    <w:rPr>
      <w:rFonts w:eastAsia="宋体"/>
      <w:kern w:val="2"/>
      <w:sz w:val="21"/>
      <w:szCs w:val="24"/>
      <w:lang w:val="en-US" w:eastAsia="zh-CN" w:bidi="ar-SA"/>
    </w:rPr>
  </w:style>
  <w:style w:type="paragraph" w:customStyle="1" w:styleId="453">
    <w:name w:val="Char Char Char Char Char Char Char"/>
    <w:basedOn w:val="1"/>
    <w:next w:val="1"/>
    <w:autoRedefine/>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45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55">
    <w:name w:val="Re Char5"/>
    <w:autoRedefine/>
    <w:qFormat/>
    <w:uiPriority w:val="0"/>
    <w:rPr>
      <w:rFonts w:eastAsia="宋体"/>
      <w:b/>
      <w:bCs/>
      <w:kern w:val="2"/>
      <w:sz w:val="32"/>
      <w:szCs w:val="32"/>
      <w:lang w:val="en-US" w:eastAsia="zh-CN" w:bidi="ar-SA"/>
    </w:rPr>
  </w:style>
  <w:style w:type="character" w:customStyle="1" w:styleId="456">
    <w:name w:val="Char Char71"/>
    <w:autoRedefine/>
    <w:qFormat/>
    <w:uiPriority w:val="0"/>
    <w:rPr>
      <w:rFonts w:eastAsia="宋体"/>
      <w:kern w:val="2"/>
      <w:sz w:val="30"/>
      <w:szCs w:val="24"/>
      <w:lang w:val="en-US" w:eastAsia="zh-CN" w:bidi="ar-SA"/>
    </w:rPr>
  </w:style>
  <w:style w:type="paragraph" w:customStyle="1" w:styleId="457">
    <w:name w:val="Char Char Char Char Char2 Char Char Char Char2"/>
    <w:basedOn w:val="1"/>
    <w:autoRedefine/>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458">
    <w:name w:val="正文样式"/>
    <w:basedOn w:val="1"/>
    <w:link w:val="459"/>
    <w:autoRedefine/>
    <w:qFormat/>
    <w:uiPriority w:val="0"/>
    <w:pPr>
      <w:spacing w:line="360" w:lineRule="auto"/>
      <w:ind w:firstLine="480" w:firstLineChars="200"/>
    </w:pPr>
    <w:rPr>
      <w:rFonts w:ascii="宋体" w:hAnsi="宋体"/>
      <w:sz w:val="24"/>
    </w:rPr>
  </w:style>
  <w:style w:type="character" w:customStyle="1" w:styleId="459">
    <w:name w:val="正文样式 Char"/>
    <w:link w:val="458"/>
    <w:autoRedefine/>
    <w:qFormat/>
    <w:uiPriority w:val="0"/>
    <w:rPr>
      <w:rFonts w:ascii="宋体" w:hAnsi="宋体"/>
      <w:kern w:val="2"/>
      <w:sz w:val="24"/>
      <w:szCs w:val="24"/>
    </w:rPr>
  </w:style>
  <w:style w:type="paragraph" w:customStyle="1" w:styleId="460">
    <w:name w:val="附录表标题"/>
    <w:next w:val="454"/>
    <w:autoRedefine/>
    <w:qFormat/>
    <w:uiPriority w:val="0"/>
    <w:pPr>
      <w:numPr>
        <w:ilvl w:val="0"/>
        <w:numId w:val="2"/>
      </w:numPr>
      <w:jc w:val="center"/>
      <w:textAlignment w:val="baseline"/>
    </w:pPr>
    <w:rPr>
      <w:rFonts w:ascii="黑体" w:hAnsi="Times New Roman" w:eastAsia="黑体" w:cs="Times New Roman"/>
      <w:kern w:val="21"/>
      <w:sz w:val="21"/>
      <w:lang w:val="en-US" w:eastAsia="zh-CN" w:bidi="ar-SA"/>
    </w:rPr>
  </w:style>
  <w:style w:type="character" w:customStyle="1" w:styleId="461">
    <w:name w:val="正文首行缩进 Char1"/>
    <w:autoRedefine/>
    <w:qFormat/>
    <w:uiPriority w:val="0"/>
    <w:rPr>
      <w:rFonts w:ascii="Times New Roman" w:hAnsi="宋体" w:eastAsia="宋体" w:cs="Times New Roman"/>
      <w:bCs/>
      <w:kern w:val="0"/>
      <w:sz w:val="26"/>
      <w:szCs w:val="26"/>
    </w:rPr>
  </w:style>
  <w:style w:type="character" w:customStyle="1" w:styleId="462">
    <w:name w:val="表头CXY Char"/>
    <w:link w:val="463"/>
    <w:autoRedefine/>
    <w:qFormat/>
    <w:uiPriority w:val="0"/>
    <w:rPr>
      <w:rFonts w:ascii="Times New Roman"/>
      <w:b/>
    </w:rPr>
  </w:style>
  <w:style w:type="paragraph" w:customStyle="1" w:styleId="463">
    <w:name w:val="表头CXY"/>
    <w:basedOn w:val="1"/>
    <w:link w:val="462"/>
    <w:autoRedefine/>
    <w:qFormat/>
    <w:uiPriority w:val="0"/>
    <w:pPr>
      <w:ind w:firstLine="720" w:firstLineChars="200"/>
      <w:jc w:val="left"/>
    </w:pPr>
    <w:rPr>
      <w:rFonts w:hAnsi="Calibri"/>
      <w:b/>
      <w:kern w:val="0"/>
      <w:sz w:val="20"/>
      <w:szCs w:val="20"/>
    </w:rPr>
  </w:style>
  <w:style w:type="paragraph" w:customStyle="1" w:styleId="464">
    <w:name w:val="样式 正文 + 宋体"/>
    <w:basedOn w:val="9"/>
    <w:link w:val="465"/>
    <w:autoRedefine/>
    <w:qFormat/>
    <w:uiPriority w:val="0"/>
    <w:pPr>
      <w:widowControl/>
      <w:overflowPunct w:val="0"/>
      <w:spacing w:line="500" w:lineRule="exact"/>
      <w:ind w:firstLine="539" w:firstLineChars="0"/>
    </w:pPr>
    <w:rPr>
      <w:sz w:val="28"/>
      <w:szCs w:val="28"/>
    </w:rPr>
  </w:style>
  <w:style w:type="character" w:customStyle="1" w:styleId="465">
    <w:name w:val="样式 正文 + 宋体 Char"/>
    <w:link w:val="464"/>
    <w:autoRedefine/>
    <w:qFormat/>
    <w:uiPriority w:val="0"/>
    <w:rPr>
      <w:rFonts w:ascii="Times New Roman" w:hAnsi="Times New Roman" w:cs="Arial"/>
      <w:sz w:val="28"/>
      <w:szCs w:val="28"/>
    </w:rPr>
  </w:style>
  <w:style w:type="paragraph" w:customStyle="1" w:styleId="466">
    <w:name w:val="样式 正文首行缩进:  2 字符 + 首行缩进:  2 字符"/>
    <w:basedOn w:val="1"/>
    <w:autoRedefine/>
    <w:qFormat/>
    <w:uiPriority w:val="0"/>
    <w:pPr>
      <w:spacing w:line="360" w:lineRule="auto"/>
      <w:ind w:firstLine="480" w:firstLineChars="200"/>
    </w:pPr>
    <w:rPr>
      <w:rFonts w:cs="宋体"/>
      <w:sz w:val="24"/>
      <w:szCs w:val="20"/>
    </w:rPr>
  </w:style>
  <w:style w:type="paragraph" w:customStyle="1" w:styleId="467">
    <w:name w:val="正文（北海）"/>
    <w:basedOn w:val="1"/>
    <w:link w:val="468"/>
    <w:autoRedefine/>
    <w:qFormat/>
    <w:uiPriority w:val="0"/>
    <w:pPr>
      <w:snapToGrid w:val="0"/>
      <w:spacing w:line="360" w:lineRule="auto"/>
      <w:ind w:firstLine="200" w:firstLineChars="200"/>
    </w:pPr>
    <w:rPr>
      <w:sz w:val="24"/>
    </w:rPr>
  </w:style>
  <w:style w:type="character" w:customStyle="1" w:styleId="468">
    <w:name w:val="正文（北海） Char"/>
    <w:link w:val="467"/>
    <w:autoRedefine/>
    <w:qFormat/>
    <w:uiPriority w:val="0"/>
    <w:rPr>
      <w:rFonts w:ascii="Times New Roman" w:hAnsi="Times New Roman"/>
      <w:kern w:val="2"/>
      <w:sz w:val="24"/>
      <w:szCs w:val="24"/>
    </w:rPr>
  </w:style>
  <w:style w:type="paragraph" w:customStyle="1" w:styleId="469">
    <w:name w:val="图表正文"/>
    <w:basedOn w:val="1"/>
    <w:autoRedefine/>
    <w:qFormat/>
    <w:uiPriority w:val="0"/>
    <w:pPr>
      <w:spacing w:line="360" w:lineRule="auto"/>
      <w:jc w:val="center"/>
    </w:pPr>
    <w:rPr>
      <w:sz w:val="24"/>
    </w:rPr>
  </w:style>
  <w:style w:type="paragraph" w:customStyle="1" w:styleId="470">
    <w:name w:val="正文文本11"/>
    <w:basedOn w:val="1"/>
    <w:next w:val="23"/>
    <w:autoRedefine/>
    <w:qFormat/>
    <w:uiPriority w:val="0"/>
    <w:pPr>
      <w:widowControl/>
      <w:tabs>
        <w:tab w:val="left" w:pos="0"/>
      </w:tabs>
      <w:spacing w:beforeLines="50" w:afterLines="50" w:line="360" w:lineRule="auto"/>
      <w:ind w:left="-1" w:leftChars="-1" w:firstLine="200" w:firstLineChars="200"/>
      <w:jc w:val="left"/>
    </w:pPr>
    <w:rPr>
      <w:rFonts w:ascii="Calibri" w:hAnsi="Calibri"/>
      <w:b/>
      <w:kern w:val="0"/>
      <w:sz w:val="28"/>
      <w:lang w:bidi="en-US"/>
    </w:rPr>
  </w:style>
  <w:style w:type="character" w:customStyle="1" w:styleId="471">
    <w:name w:val="正文文本_"/>
    <w:link w:val="472"/>
    <w:autoRedefine/>
    <w:qFormat/>
    <w:uiPriority w:val="0"/>
    <w:rPr>
      <w:rFonts w:ascii="MingLiU" w:hAnsi="MingLiU" w:eastAsia="MingLiU" w:cs="MingLiU"/>
      <w:sz w:val="21"/>
      <w:szCs w:val="21"/>
      <w:shd w:val="clear" w:color="auto" w:fill="FFFFFF"/>
    </w:rPr>
  </w:style>
  <w:style w:type="paragraph" w:customStyle="1" w:styleId="472">
    <w:name w:val="正文文本3"/>
    <w:basedOn w:val="1"/>
    <w:link w:val="471"/>
    <w:autoRedefine/>
    <w:qFormat/>
    <w:uiPriority w:val="0"/>
    <w:pPr>
      <w:shd w:val="clear" w:color="auto" w:fill="FFFFFF"/>
      <w:spacing w:line="254" w:lineRule="exact"/>
      <w:ind w:hanging="1000"/>
      <w:jc w:val="left"/>
    </w:pPr>
    <w:rPr>
      <w:rFonts w:ascii="MingLiU" w:hAnsi="MingLiU" w:eastAsia="MingLiU" w:cs="MingLiU"/>
      <w:kern w:val="0"/>
      <w:szCs w:val="21"/>
    </w:rPr>
  </w:style>
  <w:style w:type="character" w:customStyle="1" w:styleId="473">
    <w:name w:val="正文文本 + 9 pt"/>
    <w:autoRedefine/>
    <w:qFormat/>
    <w:uiPriority w:val="0"/>
    <w:rPr>
      <w:rFonts w:ascii="MingLiU" w:hAnsi="MingLiU" w:eastAsia="MingLiU" w:cs="MingLiU"/>
      <w:color w:val="000000"/>
      <w:spacing w:val="0"/>
      <w:w w:val="100"/>
      <w:position w:val="0"/>
      <w:sz w:val="18"/>
      <w:szCs w:val="18"/>
      <w:u w:val="none"/>
      <w:lang w:val="zh-TW"/>
    </w:rPr>
  </w:style>
  <w:style w:type="character" w:customStyle="1" w:styleId="474">
    <w:name w:val="正文文本 + 6 pt"/>
    <w:autoRedefine/>
    <w:qFormat/>
    <w:uiPriority w:val="0"/>
    <w:rPr>
      <w:rFonts w:ascii="MingLiU" w:hAnsi="MingLiU" w:eastAsia="MingLiU" w:cs="MingLiU"/>
      <w:color w:val="000000"/>
      <w:spacing w:val="0"/>
      <w:w w:val="100"/>
      <w:position w:val="0"/>
      <w:sz w:val="12"/>
      <w:szCs w:val="12"/>
      <w:u w:val="none"/>
    </w:rPr>
  </w:style>
  <w:style w:type="character" w:customStyle="1" w:styleId="475">
    <w:name w:val="正文文本 + Batang"/>
    <w:autoRedefine/>
    <w:qFormat/>
    <w:uiPriority w:val="0"/>
    <w:rPr>
      <w:rFonts w:ascii="Batang" w:hAnsi="Batang" w:eastAsia="Batang" w:cs="Batang"/>
      <w:b/>
      <w:bCs/>
      <w:color w:val="000000"/>
      <w:spacing w:val="0"/>
      <w:w w:val="100"/>
      <w:position w:val="0"/>
      <w:sz w:val="18"/>
      <w:szCs w:val="18"/>
      <w:u w:val="none"/>
      <w:lang w:val="en-US"/>
    </w:rPr>
  </w:style>
  <w:style w:type="paragraph" w:customStyle="1" w:styleId="476">
    <w:name w:val="正文11"/>
    <w:basedOn w:val="1"/>
    <w:autoRedefine/>
    <w:qFormat/>
    <w:uiPriority w:val="0"/>
    <w:pPr>
      <w:spacing w:afterLines="50" w:line="500" w:lineRule="exact"/>
      <w:ind w:firstLine="200" w:firstLineChars="200"/>
    </w:pPr>
    <w:rPr>
      <w:sz w:val="24"/>
      <w:szCs w:val="22"/>
    </w:rPr>
  </w:style>
  <w:style w:type="character" w:customStyle="1" w:styleId="477">
    <w:name w:val="0正文 Char"/>
    <w:link w:val="478"/>
    <w:autoRedefine/>
    <w:qFormat/>
    <w:uiPriority w:val="0"/>
    <w:rPr>
      <w:kern w:val="2"/>
      <w:sz w:val="24"/>
      <w:szCs w:val="22"/>
    </w:rPr>
  </w:style>
  <w:style w:type="paragraph" w:customStyle="1" w:styleId="478">
    <w:name w:val="0正文"/>
    <w:basedOn w:val="1"/>
    <w:link w:val="477"/>
    <w:autoRedefine/>
    <w:qFormat/>
    <w:uiPriority w:val="0"/>
    <w:pPr>
      <w:spacing w:line="360" w:lineRule="auto"/>
      <w:ind w:firstLine="200" w:firstLineChars="200"/>
    </w:pPr>
    <w:rPr>
      <w:rFonts w:ascii="Calibri" w:hAnsi="Calibri"/>
      <w:sz w:val="24"/>
      <w:szCs w:val="22"/>
    </w:rPr>
  </w:style>
  <w:style w:type="paragraph" w:customStyle="1" w:styleId="479">
    <w:name w:val="1-1"/>
    <w:basedOn w:val="3"/>
    <w:link w:val="480"/>
    <w:autoRedefine/>
    <w:qFormat/>
    <w:uiPriority w:val="0"/>
    <w:pPr>
      <w:snapToGrid w:val="0"/>
      <w:spacing w:before="0" w:after="0" w:line="360" w:lineRule="auto"/>
    </w:pPr>
    <w:rPr>
      <w:rFonts w:eastAsia="宋体"/>
      <w:bCs w:val="0"/>
      <w:kern w:val="2"/>
      <w:sz w:val="28"/>
      <w:szCs w:val="28"/>
    </w:rPr>
  </w:style>
  <w:style w:type="character" w:customStyle="1" w:styleId="480">
    <w:name w:val="1-1 Char"/>
    <w:link w:val="479"/>
    <w:autoRedefine/>
    <w:qFormat/>
    <w:uiPriority w:val="0"/>
    <w:rPr>
      <w:rFonts w:ascii="Arial" w:hAnsi="Arial"/>
      <w:b/>
      <w:kern w:val="2"/>
      <w:sz w:val="28"/>
      <w:szCs w:val="28"/>
    </w:rPr>
  </w:style>
  <w:style w:type="paragraph" w:customStyle="1" w:styleId="481">
    <w:name w:val="1-1-1"/>
    <w:basedOn w:val="5"/>
    <w:link w:val="482"/>
    <w:autoRedefine/>
    <w:qFormat/>
    <w:uiPriority w:val="0"/>
    <w:pPr>
      <w:adjustRightInd w:val="0"/>
      <w:snapToGrid w:val="0"/>
      <w:spacing w:before="0" w:after="0" w:line="360" w:lineRule="auto"/>
    </w:pPr>
    <w:rPr>
      <w:kern w:val="2"/>
      <w:sz w:val="24"/>
      <w:szCs w:val="24"/>
    </w:rPr>
  </w:style>
  <w:style w:type="character" w:customStyle="1" w:styleId="482">
    <w:name w:val="1-1-1 Char"/>
    <w:link w:val="481"/>
    <w:autoRedefine/>
    <w:qFormat/>
    <w:uiPriority w:val="0"/>
    <w:rPr>
      <w:rFonts w:ascii="Times New Roman" w:hAnsi="Times New Roman"/>
      <w:b/>
      <w:bCs/>
      <w:kern w:val="2"/>
      <w:sz w:val="24"/>
      <w:szCs w:val="24"/>
    </w:rPr>
  </w:style>
  <w:style w:type="paragraph" w:customStyle="1" w:styleId="483">
    <w:name w:val="正文正文"/>
    <w:basedOn w:val="1"/>
    <w:link w:val="484"/>
    <w:autoRedefine/>
    <w:qFormat/>
    <w:uiPriority w:val="0"/>
    <w:pPr>
      <w:spacing w:line="360" w:lineRule="auto"/>
      <w:ind w:firstLine="480" w:firstLineChars="200"/>
    </w:pPr>
    <w:rPr>
      <w:sz w:val="24"/>
    </w:rPr>
  </w:style>
  <w:style w:type="character" w:customStyle="1" w:styleId="484">
    <w:name w:val="正文正文 Char"/>
    <w:link w:val="483"/>
    <w:autoRedefine/>
    <w:qFormat/>
    <w:uiPriority w:val="0"/>
    <w:rPr>
      <w:rFonts w:ascii="Times New Roman" w:hAnsi="Times New Roman"/>
      <w:kern w:val="2"/>
      <w:sz w:val="24"/>
      <w:szCs w:val="24"/>
    </w:rPr>
  </w:style>
  <w:style w:type="paragraph" w:customStyle="1" w:styleId="485">
    <w:name w:val="正文格式"/>
    <w:basedOn w:val="1"/>
    <w:link w:val="486"/>
    <w:autoRedefine/>
    <w:qFormat/>
    <w:uiPriority w:val="0"/>
    <w:pPr>
      <w:spacing w:line="360" w:lineRule="auto"/>
      <w:ind w:firstLine="480" w:firstLineChars="200"/>
    </w:pPr>
    <w:rPr>
      <w:rFonts w:hAnsi="宋体"/>
      <w:sz w:val="24"/>
      <w:szCs w:val="20"/>
    </w:rPr>
  </w:style>
  <w:style w:type="character" w:customStyle="1" w:styleId="486">
    <w:name w:val="正文格式 Char"/>
    <w:link w:val="485"/>
    <w:autoRedefine/>
    <w:qFormat/>
    <w:uiPriority w:val="0"/>
    <w:rPr>
      <w:rFonts w:ascii="Times New Roman" w:hAnsi="宋体"/>
      <w:kern w:val="2"/>
      <w:sz w:val="24"/>
    </w:rPr>
  </w:style>
  <w:style w:type="paragraph" w:customStyle="1" w:styleId="487">
    <w:name w:val="文字 Char"/>
    <w:basedOn w:val="1"/>
    <w:autoRedefine/>
    <w:qFormat/>
    <w:uiPriority w:val="0"/>
    <w:pPr>
      <w:adjustRightInd w:val="0"/>
      <w:snapToGrid w:val="0"/>
      <w:spacing w:line="360" w:lineRule="auto"/>
      <w:ind w:firstLine="200" w:firstLineChars="200"/>
    </w:pPr>
    <w:rPr>
      <w:rFonts w:ascii="仿宋_GB2312" w:hAnsi="仿宋_GB2312" w:eastAsia="仿宋_GB2312"/>
      <w:sz w:val="24"/>
    </w:rPr>
  </w:style>
  <w:style w:type="paragraph" w:customStyle="1" w:styleId="488">
    <w:name w:val="表头1.1-1"/>
    <w:basedOn w:val="485"/>
    <w:link w:val="489"/>
    <w:autoRedefine/>
    <w:qFormat/>
    <w:uiPriority w:val="0"/>
    <w:pPr>
      <w:snapToGrid w:val="0"/>
      <w:spacing w:before="240" w:line="240" w:lineRule="auto"/>
      <w:ind w:firstLine="0" w:firstLineChars="0"/>
      <w:jc w:val="center"/>
    </w:pPr>
    <w:rPr>
      <w:rFonts w:hAnsi="Times New Roman"/>
      <w:b/>
      <w:bCs/>
      <w:color w:val="000000"/>
      <w:kern w:val="0"/>
      <w:sz w:val="21"/>
      <w:szCs w:val="21"/>
    </w:rPr>
  </w:style>
  <w:style w:type="character" w:customStyle="1" w:styleId="489">
    <w:name w:val="表头1.1-1 Char"/>
    <w:link w:val="488"/>
    <w:autoRedefine/>
    <w:qFormat/>
    <w:uiPriority w:val="0"/>
    <w:rPr>
      <w:rFonts w:ascii="Times New Roman" w:hAnsi="Times New Roman"/>
      <w:b/>
      <w:bCs/>
      <w:color w:val="000000"/>
      <w:sz w:val="21"/>
      <w:szCs w:val="21"/>
    </w:rPr>
  </w:style>
  <w:style w:type="character" w:customStyle="1" w:styleId="490">
    <w:name w:val="纯文本 Char1"/>
    <w:autoRedefine/>
    <w:qFormat/>
    <w:uiPriority w:val="0"/>
    <w:rPr>
      <w:rFonts w:ascii="宋体" w:hAnsi="Courier New" w:eastAsia="宋体" w:cs="Times New Roman"/>
      <w:kern w:val="2"/>
      <w:sz w:val="28"/>
      <w:szCs w:val="20"/>
    </w:rPr>
  </w:style>
  <w:style w:type="paragraph" w:customStyle="1" w:styleId="491">
    <w:name w:val="444"/>
    <w:basedOn w:val="1"/>
    <w:autoRedefine/>
    <w:qFormat/>
    <w:uiPriority w:val="0"/>
    <w:pPr>
      <w:snapToGrid w:val="0"/>
      <w:jc w:val="left"/>
    </w:pPr>
    <w:rPr>
      <w:b/>
      <w:sz w:val="28"/>
      <w:szCs w:val="20"/>
    </w:rPr>
  </w:style>
  <w:style w:type="paragraph" w:customStyle="1" w:styleId="492">
    <w:name w:val="888-三级"/>
    <w:autoRedefine/>
    <w:qFormat/>
    <w:uiPriority w:val="0"/>
    <w:pPr>
      <w:spacing w:line="360" w:lineRule="auto"/>
      <w:jc w:val="both"/>
      <w:outlineLvl w:val="2"/>
    </w:pPr>
    <w:rPr>
      <w:rFonts w:ascii="Times New Roman" w:hAnsi="Times New Roman" w:eastAsia="宋体" w:cs="Times New Roman"/>
      <w:b/>
      <w:bCs/>
      <w:kern w:val="2"/>
      <w:sz w:val="28"/>
      <w:szCs w:val="28"/>
      <w:lang w:val="en-US" w:eastAsia="zh-CN" w:bidi="ar-SA"/>
    </w:rPr>
  </w:style>
  <w:style w:type="paragraph" w:customStyle="1" w:styleId="493">
    <w:name w:val="正文 二院"/>
    <w:basedOn w:val="1"/>
    <w:autoRedefine/>
    <w:qFormat/>
    <w:uiPriority w:val="0"/>
    <w:pPr>
      <w:spacing w:line="360" w:lineRule="auto"/>
      <w:ind w:firstLine="200" w:firstLineChars="200"/>
    </w:pPr>
    <w:rPr>
      <w:color w:val="000000"/>
      <w:sz w:val="24"/>
      <w:szCs w:val="22"/>
    </w:rPr>
  </w:style>
  <w:style w:type="character" w:customStyle="1" w:styleId="494">
    <w:name w:val="正文格式 Char Char"/>
    <w:autoRedefine/>
    <w:qFormat/>
    <w:uiPriority w:val="0"/>
    <w:rPr>
      <w:rFonts w:ascii="宋体" w:hAnsi="宋体" w:eastAsia="宋体"/>
      <w:color w:val="000000"/>
      <w:sz w:val="24"/>
      <w:szCs w:val="24"/>
    </w:rPr>
  </w:style>
  <w:style w:type="character" w:customStyle="1" w:styleId="495">
    <w:name w:val="表内容 Char"/>
    <w:link w:val="496"/>
    <w:autoRedefine/>
    <w:qFormat/>
    <w:uiPriority w:val="0"/>
    <w:rPr>
      <w:kern w:val="2"/>
      <w:sz w:val="24"/>
      <w:szCs w:val="21"/>
    </w:rPr>
  </w:style>
  <w:style w:type="paragraph" w:customStyle="1" w:styleId="496">
    <w:name w:val="表内容"/>
    <w:basedOn w:val="1"/>
    <w:link w:val="495"/>
    <w:autoRedefine/>
    <w:qFormat/>
    <w:uiPriority w:val="0"/>
    <w:pPr>
      <w:jc w:val="center"/>
    </w:pPr>
    <w:rPr>
      <w:rFonts w:ascii="Calibri" w:hAnsi="Calibri"/>
      <w:sz w:val="24"/>
      <w:szCs w:val="21"/>
    </w:rPr>
  </w:style>
  <w:style w:type="character" w:customStyle="1" w:styleId="497">
    <w:name w:val="样式 正文 行距: 固定值 25 磅 Char Char"/>
    <w:link w:val="498"/>
    <w:autoRedefine/>
    <w:qFormat/>
    <w:uiPriority w:val="0"/>
    <w:rPr>
      <w:rFonts w:ascii="宋体" w:hAnsi="宋体" w:cs="宋体"/>
      <w:kern w:val="2"/>
      <w:sz w:val="24"/>
      <w:szCs w:val="24"/>
    </w:rPr>
  </w:style>
  <w:style w:type="paragraph" w:customStyle="1" w:styleId="498">
    <w:name w:val="样式 正文 行距: 固定值 25 磅"/>
    <w:basedOn w:val="1"/>
    <w:link w:val="497"/>
    <w:autoRedefine/>
    <w:qFormat/>
    <w:uiPriority w:val="0"/>
    <w:pPr>
      <w:adjustRightInd w:val="0"/>
      <w:spacing w:line="500" w:lineRule="exact"/>
      <w:ind w:firstLine="200" w:firstLineChars="200"/>
    </w:pPr>
    <w:rPr>
      <w:rFonts w:ascii="宋体" w:hAnsi="宋体" w:cs="宋体"/>
      <w:sz w:val="24"/>
    </w:rPr>
  </w:style>
  <w:style w:type="paragraph" w:customStyle="1" w:styleId="499">
    <w:name w:val="标准样式"/>
    <w:basedOn w:val="1"/>
    <w:autoRedefine/>
    <w:qFormat/>
    <w:uiPriority w:val="0"/>
    <w:pPr>
      <w:spacing w:line="600" w:lineRule="exact"/>
      <w:ind w:firstLine="567"/>
    </w:pPr>
    <w:rPr>
      <w:rFonts w:ascii="宋体"/>
      <w:sz w:val="28"/>
    </w:rPr>
  </w:style>
  <w:style w:type="character" w:customStyle="1" w:styleId="500">
    <w:name w:val="样式 样式 标题 3 + 宋体 + 四号 Char"/>
    <w:autoRedefine/>
    <w:qFormat/>
    <w:uiPriority w:val="0"/>
    <w:rPr>
      <w:rFonts w:ascii="黑体" w:hAnsi="宋体" w:eastAsia="黑体"/>
      <w:b/>
      <w:bCs/>
      <w:kern w:val="2"/>
      <w:sz w:val="28"/>
      <w:szCs w:val="28"/>
      <w:lang w:val="en-US" w:eastAsia="zh-CN" w:bidi="ar-SA"/>
    </w:rPr>
  </w:style>
  <w:style w:type="character" w:customStyle="1" w:styleId="501">
    <w:name w:val="正文文本 + MS Mincho"/>
    <w:autoRedefine/>
    <w:qFormat/>
    <w:uiPriority w:val="0"/>
    <w:rPr>
      <w:rFonts w:ascii="MS Mincho" w:hAnsi="MS Mincho" w:eastAsia="MS Mincho" w:cs="MS Mincho"/>
      <w:color w:val="000000"/>
      <w:spacing w:val="0"/>
      <w:w w:val="100"/>
      <w:position w:val="0"/>
      <w:sz w:val="23"/>
      <w:szCs w:val="23"/>
      <w:u w:val="none"/>
      <w:shd w:val="clear" w:color="auto" w:fill="FFFFFF"/>
      <w:lang w:val="en-US"/>
    </w:rPr>
  </w:style>
  <w:style w:type="paragraph" w:customStyle="1" w:styleId="502">
    <w:name w:val="正文文本2"/>
    <w:basedOn w:val="1"/>
    <w:autoRedefine/>
    <w:qFormat/>
    <w:uiPriority w:val="0"/>
    <w:pPr>
      <w:shd w:val="clear" w:color="auto" w:fill="FFFFFF"/>
      <w:spacing w:line="434" w:lineRule="exact"/>
      <w:jc w:val="left"/>
    </w:pPr>
    <w:rPr>
      <w:rFonts w:ascii="MingLiU" w:hAnsi="MingLiU" w:eastAsia="MingLiU" w:cs="MingLiU"/>
      <w:color w:val="000000"/>
      <w:spacing w:val="10"/>
      <w:kern w:val="0"/>
      <w:sz w:val="22"/>
      <w:szCs w:val="22"/>
      <w:lang w:val="zh-TW"/>
    </w:rPr>
  </w:style>
  <w:style w:type="character" w:customStyle="1" w:styleId="503">
    <w:name w:val="!BG_正文 Char Char"/>
    <w:link w:val="504"/>
    <w:autoRedefine/>
    <w:qFormat/>
    <w:uiPriority w:val="0"/>
    <w:rPr>
      <w:kern w:val="2"/>
      <w:sz w:val="24"/>
      <w:szCs w:val="24"/>
    </w:rPr>
  </w:style>
  <w:style w:type="paragraph" w:customStyle="1" w:styleId="504">
    <w:name w:val="!BG_正文"/>
    <w:basedOn w:val="1"/>
    <w:link w:val="503"/>
    <w:autoRedefine/>
    <w:qFormat/>
    <w:uiPriority w:val="0"/>
    <w:pPr>
      <w:tabs>
        <w:tab w:val="left" w:pos="360"/>
        <w:tab w:val="left" w:pos="540"/>
      </w:tabs>
      <w:spacing w:line="360" w:lineRule="auto"/>
      <w:ind w:firstLine="200" w:firstLineChars="200"/>
    </w:pPr>
    <w:rPr>
      <w:rFonts w:ascii="Calibri" w:hAnsi="Calibri"/>
      <w:sz w:val="24"/>
    </w:rPr>
  </w:style>
  <w:style w:type="character" w:customStyle="1" w:styleId="505">
    <w:name w:val="!BG_表注 Char"/>
    <w:link w:val="506"/>
    <w:autoRedefine/>
    <w:qFormat/>
    <w:uiPriority w:val="0"/>
    <w:rPr>
      <w:b/>
      <w:kern w:val="2"/>
      <w:sz w:val="21"/>
      <w:szCs w:val="24"/>
    </w:rPr>
  </w:style>
  <w:style w:type="paragraph" w:customStyle="1" w:styleId="506">
    <w:name w:val="!BG_表注"/>
    <w:basedOn w:val="1"/>
    <w:link w:val="505"/>
    <w:autoRedefine/>
    <w:qFormat/>
    <w:uiPriority w:val="0"/>
    <w:pPr>
      <w:jc w:val="center"/>
    </w:pPr>
    <w:rPr>
      <w:rFonts w:ascii="Calibri" w:hAnsi="Calibri"/>
      <w:b/>
    </w:rPr>
  </w:style>
  <w:style w:type="paragraph" w:customStyle="1" w:styleId="507">
    <w:name w:val="项目正文，无格式"/>
    <w:basedOn w:val="1"/>
    <w:link w:val="508"/>
    <w:autoRedefine/>
    <w:qFormat/>
    <w:uiPriority w:val="0"/>
    <w:pPr>
      <w:jc w:val="center"/>
    </w:pPr>
    <w:rPr>
      <w:kern w:val="0"/>
      <w:sz w:val="20"/>
      <w:szCs w:val="18"/>
    </w:rPr>
  </w:style>
  <w:style w:type="character" w:customStyle="1" w:styleId="508">
    <w:name w:val="项目正文，无格式 Char"/>
    <w:link w:val="507"/>
    <w:autoRedefine/>
    <w:qFormat/>
    <w:uiPriority w:val="0"/>
    <w:rPr>
      <w:rFonts w:ascii="Times New Roman" w:hAnsi="Times New Roman"/>
      <w:szCs w:val="18"/>
    </w:rPr>
  </w:style>
  <w:style w:type="paragraph" w:customStyle="1" w:styleId="509">
    <w:name w:val="p0"/>
    <w:basedOn w:val="1"/>
    <w:autoRedefine/>
    <w:qFormat/>
    <w:uiPriority w:val="0"/>
    <w:pPr>
      <w:widowControl/>
      <w:spacing w:line="351" w:lineRule="atLeast"/>
      <w:ind w:firstLine="419"/>
    </w:pPr>
    <w:rPr>
      <w:rFonts w:ascii="宋体"/>
      <w:color w:val="000000"/>
      <w:kern w:val="0"/>
      <w:sz w:val="24"/>
      <w:szCs w:val="20"/>
    </w:rPr>
  </w:style>
  <w:style w:type="paragraph" w:customStyle="1" w:styleId="510">
    <w:name w:val="_Style 5"/>
    <w:basedOn w:val="1"/>
    <w:autoRedefine/>
    <w:qFormat/>
    <w:uiPriority w:val="0"/>
    <w:pPr>
      <w:spacing w:line="360" w:lineRule="auto"/>
      <w:ind w:firstLine="420" w:firstLineChars="200"/>
    </w:pPr>
    <w:rPr>
      <w:rFonts w:ascii="Calibri" w:hAnsi="Calibri"/>
      <w:kern w:val="0"/>
      <w:sz w:val="24"/>
      <w:szCs w:val="20"/>
    </w:rPr>
  </w:style>
  <w:style w:type="paragraph" w:customStyle="1" w:styleId="511">
    <w:name w:val="Char2 Char Char Char Char Char Char Char Char Char Char Char Char"/>
    <w:basedOn w:val="1"/>
    <w:autoRedefine/>
    <w:qFormat/>
    <w:uiPriority w:val="0"/>
    <w:pPr>
      <w:spacing w:line="560" w:lineRule="exact"/>
      <w:ind w:firstLine="200" w:firstLineChars="200"/>
    </w:pPr>
    <w:rPr>
      <w:rFonts w:ascii="宋体" w:hAnsi="宋体" w:cs="宋体"/>
      <w:sz w:val="28"/>
      <w:szCs w:val="28"/>
    </w:rPr>
  </w:style>
  <w:style w:type="paragraph" w:customStyle="1" w:styleId="512">
    <w:name w:val="Char2 Char Char Char Char Char Char Char Char Char Char Char Char4"/>
    <w:basedOn w:val="1"/>
    <w:autoRedefine/>
    <w:qFormat/>
    <w:uiPriority w:val="0"/>
    <w:pPr>
      <w:spacing w:line="560" w:lineRule="exact"/>
      <w:ind w:firstLine="200" w:firstLineChars="200"/>
    </w:pPr>
    <w:rPr>
      <w:rFonts w:ascii="宋体" w:hAnsi="宋体" w:cs="宋体"/>
      <w:sz w:val="28"/>
      <w:szCs w:val="28"/>
    </w:rPr>
  </w:style>
  <w:style w:type="paragraph" w:customStyle="1" w:styleId="513">
    <w:name w:val="表头1"/>
    <w:basedOn w:val="1"/>
    <w:link w:val="514"/>
    <w:autoRedefine/>
    <w:qFormat/>
    <w:uiPriority w:val="0"/>
    <w:pPr>
      <w:spacing w:line="360" w:lineRule="auto"/>
      <w:jc w:val="center"/>
    </w:pPr>
    <w:rPr>
      <w:rFonts w:ascii="Calibri" w:hAnsi="Calibri" w:eastAsia="黑体"/>
      <w:szCs w:val="20"/>
    </w:rPr>
  </w:style>
  <w:style w:type="character" w:customStyle="1" w:styleId="514">
    <w:name w:val="表头1 Char"/>
    <w:link w:val="513"/>
    <w:autoRedefine/>
    <w:qFormat/>
    <w:locked/>
    <w:uiPriority w:val="0"/>
    <w:rPr>
      <w:rFonts w:eastAsia="黑体"/>
      <w:kern w:val="2"/>
      <w:sz w:val="21"/>
    </w:rPr>
  </w:style>
  <w:style w:type="paragraph" w:customStyle="1" w:styleId="515">
    <w:name w:val="Char2 Char Char Char Char Char Char Char Char Char Char Char Char3"/>
    <w:basedOn w:val="1"/>
    <w:autoRedefine/>
    <w:qFormat/>
    <w:uiPriority w:val="0"/>
    <w:pPr>
      <w:spacing w:line="560" w:lineRule="exact"/>
      <w:ind w:firstLine="200" w:firstLineChars="200"/>
    </w:pPr>
    <w:rPr>
      <w:rFonts w:ascii="宋体" w:hAnsi="宋体" w:cs="宋体"/>
      <w:sz w:val="28"/>
      <w:szCs w:val="28"/>
    </w:rPr>
  </w:style>
  <w:style w:type="paragraph" w:customStyle="1" w:styleId="516">
    <w:name w:val="Char2 Char Char Char Char Char Char Char Char Char Char Char Char2"/>
    <w:basedOn w:val="1"/>
    <w:autoRedefine/>
    <w:qFormat/>
    <w:uiPriority w:val="0"/>
    <w:pPr>
      <w:spacing w:line="560" w:lineRule="exact"/>
      <w:ind w:firstLine="200" w:firstLineChars="200"/>
    </w:pPr>
    <w:rPr>
      <w:rFonts w:ascii="宋体" w:hAnsi="宋体" w:cs="宋体"/>
      <w:sz w:val="28"/>
      <w:szCs w:val="28"/>
    </w:rPr>
  </w:style>
  <w:style w:type="paragraph" w:customStyle="1" w:styleId="517">
    <w:name w:val="Char2 Char Char Char Char Char Char Char Char Char Char Char Char1"/>
    <w:basedOn w:val="1"/>
    <w:autoRedefine/>
    <w:qFormat/>
    <w:uiPriority w:val="0"/>
    <w:pPr>
      <w:spacing w:line="560" w:lineRule="exact"/>
      <w:ind w:firstLine="200" w:firstLineChars="200"/>
    </w:pPr>
    <w:rPr>
      <w:rFonts w:ascii="宋体" w:hAnsi="宋体" w:cs="宋体"/>
      <w:sz w:val="28"/>
      <w:szCs w:val="28"/>
    </w:rPr>
  </w:style>
  <w:style w:type="paragraph" w:customStyle="1" w:styleId="518">
    <w:name w:val="正文样式 仿宋 四号"/>
    <w:basedOn w:val="1"/>
    <w:link w:val="519"/>
    <w:autoRedefine/>
    <w:qFormat/>
    <w:uiPriority w:val="0"/>
    <w:pPr>
      <w:spacing w:line="520" w:lineRule="exact"/>
      <w:ind w:firstLine="556"/>
    </w:pPr>
    <w:rPr>
      <w:rFonts w:ascii="仿宋_GB2312" w:hAnsi="宋体" w:eastAsia="仿宋_GB2312"/>
      <w:sz w:val="28"/>
      <w:szCs w:val="20"/>
    </w:rPr>
  </w:style>
  <w:style w:type="character" w:customStyle="1" w:styleId="519">
    <w:name w:val="正文样式 仿宋 四号 Char"/>
    <w:link w:val="518"/>
    <w:autoRedefine/>
    <w:qFormat/>
    <w:uiPriority w:val="0"/>
    <w:rPr>
      <w:rFonts w:ascii="仿宋_GB2312" w:hAnsi="宋体" w:eastAsia="仿宋_GB2312"/>
      <w:kern w:val="2"/>
      <w:sz w:val="28"/>
    </w:rPr>
  </w:style>
  <w:style w:type="paragraph" w:customStyle="1" w:styleId="520">
    <w:name w:val="正文文本1"/>
    <w:basedOn w:val="1"/>
    <w:autoRedefine/>
    <w:qFormat/>
    <w:uiPriority w:val="0"/>
    <w:pPr>
      <w:shd w:val="clear" w:color="auto" w:fill="FFFFFF"/>
      <w:spacing w:line="466" w:lineRule="exact"/>
      <w:ind w:firstLine="500"/>
      <w:jc w:val="left"/>
    </w:pPr>
    <w:rPr>
      <w:rFonts w:ascii="Arial Unicode MS" w:hAnsi="Arial Unicode MS" w:eastAsia="Arial Unicode MS" w:cs="Arial Unicode MS"/>
      <w:kern w:val="0"/>
      <w:sz w:val="23"/>
      <w:szCs w:val="23"/>
    </w:rPr>
  </w:style>
  <w:style w:type="paragraph" w:customStyle="1" w:styleId="521">
    <w:name w:val="Char2 Char Char Char Char Char Char Char Char Char Char Char Char5"/>
    <w:basedOn w:val="1"/>
    <w:autoRedefine/>
    <w:qFormat/>
    <w:uiPriority w:val="0"/>
    <w:pPr>
      <w:spacing w:line="560" w:lineRule="exact"/>
      <w:ind w:firstLine="200" w:firstLineChars="200"/>
    </w:pPr>
    <w:rPr>
      <w:rFonts w:ascii="宋体" w:hAnsi="宋体" w:cs="宋体"/>
      <w:sz w:val="28"/>
      <w:szCs w:val="28"/>
    </w:rPr>
  </w:style>
  <w:style w:type="character" w:customStyle="1" w:styleId="522">
    <w:name w:val="二级标题 Char1"/>
    <w:link w:val="523"/>
    <w:autoRedefine/>
    <w:qFormat/>
    <w:uiPriority w:val="0"/>
    <w:rPr>
      <w:rFonts w:ascii="黑体" w:eastAsia="黑体"/>
      <w:b/>
      <w:bCs/>
      <w:snapToGrid w:val="0"/>
      <w:color w:val="000000"/>
      <w:sz w:val="28"/>
      <w:szCs w:val="28"/>
    </w:rPr>
  </w:style>
  <w:style w:type="paragraph" w:customStyle="1" w:styleId="523">
    <w:name w:val="二级标题"/>
    <w:basedOn w:val="3"/>
    <w:link w:val="522"/>
    <w:autoRedefine/>
    <w:qFormat/>
    <w:uiPriority w:val="0"/>
    <w:pPr>
      <w:widowControl/>
      <w:tabs>
        <w:tab w:val="left" w:pos="360"/>
        <w:tab w:val="left" w:pos="578"/>
        <w:tab w:val="left" w:pos="2563"/>
      </w:tabs>
      <w:adjustRightInd w:val="0"/>
      <w:snapToGrid w:val="0"/>
      <w:spacing w:before="0" w:after="0" w:line="360" w:lineRule="auto"/>
      <w:ind w:left="602" w:hanging="602" w:hangingChars="200"/>
    </w:pPr>
    <w:rPr>
      <w:rFonts w:ascii="黑体" w:hAnsi="Calibri"/>
      <w:snapToGrid w:val="0"/>
      <w:color w:val="000000"/>
      <w:sz w:val="28"/>
      <w:szCs w:val="28"/>
    </w:rPr>
  </w:style>
  <w:style w:type="paragraph" w:customStyle="1" w:styleId="524">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25">
    <w:name w:val="dxj正文"/>
    <w:basedOn w:val="1"/>
    <w:autoRedefine/>
    <w:qFormat/>
    <w:uiPriority w:val="0"/>
    <w:pPr>
      <w:spacing w:line="360" w:lineRule="auto"/>
      <w:ind w:firstLine="200" w:firstLineChars="200"/>
      <w:jc w:val="left"/>
    </w:pPr>
    <w:rPr>
      <w:kern w:val="0"/>
      <w:sz w:val="24"/>
    </w:rPr>
  </w:style>
  <w:style w:type="paragraph" w:customStyle="1" w:styleId="526">
    <w:name w:val="Table Paragraph"/>
    <w:basedOn w:val="1"/>
    <w:autoRedefine/>
    <w:qFormat/>
    <w:uiPriority w:val="1"/>
    <w:pPr>
      <w:jc w:val="left"/>
    </w:pPr>
    <w:rPr>
      <w:kern w:val="0"/>
      <w:sz w:val="22"/>
      <w:szCs w:val="21"/>
      <w:lang w:eastAsia="en-US"/>
    </w:rPr>
  </w:style>
  <w:style w:type="table" w:customStyle="1" w:styleId="527">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528">
    <w:name w:val="表头标题"/>
    <w:basedOn w:val="110"/>
    <w:next w:val="1"/>
    <w:autoRedefine/>
    <w:qFormat/>
    <w:uiPriority w:val="0"/>
    <w:pPr>
      <w:widowControl/>
      <w:spacing w:line="360" w:lineRule="auto"/>
      <w:jc w:val="center"/>
      <w:textAlignment w:val="auto"/>
    </w:pPr>
    <w:rPr>
      <w:rFonts w:ascii="Times New Roman"/>
      <w:b/>
      <w:color w:val="FF00FF"/>
    </w:rPr>
  </w:style>
  <w:style w:type="paragraph" w:customStyle="1" w:styleId="529">
    <w:name w:val="Lux 正文"/>
    <w:basedOn w:val="1"/>
    <w:autoRedefine/>
    <w:qFormat/>
    <w:uiPriority w:val="0"/>
    <w:pPr>
      <w:spacing w:line="360" w:lineRule="auto"/>
      <w:ind w:firstLine="200" w:firstLineChars="200"/>
    </w:pPr>
    <w:rPr>
      <w:kern w:val="0"/>
      <w:sz w:val="24"/>
    </w:rPr>
  </w:style>
  <w:style w:type="character" w:customStyle="1" w:styleId="530">
    <w:name w:val="未处理的提及1"/>
    <w:basedOn w:val="61"/>
    <w:autoRedefine/>
    <w:semiHidden/>
    <w:unhideWhenUsed/>
    <w:qFormat/>
    <w:uiPriority w:val="99"/>
    <w:rPr>
      <w:color w:val="605E5C"/>
      <w:shd w:val="clear" w:color="auto" w:fill="E1DFDD"/>
    </w:rPr>
  </w:style>
  <w:style w:type="character" w:styleId="531">
    <w:name w:val="Placeholder Text"/>
    <w:basedOn w:val="61"/>
    <w:autoRedefine/>
    <w:semiHidden/>
    <w:qFormat/>
    <w:uiPriority w:val="99"/>
    <w:rPr>
      <w:color w:val="808080"/>
    </w:rPr>
  </w:style>
  <w:style w:type="paragraph" w:customStyle="1" w:styleId="532">
    <w:name w:val="表中文字"/>
    <w:basedOn w:val="141"/>
    <w:autoRedefine/>
    <w:qFormat/>
    <w:uiPriority w:val="0"/>
    <w:pPr>
      <w:spacing w:line="300" w:lineRule="exact"/>
      <w:jc w:val="center"/>
    </w:pPr>
    <w:rPr>
      <w:color w:val="000000"/>
    </w:rPr>
  </w:style>
  <w:style w:type="character" w:customStyle="1" w:styleId="533">
    <w:name w:val="未处理的提及2"/>
    <w:basedOn w:val="61"/>
    <w:autoRedefine/>
    <w:semiHidden/>
    <w:unhideWhenUsed/>
    <w:qFormat/>
    <w:uiPriority w:val="99"/>
    <w:rPr>
      <w:color w:val="605E5C"/>
      <w:shd w:val="clear" w:color="auto" w:fill="E1DFDD"/>
    </w:rPr>
  </w:style>
  <w:style w:type="character" w:customStyle="1" w:styleId="534">
    <w:name w:val="未处理的提及3"/>
    <w:basedOn w:val="61"/>
    <w:autoRedefine/>
    <w:semiHidden/>
    <w:unhideWhenUsed/>
    <w:qFormat/>
    <w:uiPriority w:val="99"/>
    <w:rPr>
      <w:color w:val="605E5C"/>
      <w:shd w:val="clear" w:color="auto" w:fill="E1DFDD"/>
    </w:rPr>
  </w:style>
  <w:style w:type="paragraph" w:customStyle="1" w:styleId="535">
    <w:name w:val="【正文】123"/>
    <w:basedOn w:val="1"/>
    <w:autoRedefine/>
    <w:qFormat/>
    <w:uiPriority w:val="0"/>
    <w:pPr>
      <w:spacing w:line="480" w:lineRule="exact"/>
      <w:ind w:firstLine="560" w:firstLineChars="200"/>
      <w:jc w:val="left"/>
    </w:pPr>
    <w:rPr>
      <w:rFonts w:cs="宋体"/>
      <w:sz w:val="26"/>
      <w:szCs w:val="20"/>
    </w:rPr>
  </w:style>
  <w:style w:type="character" w:customStyle="1" w:styleId="536">
    <w:name w:val="Unresolved Mention"/>
    <w:basedOn w:val="61"/>
    <w:autoRedefine/>
    <w:semiHidden/>
    <w:unhideWhenUsed/>
    <w:qFormat/>
    <w:uiPriority w:val="99"/>
    <w:rPr>
      <w:color w:val="605E5C"/>
      <w:shd w:val="clear" w:color="auto" w:fill="E1DFDD"/>
    </w:rPr>
  </w:style>
  <w:style w:type="paragraph" w:customStyle="1" w:styleId="537">
    <w:name w:val="样式 (西文) Times New Roman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538">
    <w:name w:val="11"/>
    <w:basedOn w:val="21"/>
    <w:next w:val="33"/>
    <w:autoRedefine/>
    <w:qFormat/>
    <w:uiPriority w:val="0"/>
    <w:pPr>
      <w:ind w:firstLine="720" w:firstLineChars="257"/>
    </w:pPr>
    <w:rPr>
      <w:szCs w:val="28"/>
    </w:rPr>
  </w:style>
  <w:style w:type="paragraph" w:customStyle="1" w:styleId="539">
    <w:name w:val="正常段落"/>
    <w:basedOn w:val="9"/>
    <w:autoRedefine/>
    <w:qFormat/>
    <w:uiPriority w:val="0"/>
  </w:style>
  <w:style w:type="character" w:customStyle="1" w:styleId="540">
    <w:name w:val="NormalCharacter"/>
    <w:autoRedefine/>
    <w:qFormat/>
    <w:uiPriority w:val="0"/>
  </w:style>
  <w:style w:type="paragraph" w:customStyle="1" w:styleId="541">
    <w:name w:val="正本文字"/>
    <w:basedOn w:val="1"/>
    <w:autoRedefine/>
    <w:qFormat/>
    <w:uiPriority w:val="0"/>
    <w:pPr>
      <w:adjustRightInd w:val="0"/>
      <w:snapToGrid w:val="0"/>
      <w:spacing w:line="360" w:lineRule="auto"/>
      <w:ind w:firstLine="200" w:firstLineChars="200"/>
      <w:jc w:val="left"/>
    </w:pPr>
    <w:rPr>
      <w:rFonts w:cs="宋体"/>
      <w:kern w:val="18"/>
      <w:sz w:val="24"/>
      <w:szCs w:val="20"/>
    </w:rPr>
  </w:style>
  <w:style w:type="character" w:customStyle="1" w:styleId="542">
    <w:name w:val="font71"/>
    <w:basedOn w:val="61"/>
    <w:autoRedefine/>
    <w:qFormat/>
    <w:uiPriority w:val="0"/>
    <w:rPr>
      <w:rFonts w:hint="default" w:ascii="Times New Roman" w:hAnsi="Times New Roman" w:cs="Times New Roman"/>
      <w:color w:val="000000"/>
      <w:sz w:val="21"/>
      <w:szCs w:val="21"/>
      <w:u w:val="none"/>
      <w:vertAlign w:val="superscript"/>
    </w:rPr>
  </w:style>
  <w:style w:type="paragraph" w:customStyle="1" w:styleId="543">
    <w:name w:val="lf表格文字"/>
    <w:basedOn w:val="532"/>
    <w:next w:val="544"/>
    <w:autoRedefine/>
    <w:qFormat/>
    <w:uiPriority w:val="0"/>
    <w:rPr>
      <w:color w:val="000000"/>
      <w:szCs w:val="21"/>
    </w:rPr>
  </w:style>
  <w:style w:type="paragraph" w:customStyle="1" w:styleId="544">
    <w:name w:val="lf正文"/>
    <w:basedOn w:val="1"/>
    <w:autoRedefine/>
    <w:qFormat/>
    <w:uiPriority w:val="0"/>
    <w:pPr>
      <w:ind w:firstLine="489"/>
    </w:pPr>
    <w:rPr>
      <w:color w:val="000000"/>
    </w:rPr>
  </w:style>
  <w:style w:type="character" w:customStyle="1" w:styleId="545">
    <w:name w:val="表头内容 Char"/>
    <w:link w:val="546"/>
    <w:autoRedefine/>
    <w:qFormat/>
    <w:uiPriority w:val="0"/>
    <w:rPr>
      <w:rFonts w:hint="eastAsia" w:ascii="Times New Roman" w:hAnsi="Times New Roman" w:eastAsia="宋体" w:cs="Times New Roman"/>
      <w:b/>
      <w:kern w:val="0"/>
    </w:rPr>
  </w:style>
  <w:style w:type="paragraph" w:customStyle="1" w:styleId="546">
    <w:name w:val="表头内容"/>
    <w:link w:val="545"/>
    <w:autoRedefine/>
    <w:qFormat/>
    <w:uiPriority w:val="0"/>
    <w:pPr>
      <w:ind w:left="0" w:firstLine="0" w:firstLineChars="0"/>
      <w:jc w:val="center"/>
    </w:pPr>
    <w:rPr>
      <w:rFonts w:hint="eastAsia" w:ascii="Times New Roman" w:hAnsi="Times New Roman" w:eastAsia="宋体" w:cs="Times New Roman"/>
      <w:b/>
      <w:kern w:val="0"/>
    </w:rPr>
  </w:style>
  <w:style w:type="paragraph" w:customStyle="1" w:styleId="547">
    <w:name w:val="Default1"/>
    <w:basedOn w:val="548"/>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8">
    <w:name w:val="Normal_14_0"/>
    <w:autoRedefine/>
    <w:qFormat/>
    <w:uiPriority w:val="0"/>
    <w:pPr>
      <w:spacing w:before="120" w:after="240"/>
      <w:jc w:val="both"/>
    </w:pPr>
    <w:rPr>
      <w:rFonts w:ascii="Calibri" w:hAnsi="Calibri" w:eastAsia="Calibri" w:cs="Times New Roman"/>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4.pn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footer" Target="footer1.xml"/><Relationship Id="rId39" Type="http://schemas.openxmlformats.org/officeDocument/2006/relationships/image" Target="media/image17.emf"/><Relationship Id="rId38" Type="http://schemas.openxmlformats.org/officeDocument/2006/relationships/image" Target="media/image16.emf"/><Relationship Id="rId37" Type="http://schemas.openxmlformats.org/officeDocument/2006/relationships/oleObject" Target="embeddings/oleObject10.bin"/><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wmf"/><Relationship Id="rId33" Type="http://schemas.openxmlformats.org/officeDocument/2006/relationships/oleObject" Target="embeddings/oleObject9.bin"/><Relationship Id="rId32" Type="http://schemas.openxmlformats.org/officeDocument/2006/relationships/image" Target="media/image12.wmf"/><Relationship Id="rId31" Type="http://schemas.openxmlformats.org/officeDocument/2006/relationships/oleObject" Target="embeddings/oleObject8.bin"/><Relationship Id="rId30" Type="http://schemas.openxmlformats.org/officeDocument/2006/relationships/image" Target="media/image11.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0.png"/><Relationship Id="rId27" Type="http://schemas.openxmlformats.org/officeDocument/2006/relationships/image" Target="media/image9.wmf"/><Relationship Id="rId26" Type="http://schemas.openxmlformats.org/officeDocument/2006/relationships/oleObject" Target="embeddings/oleObject6.bin"/><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oleObject" Target="embeddings/oleObject5.bin"/><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D73CC5-8609-4ED9-94B7-62B97FFEB0B4}">
  <ds:schemaRefs/>
</ds:datastoreItem>
</file>

<file path=docProps/app.xml><?xml version="1.0" encoding="utf-8"?>
<Properties xmlns="http://schemas.openxmlformats.org/officeDocument/2006/extended-properties" xmlns:vt="http://schemas.openxmlformats.org/officeDocument/2006/docPropsVTypes">
  <Template>Normal</Template>
  <Company>DNSS</Company>
  <Pages>196</Pages>
  <Words>126636</Words>
  <Characters>148266</Characters>
  <Lines>1554</Lines>
  <Paragraphs>437</Paragraphs>
  <TotalTime>53</TotalTime>
  <ScaleCrop>false</ScaleCrop>
  <LinksUpToDate>false</LinksUpToDate>
  <CharactersWithSpaces>151597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2021-07-01T09:23:00Z</dcterms:created>
  <dc:creator>李宁</dc:creator>
  <cp:lastModifiedBy>岂曰无衣</cp:lastModifiedBy>
  <cp:lastPrinted>2022-08-18T07:12:00Z</cp:lastPrinted>
  <dcterms:modified xsi:type="dcterms:W3CDTF">2024-05-15T06:56:11Z</dcterms:modified>
  <dc:title>前  言</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D0AB66F4F74C4EF3BB99B8D1A1612921_13</vt:lpwstr>
  </property>
</Properties>
</file>