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afterAutospacing="0" w:line="620" w:lineRule="exact"/>
        <w:jc w:val="left"/>
        <w:textAlignment w:val="auto"/>
        <w:outlineLvl w:val="2"/>
        <w:rPr>
          <w:rFonts w:hint="default" w:ascii="Times New Roman" w:hAnsi="Times New Roman" w:eastAsia="仿宋_GB2312" w:cs="Times New Roman"/>
          <w:b w:val="0"/>
          <w:bCs w:val="0"/>
          <w:color w:val="auto"/>
          <w:sz w:val="32"/>
          <w:szCs w:val="32"/>
          <w:lang w:val="en-US" w:eastAsia="zh-CN"/>
        </w:rPr>
      </w:pPr>
      <w:bookmarkStart w:id="0" w:name="_Toc3122"/>
      <w:bookmarkStart w:id="1" w:name="_Toc15248"/>
      <w:r>
        <w:rPr>
          <w:rFonts w:hint="default" w:ascii="Times New Roman" w:hAnsi="Times New Roman" w:eastAsia="仿宋_GB2312" w:cs="Times New Roman"/>
          <w:b w:val="0"/>
          <w:bCs w:val="0"/>
          <w:color w:val="auto"/>
          <w:sz w:val="32"/>
          <w:szCs w:val="32"/>
          <w:lang w:val="en-US" w:eastAsia="zh-CN"/>
        </w:rPr>
        <w:t>附件1</w:t>
      </w:r>
      <w:bookmarkStart w:id="2" w:name="_Toc1987_WPSOffice_Level1"/>
    </w:p>
    <w:p>
      <w:pPr>
        <w:keepNext w:val="0"/>
        <w:keepLines w:val="0"/>
        <w:pageBreakBefore w:val="0"/>
        <w:kinsoku/>
        <w:wordWrap/>
        <w:overflowPunct/>
        <w:topLinePunct w:val="0"/>
        <w:autoSpaceDE/>
        <w:autoSpaceDN/>
        <w:bidi w:val="0"/>
        <w:adjustRightInd w:val="0"/>
        <w:snapToGrid w:val="0"/>
        <w:spacing w:afterAutospacing="0" w:line="620" w:lineRule="exact"/>
        <w:ind w:left="0" w:leftChars="0" w:firstLine="0" w:firstLineChars="0"/>
        <w:jc w:val="center"/>
        <w:textAlignment w:val="auto"/>
        <w:outlineLvl w:val="2"/>
        <w:rPr>
          <w:rFonts w:hint="eastAsia" w:ascii="方正小标宋简体" w:hAnsi="方正小标宋简体" w:eastAsia="方正小标宋简体" w:cs="方正小标宋简体"/>
          <w:b w:val="0"/>
          <w:bCs w:val="0"/>
          <w:color w:val="auto"/>
          <w:sz w:val="44"/>
          <w:szCs w:val="44"/>
          <w:lang w:val="en-US" w:eastAsia="zh-CN"/>
        </w:rPr>
      </w:pPr>
      <w:bookmarkStart w:id="46" w:name="_GoBack"/>
      <w:r>
        <w:rPr>
          <w:rFonts w:hint="eastAsia" w:ascii="方正小标宋简体" w:hAnsi="方正小标宋简体" w:eastAsia="方正小标宋简体" w:cs="方正小标宋简体"/>
          <w:b w:val="0"/>
          <w:bCs w:val="0"/>
          <w:color w:val="auto"/>
          <w:sz w:val="44"/>
          <w:szCs w:val="44"/>
          <w:lang w:val="en-US" w:eastAsia="zh-CN"/>
        </w:rPr>
        <w:t>成本效益分析报告</w:t>
      </w:r>
      <w:bookmarkEnd w:id="0"/>
      <w:bookmarkEnd w:id="1"/>
      <w:bookmarkEnd w:id="2"/>
    </w:p>
    <w:bookmarkEnd w:id="46"/>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default" w:ascii="Times New Roman" w:hAnsi="Times New Roman" w:eastAsia="仿宋_GB2312" w:cs="仿宋_GB2312"/>
          <w:b w:val="0"/>
          <w:color w:val="auto"/>
          <w:sz w:val="32"/>
          <w:szCs w:val="32"/>
          <w:lang w:val="en-US" w:eastAsia="zh-CN"/>
        </w:rPr>
      </w:pPr>
      <w:bookmarkStart w:id="3" w:name="_Toc4472"/>
      <w:bookmarkStart w:id="4" w:name="_Toc20897"/>
      <w:bookmarkStart w:id="5" w:name="_Toc16594"/>
      <w:bookmarkStart w:id="6" w:name="_Toc13787_WPSOffice_Level1"/>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US" w:eastAsia="zh-CN"/>
        </w:rPr>
        <w:t>一、经济性分析</w:t>
      </w:r>
      <w:bookmarkEnd w:id="3"/>
      <w:bookmarkEnd w:id="4"/>
      <w:bookmarkEnd w:id="5"/>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寻甸回族彝族自治县公共就业和人才服务中心依据实有在编人员并参照上年度目标责任下达的目标任务和202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年度工作计划编制预算，确保预算编制合理。</w:t>
      </w:r>
    </w:p>
    <w:bookmarkEnd w:id="6"/>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3" w:firstLineChars="200"/>
        <w:jc w:val="both"/>
        <w:textAlignment w:val="auto"/>
        <w:outlineLvl w:val="1"/>
        <w:rPr>
          <w:rFonts w:hint="default" w:ascii="Times New Roman" w:hAnsi="Times New Roman" w:eastAsia="仿宋_GB2312" w:cs="仿宋_GB2312"/>
          <w:b/>
          <w:bCs/>
          <w:color w:val="auto"/>
          <w:sz w:val="32"/>
          <w:szCs w:val="32"/>
          <w:lang w:val="en-US" w:eastAsia="zh-CN"/>
        </w:rPr>
      </w:pPr>
      <w:bookmarkStart w:id="7" w:name="_Toc19844"/>
      <w:bookmarkStart w:id="8" w:name="_Toc24136"/>
      <w:bookmarkStart w:id="9" w:name="_Toc20077"/>
      <w:r>
        <w:rPr>
          <w:rFonts w:hint="default" w:ascii="Times New Roman" w:hAnsi="Times New Roman" w:eastAsia="仿宋_GB2312" w:cs="仿宋_GB2312"/>
          <w:b/>
          <w:bCs/>
          <w:color w:val="auto"/>
          <w:sz w:val="32"/>
          <w:szCs w:val="32"/>
          <w:lang w:val="en-US" w:eastAsia="zh-CN"/>
        </w:rPr>
        <w:t>1</w:t>
      </w:r>
      <w:r>
        <w:rPr>
          <w:rFonts w:hint="eastAsia" w:ascii="仿宋_GB2312" w:hAnsi="仿宋_GB2312" w:eastAsia="仿宋_GB2312" w:cs="仿宋_GB2312"/>
          <w:b/>
          <w:bCs/>
          <w:color w:val="auto"/>
          <w:sz w:val="28"/>
          <w:szCs w:val="28"/>
        </w:rPr>
        <w:t>.</w:t>
      </w:r>
      <w:r>
        <w:rPr>
          <w:rFonts w:hint="default" w:ascii="Times New Roman" w:hAnsi="Times New Roman" w:eastAsia="仿宋_GB2312" w:cs="仿宋_GB2312"/>
          <w:b/>
          <w:bCs/>
          <w:color w:val="auto"/>
          <w:sz w:val="32"/>
          <w:szCs w:val="32"/>
          <w:lang w:val="en-US" w:eastAsia="zh-CN"/>
        </w:rPr>
        <w:t>部门预算安排情况</w:t>
      </w:r>
      <w:bookmarkEnd w:id="7"/>
      <w:bookmarkEnd w:id="8"/>
      <w:bookmarkEnd w:id="9"/>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本年度总收入4337.31万元，其中，一般公共预算财政拨款4097.04万元，其他收入240.27万元。与上年相比总收入增加974.84万元，其中，一般公共预算收入增加747.05万元，</w:t>
      </w:r>
      <w:r>
        <w:rPr>
          <w:rFonts w:hint="eastAsia" w:ascii="Times New Roman" w:hAnsi="Times New Roman" w:eastAsia="仿宋_GB2312" w:cs="仿宋_GB2312"/>
          <w:b w:val="0"/>
          <w:color w:val="auto"/>
          <w:sz w:val="32"/>
          <w:szCs w:val="32"/>
          <w:lang w:val="en-US" w:eastAsia="zh-CN"/>
        </w:rPr>
        <w:t>增加的原因为</w:t>
      </w:r>
      <w:r>
        <w:rPr>
          <w:rFonts w:hint="default" w:ascii="Times New Roman" w:hAnsi="Times New Roman" w:eastAsia="仿宋_GB2312" w:cs="仿宋_GB2312"/>
          <w:b w:val="0"/>
          <w:color w:val="auto"/>
          <w:sz w:val="32"/>
          <w:szCs w:val="32"/>
          <w:lang w:val="en-US" w:eastAsia="zh-CN"/>
        </w:rPr>
        <w:t>本年度项目支出较上年有所增加。其他收入增加227.79万元，增加的原因为本年度申请职业技能提升资金至专户用于支付新型学徒培训费，故其他收入较上年增加。</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3" w:firstLineChars="200"/>
        <w:jc w:val="both"/>
        <w:textAlignment w:val="auto"/>
        <w:outlineLvl w:val="1"/>
        <w:rPr>
          <w:rFonts w:hint="default" w:ascii="Times New Roman" w:hAnsi="Times New Roman" w:eastAsia="仿宋_GB2312" w:cs="仿宋_GB2312"/>
          <w:b/>
          <w:bCs/>
          <w:color w:val="auto"/>
          <w:sz w:val="32"/>
          <w:szCs w:val="32"/>
          <w:lang w:val="en-US" w:eastAsia="zh-CN"/>
        </w:rPr>
      </w:pPr>
      <w:bookmarkStart w:id="10" w:name="_Toc3270"/>
      <w:bookmarkStart w:id="11" w:name="_Toc13907"/>
      <w:bookmarkStart w:id="12" w:name="_Toc589"/>
      <w:r>
        <w:rPr>
          <w:rFonts w:hint="default" w:ascii="Times New Roman" w:hAnsi="Times New Roman" w:eastAsia="仿宋_GB2312" w:cs="仿宋_GB2312"/>
          <w:b/>
          <w:bCs/>
          <w:color w:val="auto"/>
          <w:sz w:val="32"/>
          <w:szCs w:val="32"/>
          <w:lang w:val="en-US" w:eastAsia="zh-CN"/>
        </w:rPr>
        <w:t>2</w:t>
      </w:r>
      <w:r>
        <w:rPr>
          <w:rFonts w:hint="eastAsia" w:ascii="仿宋_GB2312" w:hAnsi="仿宋_GB2312" w:eastAsia="仿宋_GB2312" w:cs="仿宋_GB2312"/>
          <w:b/>
          <w:bCs/>
          <w:color w:val="auto"/>
          <w:sz w:val="28"/>
          <w:szCs w:val="28"/>
        </w:rPr>
        <w:t>.</w:t>
      </w:r>
      <w:r>
        <w:rPr>
          <w:rFonts w:hint="default" w:ascii="Times New Roman" w:hAnsi="Times New Roman" w:eastAsia="仿宋_GB2312" w:cs="仿宋_GB2312"/>
          <w:b/>
          <w:bCs/>
          <w:color w:val="auto"/>
          <w:sz w:val="32"/>
          <w:szCs w:val="32"/>
          <w:lang w:val="en-US" w:eastAsia="zh-CN"/>
        </w:rPr>
        <w:t>资金收支具体情况</w:t>
      </w:r>
      <w:bookmarkEnd w:id="10"/>
      <w:bookmarkEnd w:id="11"/>
      <w:bookmarkEnd w:id="12"/>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bookmarkStart w:id="13" w:name="_Toc13720"/>
      <w:bookmarkStart w:id="14" w:name="_Toc28690"/>
      <w:r>
        <w:rPr>
          <w:rFonts w:hint="default" w:ascii="Times New Roman" w:hAnsi="Times New Roman" w:eastAsia="仿宋_GB2312" w:cs="仿宋_GB2312"/>
          <w:b w:val="0"/>
          <w:color w:val="auto"/>
          <w:sz w:val="32"/>
          <w:szCs w:val="32"/>
          <w:lang w:val="en-US" w:eastAsia="zh-CN"/>
        </w:rPr>
        <w:t>本年度总支出4316.33万元，其中，基本支出298.23万元，项目支出4018.10万元。与上年相比，总支出增加921.63万元，其中，基本支出较上年减少44.16万元，减少的原因为：2023年度我单位分流回县林草局3人，退休1人。项目支出较上年增加965.80万元，增加的原因为：本年度全面贯彻落实各级就业政策，资金投入大，宣传到位，符合补贴条件的人员，及时兑付补贴。</w:t>
      </w:r>
      <w:bookmarkEnd w:id="13"/>
      <w:bookmarkEnd w:id="14"/>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bookmarkStart w:id="15" w:name="_Toc12810"/>
      <w:bookmarkStart w:id="16" w:name="_Toc6028"/>
      <w:r>
        <w:rPr>
          <w:rFonts w:hint="default" w:ascii="Times New Roman" w:hAnsi="Times New Roman" w:eastAsia="仿宋_GB2312" w:cs="仿宋_GB2312"/>
          <w:b w:val="0"/>
          <w:color w:val="auto"/>
          <w:sz w:val="32"/>
          <w:szCs w:val="32"/>
          <w:lang w:val="en-US" w:eastAsia="zh-CN"/>
        </w:rPr>
        <w:t>按资金来源分，财政拨款支出4076.06万元，占本年支出94.43%，其他支出240.27万元，占本年支出5.57%；按支出性质分，基本支出298.23万元，占本年支出6.9%，项目支出4018.10万元，占本年支出93.10%；按支出经济分类分，工资福利支出272.30万元，占本年支出6.30%；商品和服务支出801.69万元，占本年支出18.57%，对个人和家庭的补助支出1713.10万元，占本年支出39.68%，其他支出1529.24万元，占本年支出35.42%。</w:t>
      </w:r>
      <w:bookmarkEnd w:id="15"/>
      <w:bookmarkEnd w:id="16"/>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3" w:firstLineChars="200"/>
        <w:jc w:val="both"/>
        <w:textAlignment w:val="auto"/>
        <w:outlineLvl w:val="1"/>
        <w:rPr>
          <w:rFonts w:hint="default" w:ascii="Times New Roman" w:hAnsi="Times New Roman" w:eastAsia="仿宋_GB2312" w:cs="仿宋_GB2312"/>
          <w:b/>
          <w:bCs/>
          <w:color w:val="auto"/>
          <w:sz w:val="32"/>
          <w:szCs w:val="32"/>
          <w:lang w:val="en-US" w:eastAsia="zh-CN"/>
        </w:rPr>
      </w:pPr>
      <w:bookmarkStart w:id="17" w:name="_Toc12442"/>
      <w:bookmarkStart w:id="18" w:name="_Toc5118"/>
      <w:bookmarkStart w:id="19" w:name="_Toc11966"/>
      <w:r>
        <w:rPr>
          <w:rFonts w:hint="default" w:ascii="Times New Roman" w:hAnsi="Times New Roman" w:eastAsia="仿宋_GB2312" w:cs="仿宋_GB2312"/>
          <w:b/>
          <w:bCs/>
          <w:color w:val="auto"/>
          <w:sz w:val="32"/>
          <w:szCs w:val="32"/>
          <w:lang w:val="en-US" w:eastAsia="zh-CN"/>
        </w:rPr>
        <w:t>3</w:t>
      </w:r>
      <w:r>
        <w:rPr>
          <w:rFonts w:hint="eastAsia" w:ascii="仿宋_GB2312" w:hAnsi="仿宋_GB2312" w:eastAsia="仿宋_GB2312" w:cs="仿宋_GB2312"/>
          <w:b/>
          <w:bCs/>
          <w:color w:val="auto"/>
          <w:sz w:val="28"/>
          <w:szCs w:val="28"/>
        </w:rPr>
        <w:t>.</w:t>
      </w:r>
      <w:r>
        <w:rPr>
          <w:rFonts w:hint="default" w:ascii="Times New Roman" w:hAnsi="Times New Roman" w:eastAsia="仿宋_GB2312" w:cs="仿宋_GB2312"/>
          <w:b/>
          <w:bCs/>
          <w:color w:val="auto"/>
          <w:sz w:val="32"/>
          <w:szCs w:val="32"/>
          <w:lang w:val="en-US" w:eastAsia="zh-CN"/>
        </w:rPr>
        <w:t>预算资金管理情况</w:t>
      </w:r>
      <w:bookmarkEnd w:id="17"/>
      <w:bookmarkEnd w:id="18"/>
      <w:bookmarkEnd w:id="19"/>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2"/>
        <w:rPr>
          <w:rFonts w:hint="default" w:ascii="Times New Roman" w:hAnsi="Times New Roman" w:eastAsia="仿宋_GB2312" w:cs="仿宋_GB2312"/>
          <w:b w:val="0"/>
          <w:color w:val="auto"/>
          <w:sz w:val="32"/>
          <w:szCs w:val="32"/>
          <w:lang w:val="en-US" w:eastAsia="zh-CN"/>
        </w:rPr>
      </w:pPr>
      <w:bookmarkStart w:id="20" w:name="_Toc22909"/>
      <w:bookmarkStart w:id="21" w:name="_Toc15307"/>
      <w:bookmarkStart w:id="22" w:name="_Toc20000"/>
      <w:r>
        <w:rPr>
          <w:rFonts w:hint="default" w:ascii="Times New Roman" w:hAnsi="Times New Roman" w:eastAsia="仿宋_GB2312" w:cs="仿宋_GB2312"/>
          <w:b w:val="0"/>
          <w:color w:val="auto"/>
          <w:sz w:val="32"/>
          <w:szCs w:val="32"/>
          <w:lang w:val="en-US" w:eastAsia="zh-CN"/>
        </w:rPr>
        <w:t>（1）预算管理状况</w:t>
      </w:r>
      <w:bookmarkEnd w:id="20"/>
      <w:bookmarkEnd w:id="21"/>
      <w:bookmarkEnd w:id="22"/>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我单位严格按照年初预算执行，预算管理基本到位，预算完成率较高。2023年三公经费预算0.2</w:t>
      </w:r>
      <w:r>
        <w:rPr>
          <w:rFonts w:hint="eastAsia" w:ascii="Times New Roman" w:hAnsi="Times New Roman" w:eastAsia="仿宋_GB2312" w:cs="仿宋_GB2312"/>
          <w:b w:val="0"/>
          <w:color w:val="auto"/>
          <w:sz w:val="32"/>
          <w:szCs w:val="32"/>
          <w:lang w:val="en-US" w:eastAsia="zh-CN"/>
        </w:rPr>
        <w:t>0</w:t>
      </w:r>
      <w:r>
        <w:rPr>
          <w:rFonts w:hint="default" w:ascii="Times New Roman" w:hAnsi="Times New Roman" w:eastAsia="仿宋_GB2312" w:cs="仿宋_GB2312"/>
          <w:b w:val="0"/>
          <w:color w:val="auto"/>
          <w:sz w:val="32"/>
          <w:szCs w:val="32"/>
          <w:lang w:val="en-US" w:eastAsia="zh-CN"/>
        </w:rPr>
        <w:t>万元，本年度</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三公</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经费实际支出0.23万元，较预算增加0.03万元，主要原因为本年度按照实际支出做决算，如实反映单位本年度支出情况。</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2"/>
        <w:rPr>
          <w:rFonts w:hint="default" w:ascii="Times New Roman" w:hAnsi="Times New Roman" w:eastAsia="仿宋_GB2312" w:cs="仿宋_GB2312"/>
          <w:b w:val="0"/>
          <w:color w:val="auto"/>
          <w:sz w:val="32"/>
          <w:szCs w:val="32"/>
          <w:lang w:val="en-US" w:eastAsia="zh-CN"/>
        </w:rPr>
      </w:pPr>
      <w:bookmarkStart w:id="23" w:name="_Toc24091"/>
      <w:bookmarkStart w:id="24" w:name="_Toc2863"/>
      <w:bookmarkStart w:id="25" w:name="_Toc17721"/>
      <w:r>
        <w:rPr>
          <w:rFonts w:hint="default" w:ascii="Times New Roman" w:hAnsi="Times New Roman" w:eastAsia="仿宋_GB2312" w:cs="仿宋_GB2312"/>
          <w:b w:val="0"/>
          <w:color w:val="auto"/>
          <w:sz w:val="32"/>
          <w:szCs w:val="32"/>
          <w:lang w:val="en-US" w:eastAsia="zh-CN"/>
        </w:rPr>
        <w:t>（2）制度建设及执行状况</w:t>
      </w:r>
      <w:bookmarkEnd w:id="23"/>
      <w:bookmarkEnd w:id="24"/>
      <w:bookmarkEnd w:id="25"/>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对公务外出差旅费、公务接待费提出了具体标准和要求，对会议费等公用费用进一步规范审批流程，不断规范费用管理。寻甸回族彝族自治县公共就业和人才服务中心日常公用经费管理能严格执行相关制度，费用报销按照报账流程审核审批，由分管领导、归口管理</w:t>
      </w:r>
      <w:r>
        <w:rPr>
          <w:rFonts w:hint="eastAsia" w:ascii="Times New Roman" w:hAnsi="Times New Roman" w:eastAsia="仿宋_GB2312" w:cs="仿宋_GB2312"/>
          <w:b w:val="0"/>
          <w:color w:val="auto"/>
          <w:sz w:val="32"/>
          <w:szCs w:val="32"/>
          <w:lang w:val="en-US" w:eastAsia="zh-CN"/>
        </w:rPr>
        <w:t>科</w:t>
      </w:r>
      <w:r>
        <w:rPr>
          <w:rFonts w:hint="default" w:ascii="Times New Roman" w:hAnsi="Times New Roman" w:eastAsia="仿宋_GB2312" w:cs="仿宋_GB2312"/>
          <w:b w:val="0"/>
          <w:color w:val="auto"/>
          <w:sz w:val="32"/>
          <w:szCs w:val="32"/>
          <w:lang w:val="en-US" w:eastAsia="zh-CN"/>
        </w:rPr>
        <w:t>室、财务人员按费用性质、类别最后把关审批。</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eastAsia" w:ascii="黑体" w:hAnsi="黑体" w:eastAsia="黑体" w:cs="黑体"/>
          <w:b w:val="0"/>
          <w:color w:val="auto"/>
          <w:sz w:val="32"/>
          <w:szCs w:val="32"/>
          <w:lang w:val="en-US" w:eastAsia="zh-CN"/>
        </w:rPr>
      </w:pPr>
      <w:bookmarkStart w:id="26" w:name="_Toc19295"/>
      <w:bookmarkStart w:id="27" w:name="_Toc25619"/>
      <w:bookmarkStart w:id="28" w:name="_Toc15070"/>
      <w:r>
        <w:rPr>
          <w:rFonts w:hint="eastAsia" w:ascii="黑体" w:hAnsi="黑体" w:eastAsia="黑体" w:cs="黑体"/>
          <w:b w:val="0"/>
          <w:color w:val="auto"/>
          <w:sz w:val="32"/>
          <w:szCs w:val="32"/>
          <w:lang w:val="en-US" w:eastAsia="zh-CN"/>
        </w:rPr>
        <w:t>二、效率性分析</w:t>
      </w:r>
      <w:bookmarkEnd w:id="26"/>
      <w:bookmarkEnd w:id="27"/>
      <w:bookmarkEnd w:id="28"/>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寻甸回族彝族自治县公共就业和人才服务中心工资由县财政按月直接支付，商品和服务支出、对个人和家庭的补助按预算进度执行，预算执行率100%。工作完成方面，202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年，在县委县政府及县人社局的领导下，在市</w:t>
      </w:r>
      <w:r>
        <w:rPr>
          <w:rFonts w:hint="eastAsia" w:ascii="Times New Roman" w:hAnsi="Times New Roman" w:eastAsia="仿宋_GB2312" w:cs="仿宋_GB2312"/>
          <w:b w:val="0"/>
          <w:color w:val="auto"/>
          <w:sz w:val="32"/>
          <w:szCs w:val="32"/>
          <w:lang w:val="en-US" w:eastAsia="zh-CN"/>
        </w:rPr>
        <w:t>公共就业和人才服务中心</w:t>
      </w:r>
      <w:r>
        <w:rPr>
          <w:rFonts w:hint="default" w:ascii="Times New Roman" w:hAnsi="Times New Roman" w:eastAsia="仿宋_GB2312" w:cs="仿宋_GB2312"/>
          <w:b w:val="0"/>
          <w:color w:val="auto"/>
          <w:sz w:val="32"/>
          <w:szCs w:val="32"/>
          <w:lang w:val="en-US" w:eastAsia="zh-CN"/>
        </w:rPr>
        <w:t>的关心、支持、指导下，坚持以</w:t>
      </w:r>
      <w:r>
        <w:rPr>
          <w:rFonts w:hint="eastAsia" w:ascii="Times New Roman" w:hAnsi="Times New Roman" w:eastAsia="仿宋_GB2312" w:cs="仿宋_GB2312"/>
          <w:b w:val="0"/>
          <w:color w:val="auto"/>
          <w:sz w:val="32"/>
          <w:szCs w:val="32"/>
          <w:lang w:val="en-US" w:eastAsia="zh-CN"/>
        </w:rPr>
        <w:t>习近平新时代中国特色社会主义思想</w:t>
      </w:r>
      <w:r>
        <w:rPr>
          <w:rFonts w:hint="default" w:ascii="Times New Roman" w:hAnsi="Times New Roman" w:eastAsia="仿宋_GB2312" w:cs="仿宋_GB2312"/>
          <w:b w:val="0"/>
          <w:color w:val="auto"/>
          <w:sz w:val="32"/>
          <w:szCs w:val="32"/>
          <w:lang w:val="en-US" w:eastAsia="zh-CN"/>
        </w:rPr>
        <w:t>为指导，以全面建成小康社会为目标，以贯彻落实就业再就业新政策为主线，以解决就业困难人员就业、新增劳动力就业和农村转移劳动力就业为重点，以创业培训和再就业培训为抓手，精心组织，脚踏实地，真抓实干，努力实现更高质量和更充分就业。</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eastAsia" w:ascii="黑体" w:hAnsi="黑体" w:eastAsia="黑体" w:cs="黑体"/>
          <w:b w:val="0"/>
          <w:color w:val="auto"/>
          <w:sz w:val="32"/>
          <w:szCs w:val="32"/>
          <w:lang w:val="en-US" w:eastAsia="zh-CN"/>
        </w:rPr>
      </w:pPr>
      <w:bookmarkStart w:id="29" w:name="_Toc25325"/>
      <w:bookmarkStart w:id="30" w:name="_Toc30304"/>
      <w:bookmarkStart w:id="31" w:name="_Toc30989"/>
      <w:r>
        <w:rPr>
          <w:rFonts w:hint="eastAsia" w:ascii="黑体" w:hAnsi="黑体" w:eastAsia="黑体" w:cs="黑体"/>
          <w:b w:val="0"/>
          <w:color w:val="auto"/>
          <w:sz w:val="32"/>
          <w:szCs w:val="32"/>
          <w:lang w:val="en-US" w:eastAsia="zh-CN"/>
        </w:rPr>
        <w:t>三、效益性分析</w:t>
      </w:r>
      <w:bookmarkEnd w:id="29"/>
      <w:bookmarkEnd w:id="30"/>
      <w:bookmarkEnd w:id="31"/>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年寻甸回族彝族自治县公共就业和人才服务中心围绕目标责任开展工作，完善措施，狠抓管理，确保各项任务得以顺利完成，取得了较好的效益。</w:t>
      </w:r>
    </w:p>
    <w:p>
      <w:pPr>
        <w:pStyle w:val="2"/>
        <w:keepNext w:val="0"/>
        <w:keepLines w:val="0"/>
        <w:pageBreakBefore w:val="0"/>
        <w:widowControl w:val="0"/>
        <w:kinsoku/>
        <w:wordWrap/>
        <w:overflowPunct/>
        <w:topLinePunct w:val="0"/>
        <w:autoSpaceDE/>
        <w:autoSpaceDN/>
        <w:bidi w:val="0"/>
        <w:adjustRightInd w:val="0"/>
        <w:snapToGrid w:val="0"/>
        <w:spacing w:before="0" w:beforeLines="-2147483648" w:beforeAutospacing="0" w:after="0" w:afterLines="-2147483648" w:afterAutospacing="0" w:line="620" w:lineRule="exact"/>
        <w:ind w:firstLine="640" w:firstLineChars="200"/>
        <w:jc w:val="both"/>
        <w:textAlignment w:val="auto"/>
        <w:outlineLvl w:val="0"/>
        <w:rPr>
          <w:rFonts w:hint="default" w:ascii="楷体_GB2312" w:hAnsi="楷体_GB2312" w:eastAsia="楷体_GB2312" w:cs="楷体_GB2312"/>
          <w:b w:val="0"/>
          <w:bCs/>
          <w:color w:val="auto"/>
          <w:kern w:val="2"/>
          <w:sz w:val="32"/>
          <w:szCs w:val="32"/>
          <w:lang w:val="en-US" w:eastAsia="zh-CN" w:bidi="ar-SA"/>
        </w:rPr>
      </w:pPr>
      <w:bookmarkStart w:id="32" w:name="_Toc8789"/>
      <w:bookmarkStart w:id="33" w:name="_Toc19491"/>
      <w:bookmarkStart w:id="34" w:name="_Toc16632"/>
      <w:r>
        <w:rPr>
          <w:rFonts w:hint="default" w:ascii="楷体_GB2312" w:hAnsi="楷体_GB2312" w:eastAsia="楷体_GB2312" w:cs="楷体_GB2312"/>
          <w:b w:val="0"/>
          <w:bCs/>
          <w:color w:val="auto"/>
          <w:kern w:val="2"/>
          <w:sz w:val="32"/>
          <w:szCs w:val="32"/>
          <w:lang w:val="en-US" w:eastAsia="zh-CN" w:bidi="ar-SA"/>
        </w:rPr>
        <w:t>（一）经济效益</w:t>
      </w:r>
      <w:bookmarkEnd w:id="32"/>
      <w:bookmarkEnd w:id="33"/>
      <w:bookmarkEnd w:id="34"/>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3" w:firstLineChars="200"/>
        <w:jc w:val="both"/>
        <w:textAlignment w:val="auto"/>
        <w:rPr>
          <w:rFonts w:hint="eastAsia"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bCs/>
          <w:color w:val="auto"/>
          <w:sz w:val="32"/>
          <w:szCs w:val="32"/>
          <w:lang w:val="en-US" w:eastAsia="zh-CN"/>
        </w:rPr>
        <w:t>一是</w:t>
      </w:r>
      <w:r>
        <w:rPr>
          <w:rFonts w:hint="default" w:ascii="Times New Roman" w:hAnsi="Times New Roman" w:eastAsia="仿宋_GB2312" w:cs="仿宋_GB2312"/>
          <w:b w:val="0"/>
          <w:bCs w:val="0"/>
          <w:color w:val="auto"/>
          <w:sz w:val="32"/>
          <w:szCs w:val="32"/>
          <w:lang w:val="en-US" w:eastAsia="zh-CN"/>
        </w:rPr>
        <w:t>继续做好乡村公益性岗位扶持工作。</w:t>
      </w:r>
      <w:r>
        <w:rPr>
          <w:rFonts w:hint="default" w:ascii="Times New Roman" w:hAnsi="Times New Roman" w:eastAsia="仿宋_GB2312" w:cs="仿宋_GB2312"/>
          <w:b w:val="0"/>
          <w:color w:val="auto"/>
          <w:sz w:val="32"/>
          <w:szCs w:val="32"/>
          <w:lang w:val="en-US" w:eastAsia="zh-CN"/>
        </w:rPr>
        <w:t>为有效应对年底巩固脱贫攻坚与乡村振兴衔接成效考核，帮助全县有劳动能力和就业意愿的脱贫人口实现充分就业，解决各乡镇（街道）脱贫劳动力家庭、防止返贫监测对象、残疾家庭劳动力和有重病患者家庭劳动力等特殊群体就业问题，通过加强与乡村振兴部门沟通协调，统筹沪滇资金、衔接资金、中央就业补助资金拟定了2023年乡村公益性岗位安置方案，首批安置乡村公益性岗位388名</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发放补贴资金</w:t>
      </w:r>
      <w:r>
        <w:rPr>
          <w:rFonts w:hint="eastAsia" w:ascii="Times New Roman" w:hAnsi="Times New Roman" w:eastAsia="仿宋_GB2312" w:cs="仿宋_GB2312"/>
          <w:b w:val="0"/>
          <w:color w:val="auto"/>
          <w:sz w:val="32"/>
          <w:szCs w:val="32"/>
          <w:lang w:val="en-US" w:eastAsia="zh-CN"/>
        </w:rPr>
        <w:t>186.24</w:t>
      </w:r>
      <w:r>
        <w:rPr>
          <w:rFonts w:hint="default" w:ascii="Times New Roman" w:hAnsi="Times New Roman" w:eastAsia="仿宋_GB2312" w:cs="仿宋_GB2312"/>
          <w:b w:val="0"/>
          <w:color w:val="auto"/>
          <w:sz w:val="32"/>
          <w:szCs w:val="32"/>
          <w:lang w:val="en-US" w:eastAsia="zh-CN"/>
        </w:rPr>
        <w:t>万元</w:t>
      </w:r>
      <w:r>
        <w:rPr>
          <w:rFonts w:hint="eastAsia" w:ascii="Times New Roman" w:hAnsi="Times New Roman" w:eastAsia="仿宋_GB2312" w:cs="仿宋_GB2312"/>
          <w:b w:val="0"/>
          <w:color w:val="auto"/>
          <w:sz w:val="32"/>
          <w:szCs w:val="32"/>
          <w:lang w:val="en-US" w:eastAsia="zh-CN"/>
        </w:rPr>
        <w:t>（其中，中央就业补助资金95.58万元，沪滇劳务协作资金90.66万元）</w:t>
      </w:r>
      <w:r>
        <w:rPr>
          <w:rFonts w:hint="default"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bCs/>
          <w:color w:val="auto"/>
          <w:sz w:val="32"/>
          <w:szCs w:val="32"/>
          <w:lang w:val="en-US" w:eastAsia="zh-CN"/>
        </w:rPr>
        <w:t>二是</w:t>
      </w:r>
      <w:r>
        <w:rPr>
          <w:rFonts w:hint="default" w:ascii="Times New Roman" w:hAnsi="Times New Roman" w:eastAsia="仿宋_GB2312" w:cs="仿宋_GB2312"/>
          <w:b w:val="0"/>
          <w:color w:val="auto"/>
          <w:sz w:val="32"/>
          <w:szCs w:val="32"/>
          <w:lang w:val="en-US" w:eastAsia="zh-CN"/>
        </w:rPr>
        <w:t>及时做好外出务工人员脱贫人口跨省务工一次性交通补助发放工作</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补助金额</w:t>
      </w:r>
      <w:r>
        <w:rPr>
          <w:rFonts w:hint="eastAsia" w:ascii="Times New Roman" w:hAnsi="Times New Roman" w:eastAsia="仿宋_GB2312" w:cs="仿宋_GB2312"/>
          <w:b w:val="0"/>
          <w:color w:val="auto"/>
          <w:sz w:val="32"/>
          <w:szCs w:val="32"/>
          <w:lang w:val="en-US" w:eastAsia="zh-CN"/>
        </w:rPr>
        <w:t>281.50</w:t>
      </w:r>
      <w:r>
        <w:rPr>
          <w:rFonts w:hint="default" w:ascii="Times New Roman" w:hAnsi="Times New Roman" w:eastAsia="仿宋_GB2312" w:cs="仿宋_GB2312"/>
          <w:b w:val="0"/>
          <w:color w:val="auto"/>
          <w:sz w:val="32"/>
          <w:szCs w:val="32"/>
          <w:lang w:val="en-US" w:eastAsia="zh-CN"/>
        </w:rPr>
        <w:t>万元。</w:t>
      </w:r>
      <w:r>
        <w:rPr>
          <w:rFonts w:hint="default" w:ascii="Times New Roman" w:hAnsi="Times New Roman" w:eastAsia="仿宋_GB2312" w:cs="仿宋_GB2312"/>
          <w:b/>
          <w:bCs/>
          <w:color w:val="auto"/>
          <w:sz w:val="32"/>
          <w:szCs w:val="32"/>
          <w:lang w:val="en-US" w:eastAsia="zh-CN"/>
        </w:rPr>
        <w:t>三是</w:t>
      </w:r>
      <w:r>
        <w:rPr>
          <w:rFonts w:hint="default" w:ascii="Times New Roman" w:hAnsi="Times New Roman" w:eastAsia="仿宋_GB2312" w:cs="仿宋_GB2312"/>
          <w:b w:val="0"/>
          <w:color w:val="auto"/>
          <w:sz w:val="32"/>
          <w:szCs w:val="32"/>
          <w:lang w:val="en-US" w:eastAsia="zh-CN"/>
        </w:rPr>
        <w:t>落实就业帮扶车间奖补政策。202</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年新认定就业帮扶车间</w:t>
      </w:r>
      <w:r>
        <w:rPr>
          <w:rFonts w:hint="eastAsia" w:ascii="Times New Roman" w:hAnsi="Times New Roman" w:eastAsia="仿宋_GB2312" w:cs="仿宋_GB2312"/>
          <w:b w:val="0"/>
          <w:color w:val="auto"/>
          <w:sz w:val="32"/>
          <w:szCs w:val="32"/>
          <w:lang w:val="en-US" w:eastAsia="zh-CN"/>
        </w:rPr>
        <w:t>3</w:t>
      </w:r>
      <w:r>
        <w:rPr>
          <w:rFonts w:hint="default" w:ascii="Times New Roman" w:hAnsi="Times New Roman" w:eastAsia="仿宋_GB2312" w:cs="仿宋_GB2312"/>
          <w:b w:val="0"/>
          <w:color w:val="auto"/>
          <w:sz w:val="32"/>
          <w:szCs w:val="32"/>
          <w:lang w:val="en-US" w:eastAsia="zh-CN"/>
        </w:rPr>
        <w:t>个兑付奖补资金</w:t>
      </w:r>
      <w:r>
        <w:rPr>
          <w:rFonts w:hint="eastAsia" w:ascii="Times New Roman" w:hAnsi="Times New Roman" w:eastAsia="仿宋_GB2312" w:cs="仿宋_GB2312"/>
          <w:b w:val="0"/>
          <w:color w:val="auto"/>
          <w:sz w:val="32"/>
          <w:szCs w:val="32"/>
          <w:lang w:val="en-US" w:eastAsia="zh-CN"/>
        </w:rPr>
        <w:t>6.6</w:t>
      </w:r>
      <w:r>
        <w:rPr>
          <w:rFonts w:hint="default" w:ascii="Times New Roman" w:hAnsi="Times New Roman" w:eastAsia="仿宋_GB2312" w:cs="仿宋_GB2312"/>
          <w:b w:val="0"/>
          <w:color w:val="auto"/>
          <w:sz w:val="32"/>
          <w:szCs w:val="32"/>
          <w:lang w:val="en-US" w:eastAsia="zh-CN"/>
        </w:rPr>
        <w:t>万元，目前我县共有就业帮扶车间</w:t>
      </w:r>
      <w:r>
        <w:rPr>
          <w:rFonts w:hint="eastAsia" w:ascii="Times New Roman" w:hAnsi="Times New Roman" w:eastAsia="仿宋_GB2312" w:cs="仿宋_GB2312"/>
          <w:b w:val="0"/>
          <w:color w:val="auto"/>
          <w:sz w:val="32"/>
          <w:szCs w:val="32"/>
          <w:lang w:val="en-US" w:eastAsia="zh-CN"/>
        </w:rPr>
        <w:t>41</w:t>
      </w:r>
      <w:r>
        <w:rPr>
          <w:rFonts w:hint="default" w:ascii="Times New Roman" w:hAnsi="Times New Roman" w:eastAsia="仿宋_GB2312" w:cs="仿宋_GB2312"/>
          <w:b w:val="0"/>
          <w:color w:val="auto"/>
          <w:sz w:val="32"/>
          <w:szCs w:val="32"/>
          <w:lang w:val="en-US" w:eastAsia="zh-CN"/>
        </w:rPr>
        <w:t>家，累计带动就业</w:t>
      </w:r>
      <w:r>
        <w:rPr>
          <w:rFonts w:hint="eastAsia" w:ascii="Times New Roman" w:hAnsi="Times New Roman" w:eastAsia="仿宋_GB2312" w:cs="仿宋_GB2312"/>
          <w:b w:val="0"/>
          <w:color w:val="auto"/>
          <w:sz w:val="32"/>
          <w:szCs w:val="32"/>
          <w:lang w:val="en-US" w:eastAsia="zh-CN"/>
        </w:rPr>
        <w:t>2296</w:t>
      </w:r>
      <w:r>
        <w:rPr>
          <w:rFonts w:hint="default" w:ascii="Times New Roman" w:hAnsi="Times New Roman" w:eastAsia="仿宋_GB2312" w:cs="仿宋_GB2312"/>
          <w:b w:val="0"/>
          <w:color w:val="auto"/>
          <w:sz w:val="32"/>
          <w:szCs w:val="32"/>
          <w:lang w:val="en-US" w:eastAsia="zh-CN"/>
        </w:rPr>
        <w:t>人，其中脱贫劳动力</w:t>
      </w:r>
      <w:r>
        <w:rPr>
          <w:rFonts w:hint="eastAsia" w:ascii="Times New Roman" w:hAnsi="Times New Roman" w:eastAsia="仿宋_GB2312" w:cs="仿宋_GB2312"/>
          <w:b w:val="0"/>
          <w:color w:val="auto"/>
          <w:sz w:val="32"/>
          <w:szCs w:val="32"/>
          <w:lang w:val="en-US" w:eastAsia="zh-CN"/>
        </w:rPr>
        <w:t>1076</w:t>
      </w:r>
      <w:r>
        <w:rPr>
          <w:rFonts w:hint="default" w:ascii="Times New Roman" w:hAnsi="Times New Roman" w:eastAsia="仿宋_GB2312" w:cs="仿宋_GB2312"/>
          <w:b w:val="0"/>
          <w:color w:val="auto"/>
          <w:sz w:val="32"/>
          <w:szCs w:val="32"/>
          <w:lang w:val="en-US" w:eastAsia="zh-CN"/>
        </w:rPr>
        <w:t>人。</w:t>
      </w:r>
      <w:r>
        <w:rPr>
          <w:rFonts w:hint="eastAsia" w:ascii="Times New Roman" w:hAnsi="Times New Roman" w:eastAsia="仿宋_GB2312" w:cs="仿宋_GB2312"/>
          <w:b/>
          <w:bCs/>
          <w:color w:val="auto"/>
          <w:sz w:val="32"/>
          <w:szCs w:val="32"/>
          <w:lang w:val="en-US" w:eastAsia="zh-CN"/>
        </w:rPr>
        <w:t>四是</w:t>
      </w:r>
      <w:r>
        <w:rPr>
          <w:rFonts w:hint="default" w:ascii="Times New Roman" w:hAnsi="Times New Roman" w:eastAsia="仿宋_GB2312" w:cs="仿宋_GB2312"/>
          <w:b w:val="0"/>
          <w:color w:val="auto"/>
          <w:sz w:val="32"/>
          <w:szCs w:val="32"/>
          <w:lang w:val="en-US" w:eastAsia="zh-CN"/>
        </w:rPr>
        <w:t>按照《人力资源社会保障部办公厅关于开展2023年高校毕业生等青年就业服务攻坚行动的通知》（人社厅发〔2023〕21号）文件，对离校未就业高校毕业生等青年开展</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1311</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服务，服务率达100%，完成2023年寻甸籍高校毕业生就业服务1181人，多渠道帮助就业1111人，就业率94.00%，管理14862份高校毕业生档案，截至目前转出档案542份，接受档案1403份；在全县集中开展离校未就业高校毕业生等青年就业服务攻坚行动暨直播带岗专项行动3次。落实高校毕业生来昆留昆落户补贴3人3000元，小微企业吸纳高校毕业生一次性就业补贴18人9万元，大学生创业补贴2人6万元，高校毕业生求职创业补贴46人4.6万元，市级大学生创业（场租）补贴2人2万</w:t>
      </w:r>
      <w:r>
        <w:rPr>
          <w:rFonts w:hint="eastAsia" w:ascii="Times New Roman" w:hAnsi="Times New Roman" w:eastAsia="仿宋_GB2312" w:cs="仿宋_GB2312"/>
          <w:b w:val="0"/>
          <w:color w:val="auto"/>
          <w:sz w:val="32"/>
          <w:szCs w:val="32"/>
          <w:lang w:val="en-US" w:eastAsia="zh-CN"/>
        </w:rPr>
        <w:t>元</w:t>
      </w:r>
      <w:r>
        <w:rPr>
          <w:rFonts w:hint="default" w:ascii="Times New Roman" w:hAnsi="Times New Roman" w:eastAsia="仿宋_GB2312" w:cs="仿宋_GB2312"/>
          <w:b w:val="0"/>
          <w:color w:val="auto"/>
          <w:sz w:val="32"/>
          <w:szCs w:val="32"/>
          <w:lang w:val="en-US" w:eastAsia="zh-CN"/>
        </w:rPr>
        <w:t>，高校毕业生一次性基层就业奖补9人4.5万元。</w:t>
      </w:r>
    </w:p>
    <w:p>
      <w:pPr>
        <w:pStyle w:val="2"/>
        <w:keepNext w:val="0"/>
        <w:keepLines w:val="0"/>
        <w:pageBreakBefore w:val="0"/>
        <w:widowControl w:val="0"/>
        <w:kinsoku/>
        <w:wordWrap/>
        <w:overflowPunct/>
        <w:topLinePunct w:val="0"/>
        <w:autoSpaceDE/>
        <w:autoSpaceDN/>
        <w:bidi w:val="0"/>
        <w:adjustRightInd w:val="0"/>
        <w:snapToGrid w:val="0"/>
        <w:spacing w:before="0" w:beforeLines="-2147483648" w:beforeAutospacing="0" w:after="0" w:afterLines="-2147483648" w:afterAutospacing="0" w:line="620" w:lineRule="exact"/>
        <w:ind w:firstLine="640" w:firstLineChars="200"/>
        <w:jc w:val="both"/>
        <w:textAlignment w:val="auto"/>
        <w:outlineLvl w:val="0"/>
        <w:rPr>
          <w:rFonts w:hint="default" w:ascii="楷体_GB2312" w:hAnsi="楷体_GB2312" w:eastAsia="楷体_GB2312" w:cs="楷体_GB2312"/>
          <w:b w:val="0"/>
          <w:bCs/>
          <w:color w:val="auto"/>
          <w:kern w:val="2"/>
          <w:sz w:val="32"/>
          <w:szCs w:val="32"/>
          <w:lang w:val="en-US" w:eastAsia="zh-CN" w:bidi="ar-SA"/>
        </w:rPr>
      </w:pPr>
      <w:bookmarkStart w:id="35" w:name="_Toc22290"/>
      <w:bookmarkStart w:id="36" w:name="_Toc30576"/>
      <w:bookmarkStart w:id="37" w:name="_Toc4966"/>
      <w:r>
        <w:rPr>
          <w:rFonts w:hint="default" w:ascii="楷体_GB2312" w:hAnsi="楷体_GB2312" w:eastAsia="楷体_GB2312" w:cs="楷体_GB2312"/>
          <w:b w:val="0"/>
          <w:bCs/>
          <w:color w:val="auto"/>
          <w:kern w:val="2"/>
          <w:sz w:val="32"/>
          <w:szCs w:val="32"/>
          <w:lang w:val="en-US" w:eastAsia="zh-CN" w:bidi="ar-SA"/>
        </w:rPr>
        <w:t>（二）社会效益</w:t>
      </w:r>
      <w:bookmarkEnd w:id="35"/>
      <w:bookmarkEnd w:id="36"/>
      <w:bookmarkEnd w:id="37"/>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bookmarkStart w:id="38" w:name="_Toc3964_WPSOffice_Level2"/>
      <w:r>
        <w:rPr>
          <w:rFonts w:hint="default" w:ascii="Times New Roman" w:hAnsi="Times New Roman" w:eastAsia="仿宋_GB2312" w:cs="仿宋_GB2312"/>
          <w:b w:val="0"/>
          <w:color w:val="auto"/>
          <w:sz w:val="32"/>
          <w:szCs w:val="32"/>
          <w:lang w:val="en-US" w:eastAsia="zh-CN"/>
        </w:rPr>
        <w:t>全面落实</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贷免扶补</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创业担保贷款和个人创业担保贷款两项扶持政策，积极做好</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贷免扶补</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创业担保贷款工作，大力推动下岗失业人员、就业困难人员、高校毕业生等群体就业创业。截至目前，共为99位创业者发放个人创业担保贷款1797万元，为62位创业者发放贷免扶补创业担保贷款1190万元。</w:t>
      </w:r>
    </w:p>
    <w:p>
      <w:pPr>
        <w:pStyle w:val="2"/>
        <w:keepNext w:val="0"/>
        <w:keepLines w:val="0"/>
        <w:pageBreakBefore w:val="0"/>
        <w:widowControl w:val="0"/>
        <w:kinsoku/>
        <w:wordWrap/>
        <w:overflowPunct/>
        <w:topLinePunct w:val="0"/>
        <w:autoSpaceDE/>
        <w:autoSpaceDN/>
        <w:bidi w:val="0"/>
        <w:adjustRightInd w:val="0"/>
        <w:snapToGrid w:val="0"/>
        <w:spacing w:before="0" w:beforeLines="-2147483648" w:beforeAutospacing="0" w:after="0" w:afterLines="-2147483648" w:afterAutospacing="0" w:line="620" w:lineRule="exact"/>
        <w:ind w:firstLine="640" w:firstLineChars="200"/>
        <w:jc w:val="both"/>
        <w:textAlignment w:val="auto"/>
        <w:outlineLvl w:val="0"/>
        <w:rPr>
          <w:rFonts w:hint="default" w:ascii="楷体_GB2312" w:hAnsi="楷体_GB2312" w:eastAsia="楷体_GB2312" w:cs="楷体_GB2312"/>
          <w:b w:val="0"/>
          <w:bCs/>
          <w:color w:val="auto"/>
          <w:kern w:val="2"/>
          <w:sz w:val="32"/>
          <w:szCs w:val="32"/>
          <w:lang w:val="en-US" w:eastAsia="zh-CN" w:bidi="ar-SA"/>
        </w:rPr>
      </w:pPr>
      <w:bookmarkStart w:id="39" w:name="_Toc20470"/>
      <w:bookmarkStart w:id="40" w:name="_Toc8195"/>
      <w:bookmarkStart w:id="41" w:name="_Toc8555"/>
      <w:r>
        <w:rPr>
          <w:rFonts w:hint="default" w:ascii="楷体_GB2312" w:hAnsi="楷体_GB2312" w:eastAsia="楷体_GB2312" w:cs="楷体_GB2312"/>
          <w:b w:val="0"/>
          <w:bCs/>
          <w:color w:val="auto"/>
          <w:kern w:val="2"/>
          <w:sz w:val="32"/>
          <w:szCs w:val="32"/>
          <w:lang w:val="en-US" w:eastAsia="zh-CN" w:bidi="ar-SA"/>
        </w:rPr>
        <w:t>（三</w:t>
      </w:r>
      <w:bookmarkEnd w:id="38"/>
      <w:bookmarkStart w:id="42" w:name="_Toc11776_WPSOffice_Level2"/>
      <w:r>
        <w:rPr>
          <w:rFonts w:hint="default" w:ascii="楷体_GB2312" w:hAnsi="楷体_GB2312" w:eastAsia="楷体_GB2312" w:cs="楷体_GB2312"/>
          <w:b w:val="0"/>
          <w:bCs/>
          <w:color w:val="auto"/>
          <w:kern w:val="2"/>
          <w:sz w:val="32"/>
          <w:szCs w:val="32"/>
          <w:lang w:val="en-US" w:eastAsia="zh-CN" w:bidi="ar-SA"/>
        </w:rPr>
        <w:t>）社会公众满意度</w:t>
      </w:r>
      <w:bookmarkEnd w:id="39"/>
      <w:bookmarkEnd w:id="40"/>
      <w:bookmarkEnd w:id="41"/>
      <w:bookmarkEnd w:id="42"/>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通过对50份社会公众或服务对象满意度调查问卷统计分析，服务对象对</w:t>
      </w:r>
      <w:r>
        <w:rPr>
          <w:rFonts w:hint="eastAsia" w:ascii="Times New Roman" w:hAnsi="Times New Roman" w:eastAsia="仿宋_GB2312" w:cs="仿宋_GB2312"/>
          <w:b w:val="0"/>
          <w:color w:val="auto"/>
          <w:sz w:val="32"/>
          <w:szCs w:val="32"/>
          <w:lang w:val="en-US" w:eastAsia="zh-CN"/>
        </w:rPr>
        <w:t>寻甸回族彝族自治县公共就业和人才服务中心</w:t>
      </w:r>
      <w:r>
        <w:rPr>
          <w:rFonts w:hint="default" w:ascii="Times New Roman" w:hAnsi="Times New Roman" w:eastAsia="仿宋_GB2312" w:cs="仿宋_GB2312"/>
          <w:b w:val="0"/>
          <w:color w:val="auto"/>
          <w:sz w:val="32"/>
          <w:szCs w:val="32"/>
          <w:lang w:val="en-US" w:eastAsia="zh-CN"/>
        </w:rPr>
        <w:t>工作开展情况比较满意，得分98分。</w:t>
      </w:r>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outlineLvl w:val="0"/>
        <w:rPr>
          <w:rFonts w:hint="eastAsia" w:ascii="黑体" w:hAnsi="黑体" w:eastAsia="黑体" w:cs="黑体"/>
          <w:b w:val="0"/>
          <w:color w:val="auto"/>
          <w:sz w:val="32"/>
          <w:szCs w:val="32"/>
          <w:lang w:val="en-US" w:eastAsia="zh-CN"/>
        </w:rPr>
      </w:pPr>
      <w:bookmarkStart w:id="43" w:name="_Toc21412"/>
      <w:bookmarkStart w:id="44" w:name="_Toc7887"/>
      <w:bookmarkStart w:id="45" w:name="_Toc4006"/>
      <w:r>
        <w:rPr>
          <w:rFonts w:hint="eastAsia" w:ascii="黑体" w:hAnsi="黑体" w:eastAsia="黑体" w:cs="黑体"/>
          <w:b w:val="0"/>
          <w:color w:val="auto"/>
          <w:sz w:val="32"/>
          <w:szCs w:val="32"/>
          <w:lang w:val="en-US" w:eastAsia="zh-CN"/>
        </w:rPr>
        <w:t>四、可持续性分析</w:t>
      </w:r>
      <w:bookmarkEnd w:id="43"/>
      <w:bookmarkEnd w:id="44"/>
      <w:bookmarkEnd w:id="45"/>
    </w:p>
    <w:p>
      <w:pPr>
        <w:keepNext w:val="0"/>
        <w:keepLines w:val="0"/>
        <w:pageBreakBefore w:val="0"/>
        <w:widowControl w:val="0"/>
        <w:kinsoku/>
        <w:wordWrap/>
        <w:overflowPunct/>
        <w:topLinePunct/>
        <w:autoSpaceDE/>
        <w:autoSpaceDN/>
        <w:bidi w:val="0"/>
        <w:adjustRightInd w:val="0"/>
        <w:snapToGrid w:val="0"/>
        <w:spacing w:afterAutospacing="0" w:line="620" w:lineRule="exact"/>
        <w:ind w:left="0" w:leftChars="0" w:firstLine="640" w:firstLineChars="200"/>
        <w:jc w:val="both"/>
        <w:textAlignment w:val="auto"/>
        <w:rPr>
          <w:rFonts w:hint="default" w:ascii="Times New Roman" w:hAnsi="Times New Roman" w:eastAsia="仿宋_GB2312" w:cs="仿宋_GB2312"/>
          <w:b w:val="0"/>
          <w:color w:val="auto"/>
          <w:sz w:val="32"/>
          <w:szCs w:val="32"/>
          <w:lang w:val="en-US" w:eastAsia="zh-CN"/>
        </w:rPr>
      </w:pPr>
      <w:r>
        <w:rPr>
          <w:rFonts w:hint="default" w:ascii="Times New Roman" w:hAnsi="Times New Roman" w:eastAsia="仿宋_GB2312" w:cs="仿宋_GB2312"/>
          <w:b w:val="0"/>
          <w:color w:val="auto"/>
          <w:sz w:val="32"/>
          <w:szCs w:val="32"/>
          <w:lang w:val="en-US" w:eastAsia="zh-CN"/>
        </w:rPr>
        <w:t>寻甸回族彝族自治县公共就业和人才服务中心作为县政府工作单位，强化就业援助，着力解决就业问题。</w:t>
      </w:r>
      <w:r>
        <w:rPr>
          <w:rFonts w:hint="eastAsia" w:ascii="Times New Roman" w:hAnsi="Times New Roman" w:eastAsia="仿宋_GB2312" w:cs="仿宋_GB2312"/>
          <w:b/>
          <w:bCs/>
          <w:color w:val="auto"/>
          <w:sz w:val="32"/>
          <w:szCs w:val="32"/>
          <w:lang w:val="en-US" w:eastAsia="zh-CN"/>
        </w:rPr>
        <w:t>一是</w:t>
      </w:r>
      <w:r>
        <w:rPr>
          <w:rFonts w:hint="default" w:ascii="Times New Roman" w:hAnsi="Times New Roman" w:eastAsia="仿宋_GB2312" w:cs="仿宋_GB2312"/>
          <w:b w:val="0"/>
          <w:color w:val="auto"/>
          <w:sz w:val="32"/>
          <w:szCs w:val="32"/>
          <w:lang w:val="en-US" w:eastAsia="zh-CN"/>
        </w:rPr>
        <w:t>按照</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稳存量、保增量、调结构、促增收</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的工作思路，通过精准摸排、及早谋划，春节刚过，及时组织职业培训机构和乡镇（街道）召开技能培训动员部署会议，对整个培训工作进行安排部署，按照</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任务公开、自主申报、先核先培、持续推进</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的原则，做到及时审批，有序开班，快速实施，开展农村劳动力技能培训65个培训班，培训人数3353人，创业培训9个班（其中5个SYB培训班，4个网络创业培训班），培训人数270人，已超额完成市局年初下达的培训任务。</w:t>
      </w:r>
      <w:r>
        <w:rPr>
          <w:rFonts w:hint="default" w:ascii="Times New Roman" w:hAnsi="Times New Roman" w:eastAsia="仿宋_GB2312" w:cs="仿宋_GB2312"/>
          <w:b/>
          <w:bCs/>
          <w:color w:val="auto"/>
          <w:sz w:val="32"/>
          <w:szCs w:val="32"/>
          <w:lang w:val="en-US" w:eastAsia="zh-CN"/>
        </w:rPr>
        <w:t>二是</w:t>
      </w:r>
      <w:r>
        <w:rPr>
          <w:rFonts w:hint="default" w:ascii="Times New Roman" w:hAnsi="Times New Roman" w:eastAsia="仿宋_GB2312" w:cs="仿宋_GB2312"/>
          <w:b w:val="0"/>
          <w:color w:val="auto"/>
          <w:sz w:val="32"/>
          <w:szCs w:val="32"/>
          <w:lang w:val="en-US" w:eastAsia="zh-CN"/>
        </w:rPr>
        <w:t>春节前后结合省人社厅2023年全省农村劳动力转移就业</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百日行动</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省市普法强基相关文件精神，将农村劳动力转移就业与普法强基工作有效结合，印发了通知，共计走访慰问转移就业人员1726人，接送返乡农民工8762人，召开座谈会175场次，印制、悬挂宣传条幅及标语108条，发放宣传资料25080份，对接人力资源服务中介户数（次）10次，开展招聘会31场次，收集发布用工岗位信息47835个，组织返岗专列专车活动4次，农村劳动力转移就业24234人次，其中省外转移就业总数3953人，两项工作均取得显著实效。做好跨省务工一次性交通补助工作，通过入户宣传、村内广播、微信电话、公示栏张贴宣传、招聘会等方式宣传跨省务工一次性交通补助政策187场次，发放宣传材料9000余份，申报跨省务工一次性交通补助审核通过2804人。</w:t>
      </w:r>
      <w:r>
        <w:rPr>
          <w:rFonts w:hint="default" w:ascii="Times New Roman" w:hAnsi="Times New Roman" w:eastAsia="仿宋_GB2312" w:cs="仿宋_GB2312"/>
          <w:b/>
          <w:bCs/>
          <w:color w:val="auto"/>
          <w:sz w:val="32"/>
          <w:szCs w:val="32"/>
          <w:lang w:val="en-US" w:eastAsia="zh-CN"/>
        </w:rPr>
        <w:t>三是</w:t>
      </w:r>
      <w:r>
        <w:rPr>
          <w:rFonts w:hint="default" w:ascii="Times New Roman" w:hAnsi="Times New Roman" w:eastAsia="仿宋_GB2312" w:cs="仿宋_GB2312"/>
          <w:b w:val="0"/>
          <w:color w:val="auto"/>
          <w:sz w:val="32"/>
          <w:szCs w:val="32"/>
          <w:lang w:val="en-US" w:eastAsia="zh-CN"/>
        </w:rPr>
        <w:t>加强东西部劳务协作，分别与上海市普陀区、浙江省新昌县、浙江丽水云和县、福建省漳州市东山县、广东汕头市潮阳区等东部发达地区人社部门及相关企业实现面对面交流对接，达成劳务协作意愿，签订劳务合作协议，为有外出务工意愿的农村劳动力赴省外务工奠定良好基础。为进一步推动、落实普陀区与寻甸县的劳务协作工作，持续开展就业帮扶，让寻甸农村劳动力真正实现自主就业、快乐就业。2023年9月8日，寻甸县2023年沪滇劳务协作</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云上·乐业</w:t>
      </w:r>
      <w:r>
        <w:rPr>
          <w:rFonts w:hint="eastAsia" w:ascii="Times New Roman" w:hAnsi="Times New Roman" w:eastAsia="仿宋_GB2312" w:cs="仿宋_GB2312"/>
          <w:b w:val="0"/>
          <w:color w:val="auto"/>
          <w:sz w:val="32"/>
          <w:szCs w:val="32"/>
          <w:lang w:val="en-US" w:eastAsia="zh-CN"/>
        </w:rPr>
        <w:t>”</w:t>
      </w:r>
      <w:r>
        <w:rPr>
          <w:rFonts w:hint="default" w:ascii="Times New Roman" w:hAnsi="Times New Roman" w:eastAsia="仿宋_GB2312" w:cs="仿宋_GB2312"/>
          <w:b w:val="0"/>
          <w:color w:val="auto"/>
          <w:sz w:val="32"/>
          <w:szCs w:val="32"/>
          <w:lang w:val="en-US" w:eastAsia="zh-CN"/>
        </w:rPr>
        <w:t>专场招聘会，招聘活动上海市普陀区共提供优质岗位2000余个，同时组织企业到群众家门口现场送岗现场纳贤，现场累计提供岗位2480余个，吸引200余名群众到现场咨询求职，发放宣传册560余份，初步达成就业意愿人数33人。受到群众的热烈欢迎和一致好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jgwMWM5MWY0MWUwNjQ5NTBhZjNkYWQ4MjliYjIifQ=="/>
    <w:docVar w:name="KSO_WPS_MARK_KEY" w:val="37ff7ab5-61b7-47c7-a29a-d48627c777ca"/>
  </w:docVars>
  <w:rsids>
    <w:rsidRoot w:val="436C7508"/>
    <w:rsid w:val="436C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2024-05-27T07:06:00Z</dcterms:created>
  <dc:creator>易拉罐</dc:creator>
  <cp:lastModifiedBy>易拉罐</cp:lastModifiedBy>
  <dcterms:modified xsi:type="dcterms:W3CDTF">2024-05-27T07:06:49Z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8B216707197944C1AE10FB58EE1F86CC_11</vt:lpwstr>
  </property>
</Properties>
</file>