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Autospacing="0" w:line="620" w:lineRule="exact"/>
        <w:jc w:val="left"/>
        <w:textAlignment w:val="auto"/>
        <w:outlineLvl w:val="1"/>
        <w:rPr>
          <w:rFonts w:hint="default" w:ascii="Times New Roman" w:hAnsi="Times New Roman" w:eastAsia="仿宋_GB2312" w:cs="Times New Roman"/>
          <w:b w:val="0"/>
          <w:bCs w:val="0"/>
          <w:color w:val="auto"/>
          <w:sz w:val="32"/>
          <w:szCs w:val="32"/>
          <w:lang w:val="en-US" w:eastAsia="zh-CN"/>
        </w:rPr>
      </w:pPr>
      <w:bookmarkStart w:id="0" w:name="_Toc18740"/>
      <w:bookmarkStart w:id="1" w:name="_Toc9103"/>
      <w:bookmarkStart w:id="2" w:name="_Toc2636"/>
      <w:r>
        <w:rPr>
          <w:rFonts w:hint="default" w:ascii="Times New Roman" w:hAnsi="Times New Roman" w:eastAsia="仿宋_GB2312" w:cs="Times New Roman"/>
          <w:b w:val="0"/>
          <w:bCs w:val="0"/>
          <w:color w:val="auto"/>
          <w:sz w:val="32"/>
          <w:szCs w:val="32"/>
          <w:lang w:val="en-US" w:eastAsia="zh-CN"/>
        </w:rPr>
        <w:t>附件2</w:t>
      </w:r>
    </w:p>
    <w:p>
      <w:pPr>
        <w:keepNext w:val="0"/>
        <w:keepLines w:val="0"/>
        <w:pageBreakBefore w:val="0"/>
        <w:kinsoku/>
        <w:wordWrap/>
        <w:overflowPunct/>
        <w:topLinePunct w:val="0"/>
        <w:autoSpaceDE/>
        <w:autoSpaceDN/>
        <w:bidi w:val="0"/>
        <w:adjustRightInd w:val="0"/>
        <w:snapToGrid w:val="0"/>
        <w:spacing w:afterAutospacing="0" w:line="620" w:lineRule="exact"/>
        <w:ind w:left="0" w:leftChars="0" w:firstLine="640" w:firstLineChars="200"/>
        <w:jc w:val="left"/>
        <w:textAlignment w:val="auto"/>
        <w:outlineLvl w:val="1"/>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afterAutospacing="0" w:line="620" w:lineRule="exact"/>
        <w:jc w:val="center"/>
        <w:textAlignment w:val="auto"/>
        <w:outlineLvl w:val="1"/>
        <w:rPr>
          <w:rFonts w:hint="eastAsia" w:ascii="方正小标宋简体" w:hAnsi="方正小标宋简体" w:eastAsia="方正小标宋简体" w:cs="方正小标宋简体"/>
          <w:b w:val="0"/>
          <w:bCs w:val="0"/>
          <w:color w:val="auto"/>
          <w:sz w:val="44"/>
          <w:szCs w:val="44"/>
        </w:rPr>
      </w:pPr>
      <w:bookmarkStart w:id="16" w:name="_GoBack"/>
      <w:r>
        <w:rPr>
          <w:rFonts w:hint="eastAsia" w:ascii="方正小标宋简体" w:hAnsi="方正小标宋简体" w:eastAsia="方正小标宋简体" w:cs="方正小标宋简体"/>
          <w:b w:val="0"/>
          <w:bCs w:val="0"/>
          <w:color w:val="auto"/>
          <w:sz w:val="44"/>
          <w:szCs w:val="44"/>
          <w:lang w:val="en-US" w:eastAsia="zh-CN"/>
        </w:rPr>
        <w:t>部门职能分解及2023年度工作完成情况</w:t>
      </w:r>
      <w:bookmarkEnd w:id="0"/>
      <w:bookmarkEnd w:id="1"/>
      <w:bookmarkEnd w:id="2"/>
    </w:p>
    <w:bookmarkEnd w:id="16"/>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eastAsia" w:ascii="Times New Roman" w:hAnsi="Times New Roman" w:eastAsia="仿宋_GB2312" w:cs="仿宋_GB2312"/>
          <w:b w:val="0"/>
          <w:color w:val="auto"/>
          <w:sz w:val="32"/>
          <w:szCs w:val="32"/>
          <w:lang w:val="en-US" w:eastAsia="zh-CN"/>
        </w:rPr>
      </w:pPr>
      <w:bookmarkStart w:id="3" w:name="_Toc15367_WPSOffice_Level1"/>
    </w:p>
    <w:bookmarkEnd w:id="3"/>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年，寻甸县</w:t>
      </w:r>
      <w:r>
        <w:rPr>
          <w:rFonts w:hint="eastAsia" w:ascii="Times New Roman" w:hAnsi="Times New Roman" w:eastAsia="仿宋_GB2312" w:cs="仿宋_GB2312"/>
          <w:b w:val="0"/>
          <w:color w:val="auto"/>
          <w:sz w:val="32"/>
          <w:szCs w:val="32"/>
          <w:lang w:val="en-US" w:eastAsia="zh-CN"/>
        </w:rPr>
        <w:t>公共就业和人才服务中心</w:t>
      </w:r>
      <w:r>
        <w:rPr>
          <w:rFonts w:hint="default" w:ascii="Times New Roman" w:hAnsi="Times New Roman" w:eastAsia="仿宋_GB2312" w:cs="仿宋_GB2312"/>
          <w:b w:val="0"/>
          <w:color w:val="auto"/>
          <w:sz w:val="32"/>
          <w:szCs w:val="32"/>
          <w:lang w:val="en-US" w:eastAsia="zh-CN"/>
        </w:rPr>
        <w:t>认真贯彻落实省人社局厅、市人社局重要决策部署，坚持就业是民生之本、财富之源、稳定之基，全力确保就业局势稳定，以习近平新时代中国特色社会主义思想为指导，落实党的十九大、二十大和十九届历次全会以及省市县经济工作会议精神，围绕县委县政府的中心工作及市就业局下达的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年目标任务，扎实有序推进各项工作。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eastAsia" w:ascii="黑体" w:hAnsi="黑体" w:eastAsia="黑体" w:cs="黑体"/>
          <w:b w:val="0"/>
          <w:color w:val="auto"/>
          <w:sz w:val="32"/>
          <w:szCs w:val="32"/>
          <w:lang w:val="en-US" w:eastAsia="zh-CN"/>
        </w:rPr>
      </w:pPr>
      <w:bookmarkStart w:id="4" w:name="_Toc25763"/>
      <w:bookmarkStart w:id="5" w:name="_Toc19895"/>
      <w:bookmarkStart w:id="6" w:name="_Toc731"/>
      <w:r>
        <w:rPr>
          <w:rFonts w:hint="eastAsia" w:ascii="黑体" w:hAnsi="黑体" w:eastAsia="黑体" w:cs="黑体"/>
          <w:b w:val="0"/>
          <w:color w:val="auto"/>
          <w:sz w:val="32"/>
          <w:szCs w:val="32"/>
          <w:lang w:val="en-US" w:eastAsia="zh-CN"/>
        </w:rPr>
        <w:t>一、目标任务完成情况</w:t>
      </w:r>
      <w:bookmarkEnd w:id="4"/>
      <w:bookmarkEnd w:id="5"/>
      <w:bookmarkEnd w:id="6"/>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提供有效就业岗位1769个，完成任务1700人的104%；城镇新增就业933人，完成任务900人的104%，（其中城镇失业再就业405人，完成任务350人的116%，就业困难人员就业354人，完成任务240人的148%）；农村劳动力技能培训3353人次，完成任务2100人的159.67%，创业培训任务数150人，已完成150人，完成目标任务100%；农村劳动力转移就业24234人次，完成任务16000人的151.46%；</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贷免扶补</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扶持创业62人，完成目标任务62人的100%；创业担保贷款及小微企业贷款扶持创业99人，完成目标任务95人的104%；城镇公益性岗位累计安置233人；乡村公益性岗位安置388人。</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default" w:ascii="黑体" w:hAnsi="黑体" w:eastAsia="黑体" w:cs="黑体"/>
          <w:b w:val="0"/>
          <w:color w:val="auto"/>
          <w:sz w:val="32"/>
          <w:szCs w:val="32"/>
          <w:lang w:val="en-US" w:eastAsia="zh-CN"/>
        </w:rPr>
      </w:pPr>
      <w:bookmarkStart w:id="7" w:name="_Toc20506"/>
      <w:bookmarkStart w:id="8" w:name="_Toc25650"/>
      <w:bookmarkStart w:id="9" w:name="_Toc22645"/>
      <w:r>
        <w:rPr>
          <w:rFonts w:hint="default" w:ascii="黑体" w:hAnsi="黑体" w:eastAsia="黑体" w:cs="黑体"/>
          <w:b w:val="0"/>
          <w:color w:val="auto"/>
          <w:sz w:val="32"/>
          <w:szCs w:val="32"/>
          <w:lang w:val="en-US" w:eastAsia="zh-CN"/>
        </w:rPr>
        <w:t>二、工作做法</w:t>
      </w:r>
      <w:bookmarkEnd w:id="7"/>
      <w:bookmarkEnd w:id="8"/>
      <w:bookmarkEnd w:id="9"/>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（一）结合普法强基高质量开展农村劳动力转移就业</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百日行动</w:t>
      </w:r>
      <w:r>
        <w:rPr>
          <w:rFonts w:hint="eastAsia" w:ascii="楷体_GB2312" w:hAnsi="楷体_GB2312" w:eastAsia="楷体_GB2312" w:cs="楷体_GB2312"/>
          <w:b w:val="0"/>
          <w:bCs/>
          <w:color w:val="auto"/>
          <w:kern w:val="2"/>
          <w:sz w:val="32"/>
          <w:szCs w:val="32"/>
          <w:lang w:val="en-US" w:eastAsia="zh-CN" w:bidi="ar-SA"/>
        </w:rPr>
        <w:t>”</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春节前后结合省人社厅2023年全省农村劳动力转移就业</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百日行动</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省市普法强基相关文件精神，将农村劳动力转移就业与普法强基工作有效结合，印发了通知，共计走访慰问转移就业人员1726人，接送返乡农民工8762人，召开座谈会175场次，印制、悬挂宣传条幅及标语108条，发放宣传资料25080份，对接人力资源服务中介户数（次）10次，开展招聘会31场次，收集发布用工岗位信息47835个，组织返岗专列专车活动4次，农村劳动力转移就业24234人次，其中省外转移就业总数3953人，两项工作均取得显著实效。做好跨省务工一次性交通补助工作，通过入户宣传、村内广播、微信电话、公示栏张贴宣传、招聘会等方式宣传跨省务工一次性交通补助政策187场次，发放宣传材料9000余份，申报跨省务工一次性交通补助审核通过2804人。</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（二）提前筹谋做好农村劳动力技能培训</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通过精准摸排、及早谋划，春节刚过，及时组织职业培训机构和乡镇（街道）召开技能培训动员部署会议，对整个培训工作进行安排部署，按照</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任务公开、自主申报、先核先培、持续推进</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的原则，做到及时审批，有序开班，快速实施，开展农村劳动力技能培训65个培训班，培训人数3353人，创业培训9个班（其中5个SYB培训班，4个网络创业培训班），培训人数270人，已超额完成市局年初下达的培训任务。</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（三）做好省委巡视整改工作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根据省委巡视反馈的</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帮扶车间吸纳脱贫人口就业人员从1158人减少到340人</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问题，加强与农业农村、乡村振兴部门协调联动，在产业发展、技术指导、销售渠道等方面给予政策支持。一是对就业帮扶车间减少的818名人员去向信息进行核实，核实发现608人已实现转移就业，210人在县内外灵活就业。印发了《寻甸县人力资源和社会保障局关于做好2023年就业帮扶车间奖补资金申报及认定工作的通知》，鼓励就业帮扶车间积极吸纳脱贫劳动力就业，对吸纳稳定就业1个月以上的脱贫劳动力按发给脱贫劳动力工资额度的15%给予帮扶车间兑付吸纳就业奖补；对稳定就业6个月以上脱贫劳动力、边缘易致贫户、农村低收入人口，按1000元/人的标准给予帮扶车间兑付吸纳就业奖补。2023年以来，县人社局三次联合乡村振兴局、财政局、纪检组到七星镇、凤合镇、倘甸镇、鸡街镇、金所街道等乡镇对符合申报就业帮扶车间的企业现场核查认定，现场核查企业7家，最终三部门联发文件新认定就业帮扶车间3家，兑付帮扶车间吸纳就业奖补6.6万元。二是强化部门间协调联动。结合实地走访情况印发了《寻甸县就业帮扶车间检查考核及综合评价工作的通报》，进一步规范就业帮扶车间的日常管理，组织县社局、乡村振兴局等部门深入40家就业帮扶车间开展送政策活动5次，在产业发展、补贴资金材料申报等方面交流指导5次。收集就业帮扶车间有效就业岗位258个，帮助宣传11次。随着生产逐渐恢复，通过前期走访、摸排、动员，40家就业帮扶车间吸纳脱贫劳动力人数逐步上升，用工高峰期达1100余人。</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已完成整改，并长期坚持</w:t>
      </w:r>
      <w:r>
        <w:rPr>
          <w:rFonts w:hint="eastAsia" w:ascii="Times New Roman" w:hAnsi="Times New Roman" w:eastAsia="仿宋_GB2312" w:cs="仿宋_GB2312"/>
          <w:b w:val="0"/>
          <w:color w:val="auto"/>
          <w:sz w:val="32"/>
          <w:szCs w:val="32"/>
          <w:lang w:val="en-US" w:eastAsia="zh-CN"/>
        </w:rPr>
        <w:t>）</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（四）做好职业介绍及岗位推送工作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加强与用工企业对接，提升主动服务意识，收集有效就业岗位，及时通过公众号进行宣传发布。线上发布招聘信息282次，主动服务企业80余家，为全县求职者提供有效就业岗位1775个。</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（五）落实贷款扶持政策，鼓励创业就业</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积极做好</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贷免扶补</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创业担保贷款工作，大力推动下岗失业人员、就业困难人员、高校毕业生等群体就业创业。截至目前，共为99位创业者发放个人创业担保贷款1797万元，为62位创业者发放贷免扶补创业担保贷款1190万元。</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（六）做好乡村公益性岗位安置工作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为有效应对年底巩固脱贫攻坚与乡村振兴衔接成效考核，帮助全县有劳动能力和就业意愿的脱贫人口实现充分就业，解决各乡镇（街道）脱贫劳动力家庭、防止返贫监测对象、残疾家庭劳动力和有重病患者家庭劳动力等特殊群体就业问题，通过加强与乡村振兴部门沟通协调，统筹沪滇资金、衔接资金、中央就业补助资金拟定了2023年乡村公益性岗位安置方案，首批安置乡村公益性岗位388名。下一步还将根据争取衔接资金情况进行第二批安置。</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（七）做好东西部劳务协作与对接工作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加强东西部劳务协作，分别与上海市普陀区、浙江省新昌县、浙江丽水云和县、福建省漳州市东山县、广东汕头市潮阳区等东部发达地区人社部门及相关企业实现面对面交流对接，达成劳务协作意愿，签订劳务合作协议，为有外出务工意愿的农村劳动力赴省外务工奠定良好基础。为进一步推动、落实普陀区与寻甸县的劳务协作工作，持续开展就业帮扶，让寻甸农村劳动力真正实现自主就业、快乐就业。2023年9月8日，寻甸县2023年沪滇劳务协作</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云上·乐业</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专场招聘会，招聘活动上海市普陀区共提供优质岗位2000余个，同时组织企业到群众家门口现场送岗现场纳贤，现场累计提供岗位2480余个，吸引200余名群众到现场咨询求职，发放宣传册560余份，初步达成就业意愿人数33人。受到群众的热烈欢迎和一致好评。</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（八）做好劳务品牌认定推荐工作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通过主要领导实地走访调研，初步认定了云南泵龙马铃薯种植有限公司申请的</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寻甸土豆种植工</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县级劳务品牌并及时向上级部门推荐上报，获得市级劳务品牌荣誉称号。</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（九）落实高校毕业生就业创业扶持政策，助力高校毕业生高质量就业创业</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按照《人力资源社会保障部办公厅关于开展2023年高校毕业生等青年就业服务攻坚行动的通知》（人社厅发〔2023〕21号）文件，对离校未就业高校毕业生等青年开展</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1311</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服务，服务率达100%，完成2023年寻甸籍高校毕业生就业服务1181人，多渠道帮助就业1111人，就业率94%，管理14862份高校毕业生档案，截至目前转出档案542份，接受档案1403份；在全县集中开展离校未就业高校毕业生等青年就业服务攻坚行动暨直播带岗专项行动3次。落实高校毕业生来昆留昆落户补贴3人3000元，小微企业吸纳高校毕业生一次性就业补贴18人9万元，大学生创业补贴2人6万元，高校毕业生求职创业补贴46人4.6万元，市级大学生创业（场租）补贴2人2万</w:t>
      </w:r>
      <w:r>
        <w:rPr>
          <w:rFonts w:hint="eastAsia" w:ascii="Times New Roman" w:hAnsi="Times New Roman" w:eastAsia="仿宋_GB2312" w:cs="仿宋_GB2312"/>
          <w:b w:val="0"/>
          <w:color w:val="auto"/>
          <w:sz w:val="32"/>
          <w:szCs w:val="32"/>
          <w:lang w:val="en-US" w:eastAsia="zh-CN"/>
        </w:rPr>
        <w:t>元</w:t>
      </w:r>
      <w:r>
        <w:rPr>
          <w:rFonts w:hint="default" w:ascii="Times New Roman" w:hAnsi="Times New Roman" w:eastAsia="仿宋_GB2312" w:cs="仿宋_GB2312"/>
          <w:b w:val="0"/>
          <w:color w:val="auto"/>
          <w:sz w:val="32"/>
          <w:szCs w:val="32"/>
          <w:lang w:val="en-US" w:eastAsia="zh-CN"/>
        </w:rPr>
        <w:t>，高校毕业生一次性基层就业奖补9人4.5万元。借助2023年高校毕业生返乡创业做电商专项行动，举办彩云雁归自主创业做电商创业培训班1期，参加培训35人。举办2023年</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百日千万招聘专项行动</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暨高校毕业生专场招聘会，本次招聘会有圣源复人力资源服务有限公司、中国电信、云乡汇融、中国人寿保险有限公司、昆明洁惠物业有限公司等21家市、县企业参加招聘，结合高校毕业生特点提供就业岗位1000余个，达成就业意向人数95人。</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楷体_GB2312" w:hAnsi="楷体_GB2312" w:eastAsia="楷体_GB2312" w:cs="楷体_GB2312"/>
          <w:b w:val="0"/>
          <w:bCs/>
          <w:color w:val="auto"/>
          <w:kern w:val="2"/>
          <w:sz w:val="32"/>
          <w:szCs w:val="32"/>
          <w:lang w:val="en-US" w:eastAsia="zh-CN" w:bidi="ar-SA"/>
        </w:rPr>
        <w:t>（十）交流学习</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走出去</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，经验方法</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引进来</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w:t>
      </w:r>
      <w:r>
        <w:rPr>
          <w:rFonts w:hint="default" w:ascii="Times New Roman" w:hAnsi="Times New Roman" w:eastAsia="仿宋_GB2312" w:cs="仿宋_GB2312"/>
          <w:b w:val="0"/>
          <w:color w:val="auto"/>
          <w:sz w:val="32"/>
          <w:szCs w:val="32"/>
          <w:lang w:val="en-US" w:eastAsia="zh-CN"/>
        </w:rPr>
        <w:t>为深入贯彻落实省市学习推广浙江</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万千工程</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经验三年行动实施方案及长三角地区与寻甸两地劳务合作协议，组织县财政、县乡村振兴、县农业农村等部门41人赴</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珠三角</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长三角</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开展农村</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三变</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改革、企业用工等方面学习交流1次。</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default" w:ascii="黑体" w:hAnsi="黑体" w:eastAsia="黑体" w:cs="黑体"/>
          <w:b w:val="0"/>
          <w:color w:val="auto"/>
          <w:sz w:val="32"/>
          <w:szCs w:val="32"/>
          <w:lang w:val="en-US" w:eastAsia="zh-CN"/>
        </w:rPr>
      </w:pPr>
      <w:bookmarkStart w:id="10" w:name="_Toc22477"/>
      <w:bookmarkStart w:id="11" w:name="_Toc19175"/>
      <w:bookmarkStart w:id="12" w:name="_Toc12874"/>
      <w:r>
        <w:rPr>
          <w:rFonts w:hint="default" w:ascii="黑体" w:hAnsi="黑体" w:eastAsia="黑体" w:cs="黑体"/>
          <w:b w:val="0"/>
          <w:color w:val="auto"/>
          <w:sz w:val="32"/>
          <w:szCs w:val="32"/>
          <w:lang w:val="en-US" w:eastAsia="zh-CN"/>
        </w:rPr>
        <w:t>三、存在的问题和困难</w:t>
      </w:r>
      <w:bookmarkEnd w:id="10"/>
      <w:bookmarkEnd w:id="11"/>
      <w:bookmarkEnd w:id="12"/>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3"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bCs/>
          <w:color w:val="auto"/>
          <w:sz w:val="32"/>
          <w:szCs w:val="32"/>
          <w:lang w:val="en-US" w:eastAsia="zh-CN"/>
        </w:rPr>
        <w:t>一是</w:t>
      </w:r>
      <w:r>
        <w:rPr>
          <w:rFonts w:hint="default" w:ascii="Times New Roman" w:hAnsi="Times New Roman" w:eastAsia="仿宋_GB2312" w:cs="仿宋_GB2312"/>
          <w:b w:val="0"/>
          <w:color w:val="auto"/>
          <w:sz w:val="32"/>
          <w:szCs w:val="32"/>
          <w:lang w:val="en-US" w:eastAsia="zh-CN"/>
        </w:rPr>
        <w:t>农村劳动力需求培训工种与云南省职业培训目录适配度不高，培训方式不够灵活，难以满足求职者的实际情况，比如新业态形势下的代驾、送外卖无对应工种。</w:t>
      </w:r>
      <w:r>
        <w:rPr>
          <w:rFonts w:hint="default" w:ascii="Times New Roman" w:hAnsi="Times New Roman" w:eastAsia="仿宋_GB2312" w:cs="仿宋_GB2312"/>
          <w:b/>
          <w:bCs/>
          <w:color w:val="auto"/>
          <w:sz w:val="32"/>
          <w:szCs w:val="32"/>
          <w:lang w:val="en-US" w:eastAsia="zh-CN"/>
        </w:rPr>
        <w:t>二是</w:t>
      </w:r>
      <w:r>
        <w:rPr>
          <w:rFonts w:hint="default" w:ascii="Times New Roman" w:hAnsi="Times New Roman" w:eastAsia="仿宋_GB2312" w:cs="仿宋_GB2312"/>
          <w:b w:val="0"/>
          <w:color w:val="auto"/>
          <w:sz w:val="32"/>
          <w:szCs w:val="32"/>
          <w:lang w:val="en-US" w:eastAsia="zh-CN"/>
        </w:rPr>
        <w:t>村级公共就业服务平台能力水平不足，缺少专职工作人员，多是村干部兼任，统计上报数据质量不高。</w:t>
      </w:r>
      <w:r>
        <w:rPr>
          <w:rFonts w:hint="default" w:ascii="Times New Roman" w:hAnsi="Times New Roman" w:eastAsia="仿宋_GB2312" w:cs="仿宋_GB2312"/>
          <w:b/>
          <w:bCs/>
          <w:color w:val="auto"/>
          <w:sz w:val="32"/>
          <w:szCs w:val="32"/>
          <w:lang w:val="en-US" w:eastAsia="zh-CN"/>
        </w:rPr>
        <w:t>三是</w:t>
      </w:r>
      <w:r>
        <w:rPr>
          <w:rFonts w:hint="default" w:ascii="Times New Roman" w:hAnsi="Times New Roman" w:eastAsia="仿宋_GB2312" w:cs="仿宋_GB2312"/>
          <w:b w:val="0"/>
          <w:color w:val="auto"/>
          <w:sz w:val="32"/>
          <w:szCs w:val="32"/>
          <w:lang w:val="en-US" w:eastAsia="zh-CN"/>
        </w:rPr>
        <w:t>部分劳动者依法维权意识不强，缺乏自我保护意识，为了能继续务工而隐瞒用人单位违法行为，投诉者不能提供如劳动合同等重要的材料进行投诉。</w:t>
      </w:r>
      <w:r>
        <w:rPr>
          <w:rFonts w:hint="default" w:ascii="Times New Roman" w:hAnsi="Times New Roman" w:eastAsia="仿宋_GB2312" w:cs="仿宋_GB2312"/>
          <w:b/>
          <w:bCs/>
          <w:color w:val="auto"/>
          <w:sz w:val="32"/>
          <w:szCs w:val="32"/>
          <w:lang w:val="en-US" w:eastAsia="zh-CN"/>
        </w:rPr>
        <w:t>四是</w:t>
      </w:r>
      <w:r>
        <w:rPr>
          <w:rFonts w:hint="default" w:ascii="Times New Roman" w:hAnsi="Times New Roman" w:eastAsia="仿宋_GB2312" w:cs="仿宋_GB2312"/>
          <w:b w:val="0"/>
          <w:color w:val="auto"/>
          <w:sz w:val="32"/>
          <w:szCs w:val="32"/>
          <w:lang w:val="en-US" w:eastAsia="zh-CN"/>
        </w:rPr>
        <w:t>就业难、招工难的矛盾依然突出。省外企业缺工多但工资待遇不高，劳动强度大，人员流动性大，工人招得进，留不住，造成企业招工难，部分劳动力自身素质较低，但就业的期望值过高，导致就业难。</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default" w:ascii="黑体" w:hAnsi="黑体" w:eastAsia="黑体" w:cs="黑体"/>
          <w:b w:val="0"/>
          <w:color w:val="auto"/>
          <w:sz w:val="32"/>
          <w:szCs w:val="32"/>
          <w:lang w:val="en-US" w:eastAsia="zh-CN"/>
        </w:rPr>
      </w:pPr>
      <w:bookmarkStart w:id="13" w:name="_Toc8677"/>
      <w:bookmarkStart w:id="14" w:name="_Toc2434"/>
      <w:bookmarkStart w:id="15" w:name="_Toc27236"/>
      <w:r>
        <w:rPr>
          <w:rFonts w:hint="default" w:ascii="黑体" w:hAnsi="黑体" w:eastAsia="黑体" w:cs="黑体"/>
          <w:b w:val="0"/>
          <w:color w:val="auto"/>
          <w:sz w:val="32"/>
          <w:szCs w:val="32"/>
          <w:lang w:val="en-US" w:eastAsia="zh-CN"/>
        </w:rPr>
        <w:t>四、202</w:t>
      </w:r>
      <w:r>
        <w:rPr>
          <w:rFonts w:hint="eastAsia" w:ascii="黑体" w:hAnsi="黑体" w:eastAsia="黑体" w:cs="黑体"/>
          <w:b w:val="0"/>
          <w:color w:val="auto"/>
          <w:sz w:val="32"/>
          <w:szCs w:val="32"/>
          <w:lang w:val="en-US" w:eastAsia="zh-CN"/>
        </w:rPr>
        <w:t>4</w:t>
      </w:r>
      <w:r>
        <w:rPr>
          <w:rFonts w:hint="default" w:ascii="黑体" w:hAnsi="黑体" w:eastAsia="黑体" w:cs="黑体"/>
          <w:b w:val="0"/>
          <w:color w:val="auto"/>
          <w:sz w:val="32"/>
          <w:szCs w:val="32"/>
          <w:lang w:val="en-US" w:eastAsia="zh-CN"/>
        </w:rPr>
        <w:t>年工作思路</w:t>
      </w:r>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（一）提高组织化程度，加大岗位开发</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加强现有驻上海工作站的建设，加大岗位开发收集力度，针对劳动力密集、条件成熟的村（社区），实时掌握就业意愿，适时推送就业岗位。确保每人推荐岗位不少于3次，每人每次精准投放岗位不少于3个。针对已转移就业人员，每月定时联系，持续关注思想动态、工作状态、家庭情况等，全力做好外出务工人员稳岗工作，让留守者安心、外出务工者放心。</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（二）精准投放岗位，提升岗位匹配度</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逐户分析人员情况、逐条分析岗位信息，切实提升</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劳动力就业意愿同岗位信息</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双向选择的匹配度。针对未转移就业人员，每月开展走访，实时掌握就业意愿，适时推送就业岗位。</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（三）加强动态监测、抓好数据清洗</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督促各乡镇（街道）时刻关注乡镇（街道）务工人员情况变化，持续做好月动态核实、月更新标注工作，更新维护好</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云南省农村劳动力转移就业信息系统</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，切实提升转移就业数据信息的准确率。</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（四）抓好重点群体就业工作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做好高校毕业生就业创业指导，为高校毕业生提供便捷的就业服务，为高校毕业生、农村劳动力推荐岗位。主动服务企业，宣传企业吸纳就业扶持政策，鼓励企业吸纳重点群体就业；主动服务就业困难人员，提供灵活就业社保补贴、岗位推荐、创业贷款优先申请、公益性岗位安置等政策帮扶。</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（五）抓实</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云南人才服务月</w:t>
      </w:r>
      <w:r>
        <w:rPr>
          <w:rFonts w:hint="eastAsia" w:ascii="楷体_GB2312" w:hAnsi="楷体_GB2312" w:eastAsia="楷体_GB2312" w:cs="楷体_GB2312"/>
          <w:b w:val="0"/>
          <w:bCs/>
          <w:color w:val="auto"/>
          <w:kern w:val="2"/>
          <w:sz w:val="32"/>
          <w:szCs w:val="32"/>
          <w:lang w:val="en-US" w:eastAsia="zh-CN" w:bidi="ar-SA"/>
        </w:rPr>
        <w:t>”</w:t>
      </w:r>
      <w:r>
        <w:rPr>
          <w:rFonts w:hint="default" w:ascii="楷体_GB2312" w:hAnsi="楷体_GB2312" w:eastAsia="楷体_GB2312" w:cs="楷体_GB2312"/>
          <w:b w:val="0"/>
          <w:bCs/>
          <w:color w:val="auto"/>
          <w:kern w:val="2"/>
          <w:sz w:val="32"/>
          <w:szCs w:val="32"/>
          <w:lang w:val="en-US" w:eastAsia="zh-CN" w:bidi="ar-SA"/>
        </w:rPr>
        <w:t>各项工作</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eastAsia"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按照上级部门</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五个一百</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系列活动要求，统筹资源，组织开展1场人才引进（招聘）活动，组织1场专家进乡村服务活动，酌情开展1场技师进产业服务活动，适时开展人社干部进企拓岗等服务活动。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jgwMWM5MWY0MWUwNjQ5NTBhZjNkYWQ4MjliYjIifQ=="/>
    <w:docVar w:name="KSO_WPS_MARK_KEY" w:val="3ae492ec-85be-47b7-8194-cfa0fe32340c"/>
  </w:docVars>
  <w:rsids>
    <w:rsidRoot w:val="0BD66077"/>
    <w:rsid w:val="0BD6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2024-05-27T07:07:00Z</dcterms:created>
  <dc:creator>易拉罐</dc:creator>
  <cp:lastModifiedBy>易拉罐</cp:lastModifiedBy>
  <dcterms:modified xsi:type="dcterms:W3CDTF">2024-05-27T07:07:16Z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9BA0232EB7574B51AC952724712B43AA_11</vt:lpwstr>
  </property>
</Properties>
</file>