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Spec="center" w:tblpY="958"/>
        <w:tblOverlap w:val="never"/>
        <w:tblW w:w="10359" w:type="dxa"/>
        <w:jc w:val="center"/>
        <w:shd w:val="clear" w:color="auto" w:fill="auto"/>
        <w:tblLayout w:type="fixed"/>
        <w:tblCellMar>
          <w:top w:w="0" w:type="dxa"/>
          <w:left w:w="0" w:type="dxa"/>
          <w:bottom w:w="0" w:type="dxa"/>
          <w:right w:w="0" w:type="dxa"/>
        </w:tblCellMar>
      </w:tblPr>
      <w:tblGrid>
        <w:gridCol w:w="491"/>
        <w:gridCol w:w="515"/>
        <w:gridCol w:w="872"/>
        <w:gridCol w:w="737"/>
        <w:gridCol w:w="1841"/>
        <w:gridCol w:w="4622"/>
        <w:gridCol w:w="1281"/>
      </w:tblGrid>
      <w:tr>
        <w:tblPrEx>
          <w:shd w:val="clear" w:color="auto" w:fill="auto"/>
          <w:tblCellMar>
            <w:top w:w="0" w:type="dxa"/>
            <w:left w:w="0" w:type="dxa"/>
            <w:bottom w:w="0" w:type="dxa"/>
            <w:right w:w="0" w:type="dxa"/>
          </w:tblCellMar>
        </w:tblPrEx>
        <w:trPr>
          <w:trHeight w:val="375" w:hRule="atLeast"/>
          <w:jc w:val="center"/>
        </w:trPr>
        <w:tc>
          <w:tcPr>
            <w:tcW w:w="10359"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outlineLvl w:val="2"/>
              <w:rPr>
                <w:rFonts w:hint="default" w:ascii="Times New Roman" w:hAnsi="Times New Roman" w:eastAsia="仿宋_GB2312" w:cs="Times New Roman"/>
                <w:b w:val="0"/>
                <w:bCs w:val="0"/>
                <w:color w:val="auto"/>
                <w:sz w:val="32"/>
                <w:szCs w:val="32"/>
                <w:lang w:val="en-US" w:eastAsia="zh-CN"/>
              </w:rPr>
            </w:pPr>
            <w:bookmarkStart w:id="0" w:name="_Toc30052"/>
            <w:bookmarkStart w:id="1" w:name="_Toc31194"/>
            <w:r>
              <w:rPr>
                <w:rFonts w:hint="default" w:ascii="Times New Roman" w:hAnsi="Times New Roman" w:eastAsia="仿宋_GB2312" w:cs="Times New Roman"/>
                <w:b w:val="0"/>
                <w:bCs w:val="0"/>
                <w:color w:val="auto"/>
                <w:sz w:val="32"/>
                <w:szCs w:val="32"/>
                <w:lang w:val="en-US" w:eastAsia="zh-CN"/>
              </w:rPr>
              <w:t>附件3</w:t>
            </w:r>
          </w:p>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2"/>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寻甸回族彝族自治县公共就业和人才服务中心</w:t>
            </w:r>
          </w:p>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2"/>
              <w:rPr>
                <w:rFonts w:hint="default" w:ascii="Times New Roman" w:hAnsi="Times New Roman" w:eastAsia="宋体" w:cs="Times New Roman"/>
                <w:b/>
                <w:i w:val="0"/>
                <w:color w:val="auto"/>
                <w:sz w:val="28"/>
                <w:szCs w:val="28"/>
                <w:u w:val="none"/>
              </w:rPr>
            </w:pPr>
            <w:r>
              <w:rPr>
                <w:rFonts w:hint="eastAsia" w:ascii="方正小标宋简体" w:hAnsi="方正小标宋简体" w:eastAsia="方正小标宋简体" w:cs="方正小标宋简体"/>
                <w:b w:val="0"/>
                <w:bCs w:val="0"/>
                <w:color w:val="auto"/>
                <w:sz w:val="44"/>
                <w:szCs w:val="44"/>
                <w:lang w:val="en-US" w:eastAsia="zh-CN"/>
              </w:rPr>
              <w:t>2023年部门整体支出绩效自评指标体系</w:t>
            </w:r>
            <w:bookmarkEnd w:id="0"/>
            <w:bookmarkEnd w:id="1"/>
          </w:p>
        </w:tc>
      </w:tr>
      <w:tr>
        <w:tblPrEx>
          <w:shd w:val="clear" w:color="auto" w:fill="auto"/>
          <w:tblCellMar>
            <w:top w:w="0" w:type="dxa"/>
            <w:left w:w="0" w:type="dxa"/>
            <w:bottom w:w="0" w:type="dxa"/>
            <w:right w:w="0" w:type="dxa"/>
          </w:tblCellMar>
        </w:tblPrEx>
        <w:trPr>
          <w:trHeight w:val="270" w:hRule="atLeast"/>
          <w:jc w:val="center"/>
        </w:trPr>
        <w:tc>
          <w:tcPr>
            <w:tcW w:w="491"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515"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872"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737"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841"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622"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281"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r>
      <w:tr>
        <w:tblPrEx>
          <w:shd w:val="clear" w:color="auto" w:fill="auto"/>
          <w:tblCellMar>
            <w:top w:w="0" w:type="dxa"/>
            <w:left w:w="0" w:type="dxa"/>
            <w:bottom w:w="0" w:type="dxa"/>
            <w:right w:w="0" w:type="dxa"/>
          </w:tblCellMar>
        </w:tblPrEx>
        <w:trPr>
          <w:trHeight w:val="375" w:hRule="atLeast"/>
          <w:jc w:val="center"/>
        </w:trPr>
        <w:tc>
          <w:tcPr>
            <w:tcW w:w="10359" w:type="dxa"/>
            <w:gridSpan w:val="7"/>
            <w:tcBorders>
              <w:top w:val="nil"/>
              <w:left w:val="nil"/>
              <w:bottom w:val="single" w:color="000000" w:sz="4" w:space="0"/>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default" w:ascii="Times New Roman" w:hAnsi="Times New Roman" w:eastAsia="宋体" w:cs="Times New Roman"/>
                <w:b/>
                <w:i w:val="0"/>
                <w:color w:val="auto"/>
                <w:sz w:val="28"/>
                <w:szCs w:val="28"/>
                <w:u w:val="none"/>
              </w:rPr>
            </w:pPr>
            <w:bookmarkStart w:id="2" w:name="_GoBack"/>
            <w:bookmarkEnd w:id="2"/>
            <w:r>
              <w:rPr>
                <w:rFonts w:hint="default" w:ascii="Times New Roman" w:hAnsi="Times New Roman" w:eastAsia="宋体" w:cs="Times New Roman"/>
                <w:b/>
                <w:i w:val="0"/>
                <w:color w:val="auto"/>
                <w:kern w:val="0"/>
                <w:sz w:val="28"/>
                <w:szCs w:val="28"/>
                <w:u w:val="none"/>
                <w:lang w:val="en-US" w:eastAsia="zh-CN" w:bidi="ar"/>
              </w:rPr>
              <w:t>满分：100分</w:t>
            </w:r>
          </w:p>
        </w:tc>
      </w:tr>
      <w:tr>
        <w:tblPrEx>
          <w:shd w:val="clear" w:color="auto" w:fill="auto"/>
          <w:tblCellMar>
            <w:top w:w="0" w:type="dxa"/>
            <w:left w:w="0" w:type="dxa"/>
            <w:bottom w:w="0" w:type="dxa"/>
            <w:right w:w="0" w:type="dxa"/>
          </w:tblCellMar>
        </w:tblPrEx>
        <w:trPr>
          <w:trHeight w:val="27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b/>
                <w:i w:val="0"/>
                <w:color w:val="auto"/>
                <w:sz w:val="18"/>
                <w:szCs w:val="18"/>
                <w:u w:val="none"/>
              </w:rPr>
            </w:pPr>
            <w:r>
              <w:rPr>
                <w:rFonts w:hint="default" w:ascii="Times New Roman" w:hAnsi="Times New Roman" w:eastAsia="宋体" w:cs="Times New Roman"/>
                <w:b/>
                <w:i w:val="0"/>
                <w:color w:val="auto"/>
                <w:kern w:val="0"/>
                <w:sz w:val="18"/>
                <w:szCs w:val="18"/>
                <w:u w:val="none"/>
                <w:lang w:val="en-US" w:eastAsia="zh-CN" w:bidi="ar"/>
              </w:rPr>
              <w:t>一级指标</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b/>
                <w:i w:val="0"/>
                <w:color w:val="auto"/>
                <w:sz w:val="18"/>
                <w:szCs w:val="18"/>
                <w:u w:val="none"/>
              </w:rPr>
            </w:pPr>
            <w:r>
              <w:rPr>
                <w:rFonts w:hint="default" w:ascii="Times New Roman" w:hAnsi="Times New Roman" w:eastAsia="宋体" w:cs="Times New Roman"/>
                <w:b/>
                <w:i w:val="0"/>
                <w:color w:val="auto"/>
                <w:kern w:val="0"/>
                <w:sz w:val="18"/>
                <w:szCs w:val="18"/>
                <w:u w:val="none"/>
                <w:lang w:val="en-US" w:eastAsia="zh-CN" w:bidi="ar"/>
              </w:rPr>
              <w:t>二级指标</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b/>
                <w:i w:val="0"/>
                <w:color w:val="auto"/>
                <w:sz w:val="18"/>
                <w:szCs w:val="18"/>
                <w:u w:val="none"/>
              </w:rPr>
            </w:pPr>
            <w:r>
              <w:rPr>
                <w:rFonts w:hint="default" w:ascii="Times New Roman" w:hAnsi="Times New Roman" w:eastAsia="宋体" w:cs="Times New Roman"/>
                <w:b/>
                <w:i w:val="0"/>
                <w:color w:val="auto"/>
                <w:kern w:val="0"/>
                <w:sz w:val="18"/>
                <w:szCs w:val="18"/>
                <w:u w:val="none"/>
                <w:lang w:val="en-US" w:eastAsia="zh-CN" w:bidi="ar"/>
              </w:rPr>
              <w:t>三级指标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b/>
                <w:i w:val="0"/>
                <w:color w:val="auto"/>
                <w:sz w:val="18"/>
                <w:szCs w:val="18"/>
                <w:u w:val="none"/>
              </w:rPr>
            </w:pPr>
            <w:r>
              <w:rPr>
                <w:rFonts w:hint="default" w:ascii="Times New Roman" w:hAnsi="Times New Roman" w:eastAsia="宋体" w:cs="Times New Roman"/>
                <w:b/>
                <w:i w:val="0"/>
                <w:color w:val="auto"/>
                <w:kern w:val="0"/>
                <w:sz w:val="18"/>
                <w:szCs w:val="18"/>
                <w:u w:val="none"/>
                <w:lang w:val="en-US" w:eastAsia="zh-CN" w:bidi="ar"/>
              </w:rPr>
              <w:t>得分</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b/>
                <w:i w:val="0"/>
                <w:color w:val="auto"/>
                <w:sz w:val="18"/>
                <w:szCs w:val="18"/>
                <w:u w:val="none"/>
              </w:rPr>
            </w:pPr>
            <w:r>
              <w:rPr>
                <w:rFonts w:hint="default" w:ascii="Times New Roman" w:hAnsi="Times New Roman" w:eastAsia="宋体" w:cs="Times New Roman"/>
                <w:b/>
                <w:i w:val="0"/>
                <w:color w:val="auto"/>
                <w:kern w:val="0"/>
                <w:sz w:val="18"/>
                <w:szCs w:val="18"/>
                <w:u w:val="none"/>
                <w:lang w:val="en-US" w:eastAsia="zh-CN" w:bidi="ar"/>
              </w:rPr>
              <w:t>指标解释</w:t>
            </w: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b/>
                <w:i w:val="0"/>
                <w:color w:val="auto"/>
                <w:sz w:val="18"/>
                <w:szCs w:val="18"/>
                <w:u w:val="none"/>
              </w:rPr>
            </w:pPr>
            <w:r>
              <w:rPr>
                <w:rFonts w:hint="default" w:ascii="Times New Roman" w:hAnsi="Times New Roman" w:eastAsia="宋体" w:cs="Times New Roman"/>
                <w:b/>
                <w:i w:val="0"/>
                <w:color w:val="auto"/>
                <w:kern w:val="0"/>
                <w:sz w:val="18"/>
                <w:szCs w:val="18"/>
                <w:u w:val="none"/>
                <w:lang w:val="en-US" w:eastAsia="zh-CN" w:bidi="ar"/>
              </w:rPr>
              <w:t>指标评分细则</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b/>
                <w:i w:val="0"/>
                <w:color w:val="auto"/>
                <w:sz w:val="18"/>
                <w:szCs w:val="18"/>
                <w:u w:val="none"/>
              </w:rPr>
            </w:pPr>
            <w:r>
              <w:rPr>
                <w:rFonts w:hint="default" w:ascii="Times New Roman" w:hAnsi="Times New Roman" w:eastAsia="宋体" w:cs="Times New Roman"/>
                <w:b/>
                <w:i w:val="0"/>
                <w:color w:val="auto"/>
                <w:kern w:val="0"/>
                <w:sz w:val="18"/>
                <w:szCs w:val="18"/>
                <w:u w:val="none"/>
                <w:lang w:val="en-US" w:eastAsia="zh-CN" w:bidi="ar"/>
              </w:rPr>
              <w:t>数据来源</w:t>
            </w:r>
          </w:p>
        </w:tc>
      </w:tr>
      <w:tr>
        <w:tblPrEx>
          <w:shd w:val="clear" w:color="auto" w:fill="auto"/>
          <w:tblCellMar>
            <w:top w:w="0" w:type="dxa"/>
            <w:left w:w="0" w:type="dxa"/>
            <w:bottom w:w="0" w:type="dxa"/>
            <w:right w:w="0" w:type="dxa"/>
          </w:tblCellMar>
        </w:tblPrEx>
        <w:trPr>
          <w:trHeight w:val="1465"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b/>
                <w:i w:val="0"/>
                <w:color w:val="auto"/>
                <w:sz w:val="18"/>
                <w:szCs w:val="18"/>
                <w:u w:val="none"/>
              </w:rPr>
            </w:pPr>
            <w:r>
              <w:rPr>
                <w:rFonts w:hint="default" w:ascii="Times New Roman" w:hAnsi="Times New Roman" w:eastAsia="宋体" w:cs="Times New Roman"/>
                <w:b/>
                <w:i w:val="0"/>
                <w:color w:val="auto"/>
                <w:kern w:val="0"/>
                <w:sz w:val="18"/>
                <w:szCs w:val="18"/>
                <w:u w:val="none"/>
                <w:lang w:val="en-US" w:eastAsia="zh-CN" w:bidi="ar"/>
              </w:rPr>
              <w:t>A单位决策（35分）</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A1单位目标（12分）</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A11单位中长期规划目标的明确性与合理性（2.0分）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单位（单位）中长期规划目标的设定情况；中长期规划目标应设定明确，应与政府中长期规划目标相适应，且应与单位职能相适应。</w:t>
            </w: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①设定了单位中长期规划目标，得0.5分；②设定的单位中长期规划目标明确，得0.5分；③能够适应中国《</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十三五</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规划》，得0.5分；④能够与单位职能相适应，得0.5分。</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单位中长期规划目标、市政府相关规划、单位</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三定</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方案、单位职能文件。</w:t>
            </w:r>
          </w:p>
        </w:tc>
      </w:tr>
      <w:tr>
        <w:tblPrEx>
          <w:shd w:val="clear" w:color="auto" w:fill="auto"/>
          <w:tblCellMar>
            <w:top w:w="0" w:type="dxa"/>
            <w:left w:w="0" w:type="dxa"/>
            <w:bottom w:w="0" w:type="dxa"/>
            <w:right w:w="0" w:type="dxa"/>
          </w:tblCellMar>
        </w:tblPrEx>
        <w:trPr>
          <w:trHeight w:val="900"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default" w:ascii="Times New Roman" w:hAnsi="Times New Roman" w:eastAsia="宋体" w:cs="Times New Roman"/>
                <w:i w:val="0"/>
                <w:color w:val="auto"/>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A12年度工作目标的明确性与合理性（2分）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单位年度工作目标的设定是否明确合理</w:t>
            </w: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①单位年度工作目标是否明确设定，得1分；②年度工作目标与单位中长期规划目标一致，得1分。</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年度工作目标与单位中长期规划文件</w:t>
            </w:r>
          </w:p>
        </w:tc>
      </w:tr>
      <w:tr>
        <w:tblPrEx>
          <w:shd w:val="clear" w:color="auto" w:fill="auto"/>
          <w:tblCellMar>
            <w:top w:w="0" w:type="dxa"/>
            <w:left w:w="0" w:type="dxa"/>
            <w:bottom w:w="0" w:type="dxa"/>
            <w:right w:w="0" w:type="dxa"/>
          </w:tblCellMar>
        </w:tblPrEx>
        <w:trPr>
          <w:trHeight w:val="1230"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default" w:ascii="Times New Roman" w:hAnsi="Times New Roman" w:eastAsia="宋体" w:cs="Times New Roman"/>
                <w:i w:val="0"/>
                <w:color w:val="auto"/>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A13年度工作计划与年度工作目标的一致性（2分）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单位年度工作计划是否与单位年度工作目标相一致。</w:t>
            </w: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将单位详细工作计划与年度工作目标对应匹配，视匹配情况酌情得0-2分。</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年度工作计划与年度工作目标文件</w:t>
            </w:r>
          </w:p>
        </w:tc>
      </w:tr>
      <w:tr>
        <w:tblPrEx>
          <w:shd w:val="clear" w:color="auto" w:fill="auto"/>
          <w:tblCellMar>
            <w:top w:w="0" w:type="dxa"/>
            <w:left w:w="0" w:type="dxa"/>
            <w:bottom w:w="0" w:type="dxa"/>
            <w:right w:w="0" w:type="dxa"/>
          </w:tblCellMar>
        </w:tblPrEx>
        <w:trPr>
          <w:trHeight w:val="1425"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default" w:ascii="Times New Roman" w:hAnsi="Times New Roman" w:eastAsia="宋体" w:cs="Times New Roman"/>
                <w:i w:val="0"/>
                <w:color w:val="auto"/>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A14绩效目标合理性（3分）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用以反映和考核单位整体绩效目标与单位职能、年度工作目标的一致性。</w:t>
            </w: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①符合单位制定的中长期实施规划计1分；②符合单位</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三定</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方案确定的职责计1分；③与单位年度工作目标、任务相一致计1分。</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单位中长期规划、单位</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三定</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方案、年度重点工作任务与工作计划</w:t>
            </w:r>
          </w:p>
        </w:tc>
      </w:tr>
      <w:tr>
        <w:tblPrEx>
          <w:shd w:val="clear" w:color="auto" w:fill="auto"/>
          <w:tblCellMar>
            <w:top w:w="0" w:type="dxa"/>
            <w:left w:w="0" w:type="dxa"/>
            <w:bottom w:w="0" w:type="dxa"/>
            <w:right w:w="0" w:type="dxa"/>
          </w:tblCellMar>
        </w:tblPrEx>
        <w:trPr>
          <w:trHeight w:val="1425"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default" w:ascii="Times New Roman" w:hAnsi="Times New Roman" w:eastAsia="宋体" w:cs="Times New Roman"/>
                <w:i w:val="0"/>
                <w:color w:val="auto"/>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A15绩效指标明确性（3分）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整体绩效目标所设定的绩效指标是否依据单位工作目标和工作任务进行细化、量化，绩效指标是否可衡量。</w:t>
            </w: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①将单位整体的绩效目标细化分解为具体的工作任务计1分；②通过清晰、可衡量的指标值予以体现计0.5分。③与单位年度的任务数或计划数相对应计0.5分；④与本年度单位预算资金相匹配计1分。</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单位年度重点工作任务与工作计划。</w:t>
            </w:r>
          </w:p>
        </w:tc>
      </w:tr>
      <w:tr>
        <w:tblPrEx>
          <w:shd w:val="clear" w:color="auto" w:fill="auto"/>
          <w:tblCellMar>
            <w:top w:w="0" w:type="dxa"/>
            <w:left w:w="0" w:type="dxa"/>
            <w:bottom w:w="0" w:type="dxa"/>
            <w:right w:w="0" w:type="dxa"/>
          </w:tblCellMar>
        </w:tblPrEx>
        <w:trPr>
          <w:trHeight w:val="1080"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A2单位职能（10分）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A21单位职能的明确性与科学性（1分）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考察单位职能界定是否明确科学，是否有相关文件。</w:t>
            </w: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①职能明确、设定依据充分，得1分；②有</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三定</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文件，但职能描述不明确，得0.5分</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③没有职能设定的文件依据且职能不清，得0分</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单位职能描述、</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三定</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文件</w:t>
            </w:r>
          </w:p>
        </w:tc>
      </w:tr>
      <w:tr>
        <w:tblPrEx>
          <w:shd w:val="clear" w:color="auto" w:fill="auto"/>
          <w:tblCellMar>
            <w:top w:w="0" w:type="dxa"/>
            <w:left w:w="0" w:type="dxa"/>
            <w:bottom w:w="0" w:type="dxa"/>
            <w:right w:w="0" w:type="dxa"/>
          </w:tblCellMar>
        </w:tblPrEx>
        <w:trPr>
          <w:trHeight w:val="900"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auto"/>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A22年度工作目标与单位职能的适应性（4分）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rPr>
            </w:pPr>
            <w:r>
              <w:rPr>
                <w:rFonts w:hint="eastAsia" w:ascii="Times New Roman" w:hAnsi="Times New Roman" w:eastAsia="宋体" w:cs="Times New Roman"/>
                <w:i w:val="0"/>
                <w:color w:val="auto"/>
                <w:kern w:val="0"/>
                <w:sz w:val="18"/>
                <w:szCs w:val="18"/>
                <w:u w:val="none"/>
                <w:lang w:val="en-US" w:eastAsia="zh-CN" w:bidi="ar"/>
              </w:rPr>
              <w:t>4</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单位所设定的具体目标是否与单位职能相适应。</w:t>
            </w: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将单位详细工作目标与单位职能对应匹配，视匹配情况酌情得</w:t>
            </w:r>
            <w:r>
              <w:rPr>
                <w:rFonts w:hint="eastAsia" w:ascii="Times New Roman" w:hAnsi="Times New Roman" w:eastAsia="宋体" w:cs="Times New Roman"/>
                <w:i w:val="0"/>
                <w:color w:val="auto"/>
                <w:kern w:val="0"/>
                <w:sz w:val="18"/>
                <w:szCs w:val="18"/>
                <w:u w:val="none"/>
                <w:lang w:val="en-US" w:eastAsia="zh-CN" w:bidi="ar"/>
              </w:rPr>
              <w:t>0—</w:t>
            </w:r>
            <w:r>
              <w:rPr>
                <w:rFonts w:hint="default" w:ascii="Times New Roman" w:hAnsi="Times New Roman" w:eastAsia="宋体" w:cs="Times New Roman"/>
                <w:i w:val="0"/>
                <w:color w:val="auto"/>
                <w:kern w:val="0"/>
                <w:sz w:val="18"/>
                <w:szCs w:val="18"/>
                <w:u w:val="none"/>
                <w:lang w:val="en-US" w:eastAsia="zh-CN" w:bidi="ar"/>
              </w:rPr>
              <w:t>4分。</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单位年度工作目标、单位职能</w:t>
            </w:r>
          </w:p>
        </w:tc>
      </w:tr>
      <w:tr>
        <w:tblPrEx>
          <w:shd w:val="clear" w:color="auto" w:fill="auto"/>
          <w:tblCellMar>
            <w:top w:w="0" w:type="dxa"/>
            <w:left w:w="0" w:type="dxa"/>
            <w:bottom w:w="0" w:type="dxa"/>
            <w:right w:w="0" w:type="dxa"/>
          </w:tblCellMar>
        </w:tblPrEx>
        <w:trPr>
          <w:trHeight w:val="900"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auto"/>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A23年度具体工作与单位职能的匹配性（4分）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lang w:val="en-US"/>
              </w:rPr>
            </w:pPr>
            <w:r>
              <w:rPr>
                <w:rFonts w:hint="eastAsia" w:ascii="Times New Roman" w:hAnsi="Times New Roman" w:eastAsia="宋体" w:cs="Times New Roman"/>
                <w:i w:val="0"/>
                <w:color w:val="auto"/>
                <w:kern w:val="0"/>
                <w:sz w:val="18"/>
                <w:szCs w:val="18"/>
                <w:u w:val="none"/>
                <w:lang w:val="en-US" w:eastAsia="zh-CN" w:bidi="ar"/>
              </w:rPr>
              <w:t>4</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单位年度各类具体工作是否与单位职能相匹配。</w:t>
            </w: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将单位年度具体工作与单位职能对应匹配，视匹配情况酌情得</w:t>
            </w:r>
            <w:r>
              <w:rPr>
                <w:rFonts w:hint="eastAsia" w:ascii="Times New Roman" w:hAnsi="Times New Roman" w:eastAsia="宋体" w:cs="Times New Roman"/>
                <w:i w:val="0"/>
                <w:color w:val="auto"/>
                <w:kern w:val="0"/>
                <w:sz w:val="18"/>
                <w:szCs w:val="18"/>
                <w:u w:val="none"/>
                <w:lang w:val="en-US" w:eastAsia="zh-CN" w:bidi="ar"/>
              </w:rPr>
              <w:t>0—</w:t>
            </w:r>
            <w:r>
              <w:rPr>
                <w:rFonts w:hint="default" w:ascii="Times New Roman" w:hAnsi="Times New Roman" w:eastAsia="宋体" w:cs="Times New Roman"/>
                <w:i w:val="0"/>
                <w:color w:val="auto"/>
                <w:kern w:val="0"/>
                <w:sz w:val="18"/>
                <w:szCs w:val="18"/>
                <w:u w:val="none"/>
                <w:lang w:val="en-US" w:eastAsia="zh-CN" w:bidi="ar"/>
              </w:rPr>
              <w:t>4分。</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单位年度各项具体工作，单位职能</w:t>
            </w:r>
          </w:p>
        </w:tc>
      </w:tr>
      <w:tr>
        <w:tblPrEx>
          <w:shd w:val="clear" w:color="auto" w:fill="auto"/>
          <w:tblCellMar>
            <w:top w:w="0" w:type="dxa"/>
            <w:left w:w="0" w:type="dxa"/>
            <w:bottom w:w="0" w:type="dxa"/>
            <w:right w:w="0" w:type="dxa"/>
          </w:tblCellMar>
        </w:tblPrEx>
        <w:trPr>
          <w:trHeight w:val="1125"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auto"/>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A24单位内设科室及下属单位职责的明确性（1分）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单位内设科室及下属单位具体职责是否明确</w:t>
            </w: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①有职责文件制度规定单位各科室及下属单位具体职责，得0.5分；②具体职责明确，得0.5分。</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内设科室及下属单位职责文件</w:t>
            </w:r>
          </w:p>
        </w:tc>
      </w:tr>
      <w:tr>
        <w:tblPrEx>
          <w:shd w:val="clear" w:color="auto" w:fill="auto"/>
          <w:tblCellMar>
            <w:top w:w="0" w:type="dxa"/>
            <w:left w:w="0" w:type="dxa"/>
            <w:bottom w:w="0" w:type="dxa"/>
            <w:right w:w="0" w:type="dxa"/>
          </w:tblCellMar>
        </w:tblPrEx>
        <w:trPr>
          <w:trHeight w:val="900"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A3资源配置（13分）</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A31基本支出预算合理性（2分）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用以反映单位年度基本支出预算是否根据人员经费、公用经费标准进行合理编制。</w:t>
            </w: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①如实核定人员基数，得1分；②根据基本预算标准进行编制，得1分。</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单位基本支出预算标准、基本支出预算</w:t>
            </w:r>
          </w:p>
        </w:tc>
      </w:tr>
      <w:tr>
        <w:tblPrEx>
          <w:shd w:val="clear" w:color="auto" w:fill="auto"/>
          <w:tblCellMar>
            <w:top w:w="0" w:type="dxa"/>
            <w:left w:w="0" w:type="dxa"/>
            <w:bottom w:w="0" w:type="dxa"/>
            <w:right w:w="0" w:type="dxa"/>
          </w:tblCellMar>
        </w:tblPrEx>
        <w:trPr>
          <w:trHeight w:val="1350"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auto"/>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A32项目支出预算合理性（4分）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用以反映单位年度项目支出预算程序、预算依据、适用范围的合理性。</w:t>
            </w: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①预算程序合理，得1分；②预算依据充分，得2分；③符合资金使用范围，得1分。</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单位项目支出预算编制详细资料，访谈、文件梳理等、其他资料</w:t>
            </w:r>
          </w:p>
        </w:tc>
      </w:tr>
      <w:tr>
        <w:tblPrEx>
          <w:shd w:val="clear" w:color="auto" w:fill="auto"/>
          <w:tblCellMar>
            <w:top w:w="0" w:type="dxa"/>
            <w:left w:w="0" w:type="dxa"/>
            <w:bottom w:w="0" w:type="dxa"/>
            <w:right w:w="0" w:type="dxa"/>
          </w:tblCellMar>
        </w:tblPrEx>
        <w:trPr>
          <w:trHeight w:val="675"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auto"/>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A33人力资源投入合理性（2分）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auto"/>
                <w:sz w:val="18"/>
                <w:szCs w:val="18"/>
                <w:u w:val="none"/>
                <w:lang w:val="en-US" w:eastAsia="zh-CN"/>
              </w:rPr>
            </w:pPr>
            <w:r>
              <w:rPr>
                <w:rFonts w:hint="eastAsia" w:ascii="Times New Roman" w:hAnsi="Times New Roman" w:eastAsia="宋体" w:cs="Times New Roman"/>
                <w:i w:val="0"/>
                <w:color w:val="auto"/>
                <w:sz w:val="18"/>
                <w:szCs w:val="18"/>
                <w:u w:val="none"/>
                <w:lang w:val="en-US" w:eastAsia="zh-CN"/>
              </w:rPr>
              <w:t>2</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用以反映单位核定人员的编制与单位工作内容的合理性</w:t>
            </w: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通过问卷及访谈调研,分析人员的工作量和工作时长，视匹配情况得2分。</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人员编制文件、调研</w:t>
            </w:r>
          </w:p>
        </w:tc>
      </w:tr>
      <w:tr>
        <w:tblPrEx>
          <w:shd w:val="clear" w:color="auto" w:fill="auto"/>
          <w:tblCellMar>
            <w:top w:w="0" w:type="dxa"/>
            <w:left w:w="0" w:type="dxa"/>
            <w:bottom w:w="0" w:type="dxa"/>
            <w:right w:w="0" w:type="dxa"/>
          </w:tblCellMar>
        </w:tblPrEx>
        <w:trPr>
          <w:trHeight w:val="900"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auto"/>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A34办公资源投入合理性（2分）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用以反映单位现有办公资源能否满足单位日常工作需求。</w:t>
            </w: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①办公资源经费保障充足，得1分；②办公资源配置合理，得1分。</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单位办公资源配置情况、调研等资料</w:t>
            </w:r>
          </w:p>
        </w:tc>
      </w:tr>
      <w:tr>
        <w:tblPrEx>
          <w:shd w:val="clear" w:color="auto" w:fill="auto"/>
          <w:tblCellMar>
            <w:top w:w="0" w:type="dxa"/>
            <w:left w:w="0" w:type="dxa"/>
            <w:bottom w:w="0" w:type="dxa"/>
            <w:right w:w="0" w:type="dxa"/>
          </w:tblCellMar>
        </w:tblPrEx>
        <w:trPr>
          <w:trHeight w:val="1680"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auto"/>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A35重点项目资源分配合理性（3分）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单位本年度预算安排的重点项目支出与单位项目总支出的比率，用以反映和考核单位对履行主要职责或完成重点任务的保障程度。</w:t>
            </w: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根据重点项目资源分配，对重点项目完成实施的保障程度进行评分。能够保障重点项目顺利实施、全面完成当年工作目标任务的得满分，每有一项重点项目因资金不足无法完成，则权重（3分）的1/3扣分，扣完为止。</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重点项目相关资料</w:t>
            </w:r>
          </w:p>
        </w:tc>
      </w:tr>
      <w:tr>
        <w:tblPrEx>
          <w:shd w:val="clear" w:color="auto" w:fill="auto"/>
          <w:tblCellMar>
            <w:top w:w="0" w:type="dxa"/>
            <w:left w:w="0" w:type="dxa"/>
            <w:bottom w:w="0" w:type="dxa"/>
            <w:right w:w="0" w:type="dxa"/>
          </w:tblCellMar>
        </w:tblPrEx>
        <w:trPr>
          <w:trHeight w:val="1635"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b/>
                <w:i w:val="0"/>
                <w:color w:val="auto"/>
                <w:sz w:val="18"/>
                <w:szCs w:val="18"/>
                <w:u w:val="none"/>
              </w:rPr>
            </w:pPr>
            <w:r>
              <w:rPr>
                <w:rFonts w:hint="default" w:ascii="Times New Roman" w:hAnsi="Times New Roman" w:eastAsia="宋体" w:cs="Times New Roman"/>
                <w:b/>
                <w:i w:val="0"/>
                <w:color w:val="auto"/>
                <w:kern w:val="0"/>
                <w:sz w:val="18"/>
                <w:szCs w:val="18"/>
                <w:u w:val="none"/>
                <w:lang w:val="en-US" w:eastAsia="zh-CN" w:bidi="ar"/>
              </w:rPr>
              <w:t>B单位管理（20分）</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B1预算管理（7分）</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B11基本支出预算执行率（1分）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单位基本支出本年度决算数与预算数的比率，用以反映和考核单位（单位）基本支出预算执行程度。</w:t>
            </w: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预算执行率=单位基本支出决算/单位基本支出预算×100%。决算数：单位本年度基本支出实际支出资金数。预算数：财政单位批复的本年度单位基本支出预算数以及当年批复的调整数。预算完成率≥95%得满分，未达到的按权重进行扣分。</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基本支出预算批复，预算调整批复、预算编制等其他资料</w:t>
            </w:r>
          </w:p>
        </w:tc>
      </w:tr>
      <w:tr>
        <w:tblPrEx>
          <w:shd w:val="clear" w:color="auto" w:fill="auto"/>
          <w:tblCellMar>
            <w:top w:w="0" w:type="dxa"/>
            <w:left w:w="0" w:type="dxa"/>
            <w:bottom w:w="0" w:type="dxa"/>
            <w:right w:w="0" w:type="dxa"/>
          </w:tblCellMar>
        </w:tblPrEx>
        <w:trPr>
          <w:trHeight w:val="1800"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auto"/>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B12项目支出预算执行率（4分）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单位项目支出本年度决算数与预算数的比率，用以反映和考核单位项目支出预算执行程度。</w:t>
            </w: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预算执行率=单位项目支出决算/单位项目支出预算×100%。决算数：单位（单位）本年度项目支出实际支出资金数。预算数：财政单位批复的本年度单位（单位）项目支出预算数以及当年批复的调整数。预算完成率≥95%得满分，未到按权重进行扣分。</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项目支出预算批复，预算调整批复、预算编制等其他资料</w:t>
            </w:r>
          </w:p>
        </w:tc>
      </w:tr>
      <w:tr>
        <w:tblPrEx>
          <w:shd w:val="clear" w:color="auto" w:fill="auto"/>
          <w:tblCellMar>
            <w:top w:w="0" w:type="dxa"/>
            <w:left w:w="0" w:type="dxa"/>
            <w:bottom w:w="0" w:type="dxa"/>
            <w:right w:w="0" w:type="dxa"/>
          </w:tblCellMar>
        </w:tblPrEx>
        <w:trPr>
          <w:trHeight w:val="1800"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auto"/>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B13</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三公经费</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控制率（1分）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单位本年度</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三公</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经费预算数与上年度</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三公</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经费预算数的变动比率，用以反映和考核单位（单位）对控制行政成本的努力程度。</w:t>
            </w: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三公</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经费控制率=（本年度</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三公</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经费总额/上年度</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三公</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经费总额）×100%。</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三公</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经费：年度预算安排的因公出国（境）费、公务用车购置及运行费和公务接待费。三公经费控制率≤100%得满分，≥120%得0分，区间内按权重进行扣分。</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三公经费使用情况</w:t>
            </w:r>
          </w:p>
        </w:tc>
      </w:tr>
      <w:tr>
        <w:tblPrEx>
          <w:shd w:val="clear" w:color="auto" w:fill="auto"/>
          <w:tblCellMar>
            <w:top w:w="0" w:type="dxa"/>
            <w:left w:w="0" w:type="dxa"/>
            <w:bottom w:w="0" w:type="dxa"/>
            <w:right w:w="0" w:type="dxa"/>
          </w:tblCellMar>
        </w:tblPrEx>
        <w:trPr>
          <w:trHeight w:val="855"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auto"/>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B14预算调整情况（1分）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用以反映预算单位是否根据年中预算实际执行情况及时合规进行预算调整。</w:t>
            </w: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①根据年中预算执行情况及时申请预算调整，得0.5分；②按规定程序进行预算调整，得0.5分</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预算调整相关资料</w:t>
            </w:r>
          </w:p>
        </w:tc>
      </w:tr>
      <w:tr>
        <w:tblPrEx>
          <w:shd w:val="clear" w:color="auto" w:fill="auto"/>
          <w:tblCellMar>
            <w:top w:w="0" w:type="dxa"/>
            <w:left w:w="0" w:type="dxa"/>
            <w:bottom w:w="0" w:type="dxa"/>
            <w:right w:w="0" w:type="dxa"/>
          </w:tblCellMar>
        </w:tblPrEx>
        <w:trPr>
          <w:trHeight w:val="1680"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B2财务管理（6分）</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B21财务管理制度健全性及执行情况（1分）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单位为加强预算管理、规范财务行为而制定的财务管理制度是否健全完整。用以反映和考核单位预算管理制度对完成主要职责或促进事业发展的保障情况。</w:t>
            </w: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①是否已制定预算资金管理办法、内部财务管理制度、会计核算制度等管理制度；②相关管理制度是否合法、合规、完整；③相关管理制度是否得到有效执行。</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财务管理相关制度及执行情况调研</w:t>
            </w:r>
          </w:p>
        </w:tc>
      </w:tr>
      <w:tr>
        <w:tblPrEx>
          <w:shd w:val="clear" w:color="auto" w:fill="auto"/>
          <w:tblCellMar>
            <w:top w:w="0" w:type="dxa"/>
            <w:left w:w="0" w:type="dxa"/>
            <w:bottom w:w="0" w:type="dxa"/>
            <w:right w:w="0" w:type="dxa"/>
          </w:tblCellMar>
        </w:tblPrEx>
        <w:trPr>
          <w:trHeight w:val="2205"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auto"/>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B22资金使用合规性（4分）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单位使用预算资金是否符合相关财务管理制度的规定，用以反映和考核单位预算资金的规范运行情况。</w:t>
            </w: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①符合国家财经法规和财务管理制度规定以及有关专项资金管理办法的规定,1分；②资金的拨付有完整的审批程序和手续，1分；③项目的重大开支经过专题论证，1分；④符合单位预算批复的用途，1分；⑤是否存在截留、挤占、挪用、虚列支出等情况，一旦存在该指标不得分。</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资金支出相关凭证、流程梳理等</w:t>
            </w:r>
          </w:p>
        </w:tc>
      </w:tr>
      <w:tr>
        <w:tblPrEx>
          <w:shd w:val="clear" w:color="auto" w:fill="auto"/>
          <w:tblCellMar>
            <w:top w:w="0" w:type="dxa"/>
            <w:left w:w="0" w:type="dxa"/>
            <w:bottom w:w="0" w:type="dxa"/>
            <w:right w:w="0" w:type="dxa"/>
          </w:tblCellMar>
        </w:tblPrEx>
        <w:trPr>
          <w:trHeight w:val="1125"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auto"/>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B23财务监控的有效性（1分）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用以反映单位财务监控监督工作的有效性，包括监控、监督措施的制定及执行等方面。</w:t>
            </w: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①制定明确的财务监控监督措施，得0.5分；②监控、监督措施执行有效，得0.5分；</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财务监控监督相关办法及条款，实际执行情况资料</w:t>
            </w:r>
          </w:p>
        </w:tc>
      </w:tr>
      <w:tr>
        <w:tblPrEx>
          <w:shd w:val="clear" w:color="auto" w:fill="auto"/>
          <w:tblCellMar>
            <w:top w:w="0" w:type="dxa"/>
            <w:left w:w="0" w:type="dxa"/>
            <w:bottom w:w="0" w:type="dxa"/>
            <w:right w:w="0" w:type="dxa"/>
          </w:tblCellMar>
        </w:tblPrEx>
        <w:trPr>
          <w:trHeight w:val="1575"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B3人力资源管理（2分）</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B31在职人员控制率（1分）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单位本年度实际在职人员数与编制数的比率，用以反映和考核单位对人员成本的控制程度。</w:t>
            </w: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在职人员控制率=（在职人员数/编制数）×100%。在职人员数：单位（单位）实际在职人数，以财政单位确定的单位决算编制口径为准。编制数：机构编制单位核定批复的单位人员编制数。在职人员控制率≤100%得满分，有超出不得分。</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单位编制数、在职人数、年内变化情况</w:t>
            </w:r>
          </w:p>
        </w:tc>
      </w:tr>
      <w:tr>
        <w:tblPrEx>
          <w:shd w:val="clear" w:color="auto" w:fill="auto"/>
          <w:tblCellMar>
            <w:top w:w="0" w:type="dxa"/>
            <w:left w:w="0" w:type="dxa"/>
            <w:bottom w:w="0" w:type="dxa"/>
            <w:right w:w="0" w:type="dxa"/>
          </w:tblCellMar>
        </w:tblPrEx>
        <w:trPr>
          <w:trHeight w:val="1245"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auto"/>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B32人力资源管理执行情况（1分）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考察单位人力资源管理的健全性及执行规范性，包括在编、派遣、临时员工的管理，包括招聘、培训、工资发放及考核等。</w:t>
            </w: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①有具体的人力资源管理制度文件或参照文件，得0.5分；②严格按照相关文件对各类型人员进行管理和考核，得0.5分</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人力资源管理相关文件及实施情况</w:t>
            </w:r>
          </w:p>
        </w:tc>
      </w:tr>
      <w:tr>
        <w:tblPrEx>
          <w:shd w:val="clear" w:color="auto" w:fill="auto"/>
          <w:tblCellMar>
            <w:top w:w="0" w:type="dxa"/>
            <w:left w:w="0" w:type="dxa"/>
            <w:bottom w:w="0" w:type="dxa"/>
            <w:right w:w="0" w:type="dxa"/>
          </w:tblCellMar>
        </w:tblPrEx>
        <w:trPr>
          <w:trHeight w:val="1665"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B4资产管理（2分）</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B41资产管理制度健全性及执行情况（1分）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单位为加强资产管理、规范资产使用而制定的资产管理制度是否健全完整，用以反映和考核单位资产管理制度对完成主要职责或促进事业发展的保障情况。</w:t>
            </w: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①是否已制定或具有固定资产管理办法、资产使用办法等管理制度，得0.25分；②相关管理制度是否合法、合规、完整，得0.25分；③相关管理制度是否得到有效执行，得0.5分。</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资产管理相关办法</w:t>
            </w:r>
          </w:p>
        </w:tc>
      </w:tr>
      <w:tr>
        <w:tblPrEx>
          <w:shd w:val="clear" w:color="auto" w:fill="auto"/>
          <w:tblCellMar>
            <w:top w:w="0" w:type="dxa"/>
            <w:left w:w="0" w:type="dxa"/>
            <w:bottom w:w="0" w:type="dxa"/>
            <w:right w:w="0" w:type="dxa"/>
          </w:tblCellMar>
        </w:tblPrEx>
        <w:trPr>
          <w:trHeight w:val="1260"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auto"/>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B42固定资产在用率（1分）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单位实际在用固定资产总额与所有固定资产总额的比率，用以反映和考核单位固定资产使用效率及程度。</w:t>
            </w: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固定资产在用率=（实际在用固定资产总额/所有固定资产总额）×100%。固定资产在用率达到95%以上得满分.每降低1%扣权重分（1分）5%，扣完为止。</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固定资产卡片、固定资产使用信息等</w:t>
            </w:r>
          </w:p>
        </w:tc>
      </w:tr>
      <w:tr>
        <w:tblPrEx>
          <w:shd w:val="clear" w:color="auto" w:fill="auto"/>
          <w:tblCellMar>
            <w:top w:w="0" w:type="dxa"/>
            <w:left w:w="0" w:type="dxa"/>
            <w:bottom w:w="0" w:type="dxa"/>
            <w:right w:w="0" w:type="dxa"/>
          </w:tblCellMar>
        </w:tblPrEx>
        <w:trPr>
          <w:trHeight w:val="1425"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B5业务管理（3分）</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B51业务管理制度健全性及执行情况（1分）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单位为加强业务管理、规范业务执行而制定的管理制度是否健全完整，用以反映和考核单位业务管理制度对完成主要职责或促进事业发展的保障情况。</w:t>
            </w: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①已制定或具有业务管理、项目管理等管理制度，得0.25分；②相关管理制度合法、合规、完整，得0.25分；③相关管理制度得到有效执行，得0.5分。</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业务管理相关办法及执行情况资料</w:t>
            </w:r>
          </w:p>
        </w:tc>
      </w:tr>
      <w:tr>
        <w:tblPrEx>
          <w:shd w:val="clear" w:color="auto" w:fill="auto"/>
          <w:tblCellMar>
            <w:top w:w="0" w:type="dxa"/>
            <w:left w:w="0" w:type="dxa"/>
            <w:bottom w:w="0" w:type="dxa"/>
            <w:right w:w="0" w:type="dxa"/>
          </w:tblCellMar>
        </w:tblPrEx>
        <w:trPr>
          <w:trHeight w:val="795"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auto"/>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B52政府采购规范性（1分）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考察政府采购项目的采购程序、采购方式的规范性</w:t>
            </w: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①政府采购方式、程序都规范，得满分；②采购方式、程序中每有一点不规范，扣0.5分，扣完为止。</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政府采购相关资料</w:t>
            </w:r>
          </w:p>
        </w:tc>
      </w:tr>
      <w:tr>
        <w:tblPrEx>
          <w:shd w:val="clear" w:color="auto" w:fill="auto"/>
          <w:tblCellMar>
            <w:top w:w="0" w:type="dxa"/>
            <w:left w:w="0" w:type="dxa"/>
            <w:bottom w:w="0" w:type="dxa"/>
            <w:right w:w="0" w:type="dxa"/>
          </w:tblCellMar>
        </w:tblPrEx>
        <w:trPr>
          <w:trHeight w:val="795"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auto"/>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B53监督考核情况（1分）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考察单位是否对各所属单位或项目实施主体进行工作监督和定期考核。</w:t>
            </w: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有定期指导记录、考核结果，得1分，缺少项按权重进行扣分。</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监督考核记录等</w:t>
            </w:r>
          </w:p>
        </w:tc>
      </w:tr>
      <w:tr>
        <w:tblPrEx>
          <w:shd w:val="clear" w:color="auto" w:fill="auto"/>
          <w:tblCellMar>
            <w:top w:w="0" w:type="dxa"/>
            <w:left w:w="0" w:type="dxa"/>
            <w:bottom w:w="0" w:type="dxa"/>
            <w:right w:w="0" w:type="dxa"/>
          </w:tblCellMar>
        </w:tblPrEx>
        <w:trPr>
          <w:trHeight w:val="920"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b/>
                <w:i w:val="0"/>
                <w:color w:val="auto"/>
                <w:sz w:val="18"/>
                <w:szCs w:val="18"/>
                <w:u w:val="none"/>
              </w:rPr>
            </w:pPr>
            <w:r>
              <w:rPr>
                <w:rFonts w:hint="default" w:ascii="Times New Roman" w:hAnsi="Times New Roman" w:eastAsia="宋体" w:cs="Times New Roman"/>
                <w:b/>
                <w:i w:val="0"/>
                <w:color w:val="auto"/>
                <w:kern w:val="0"/>
                <w:sz w:val="18"/>
                <w:szCs w:val="18"/>
                <w:u w:val="none"/>
                <w:lang w:val="en-US" w:eastAsia="zh-CN" w:bidi="ar"/>
              </w:rPr>
              <w:t>C单位绩效（45分）</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C1单位产出（24分）（说明：该指标主要反映单位（单位）重点工作任务的完成情况。</w:t>
            </w:r>
          </w:p>
        </w:tc>
        <w:tc>
          <w:tcPr>
            <w:tcW w:w="8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C11提供有效就业岗位完成率（4分）</w:t>
            </w:r>
          </w:p>
        </w:tc>
        <w:tc>
          <w:tcPr>
            <w:tcW w:w="7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w:t>
            </w:r>
          </w:p>
        </w:tc>
        <w:tc>
          <w:tcPr>
            <w:tcW w:w="18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考察提供有效就业岗位工作完成情况。</w:t>
            </w:r>
          </w:p>
        </w:tc>
        <w:tc>
          <w:tcPr>
            <w:tcW w:w="46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①完成率=本年实际提供岗位）/本年计划提供岗位。②完成率100%，得4分；95-99%，得3分；95%以下酌情扣分。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促进就业科统计</w:t>
            </w:r>
          </w:p>
        </w:tc>
      </w:tr>
      <w:tr>
        <w:tblPrEx>
          <w:shd w:val="clear" w:color="auto" w:fill="auto"/>
          <w:tblCellMar>
            <w:top w:w="0" w:type="dxa"/>
            <w:left w:w="0" w:type="dxa"/>
            <w:bottom w:w="0" w:type="dxa"/>
            <w:right w:w="0" w:type="dxa"/>
          </w:tblCellMar>
        </w:tblPrEx>
        <w:trPr>
          <w:trHeight w:val="840"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both"/>
              <w:rPr>
                <w:rFonts w:hint="default" w:ascii="Times New Roman" w:hAnsi="Times New Roman" w:eastAsia="宋体" w:cs="Times New Roman"/>
                <w:i w:val="0"/>
                <w:color w:val="auto"/>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C12新增城镇就业人数完成率（4分）</w:t>
            </w:r>
          </w:p>
        </w:tc>
        <w:tc>
          <w:tcPr>
            <w:tcW w:w="7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w:t>
            </w:r>
          </w:p>
        </w:tc>
        <w:tc>
          <w:tcPr>
            <w:tcW w:w="18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考察新增城镇就业人数完成情况。</w:t>
            </w:r>
          </w:p>
        </w:tc>
        <w:tc>
          <w:tcPr>
            <w:tcW w:w="46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①完成率=本年新增城镇就业人数）/本年计划城镇下岗失业人员再就业人数。②完成率100%，得4分；95-99%，得3分；95%以下酌情扣分。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促进就业科统计</w:t>
            </w:r>
          </w:p>
        </w:tc>
      </w:tr>
      <w:tr>
        <w:tblPrEx>
          <w:shd w:val="clear" w:color="auto" w:fill="auto"/>
          <w:tblCellMar>
            <w:top w:w="0" w:type="dxa"/>
            <w:left w:w="0" w:type="dxa"/>
            <w:bottom w:w="0" w:type="dxa"/>
            <w:right w:w="0" w:type="dxa"/>
          </w:tblCellMar>
        </w:tblPrEx>
        <w:trPr>
          <w:trHeight w:val="1125"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both"/>
              <w:rPr>
                <w:rFonts w:hint="default" w:ascii="Times New Roman" w:hAnsi="Times New Roman" w:eastAsia="宋体" w:cs="Times New Roman"/>
                <w:i w:val="0"/>
                <w:color w:val="auto"/>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C13城镇下岗失业人员再就业完成率（4分）</w:t>
            </w:r>
          </w:p>
        </w:tc>
        <w:tc>
          <w:tcPr>
            <w:tcW w:w="7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w:t>
            </w:r>
          </w:p>
        </w:tc>
        <w:tc>
          <w:tcPr>
            <w:tcW w:w="18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考察城镇下岗失业人员再就业工作完成情况。</w:t>
            </w:r>
          </w:p>
        </w:tc>
        <w:tc>
          <w:tcPr>
            <w:tcW w:w="46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①完成率=本年实际城镇下岗失业人员再就业人数/本年计划城镇下岗失业人员再就业人数。②完成率100%，得4分，90-99%，得3分；90%以下酌情扣分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促进就业科统计</w:t>
            </w:r>
          </w:p>
        </w:tc>
      </w:tr>
      <w:tr>
        <w:tblPrEx>
          <w:tblCellMar>
            <w:top w:w="0" w:type="dxa"/>
            <w:left w:w="0" w:type="dxa"/>
            <w:bottom w:w="0" w:type="dxa"/>
            <w:right w:w="0" w:type="dxa"/>
          </w:tblCellMar>
        </w:tblPrEx>
        <w:trPr>
          <w:trHeight w:val="1125"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both"/>
              <w:rPr>
                <w:rFonts w:hint="default" w:ascii="Times New Roman" w:hAnsi="Times New Roman" w:eastAsia="宋体" w:cs="Times New Roman"/>
                <w:i w:val="0"/>
                <w:color w:val="auto"/>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C14就业困难人员就业完成率（4分）</w:t>
            </w:r>
          </w:p>
        </w:tc>
        <w:tc>
          <w:tcPr>
            <w:tcW w:w="7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w:t>
            </w:r>
          </w:p>
        </w:tc>
        <w:tc>
          <w:tcPr>
            <w:tcW w:w="18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考察就业困难人员就业完成情况</w:t>
            </w:r>
          </w:p>
        </w:tc>
        <w:tc>
          <w:tcPr>
            <w:tcW w:w="46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①完成率=本年实际就业困难人员就业人数/本年计划就业困难人员就业人数。②完成率100%，得4分，90-99%，得3分；90%以下酌情扣分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促进就业科统计</w:t>
            </w:r>
          </w:p>
        </w:tc>
      </w:tr>
      <w:tr>
        <w:tblPrEx>
          <w:shd w:val="clear" w:color="auto" w:fill="auto"/>
          <w:tblCellMar>
            <w:top w:w="0" w:type="dxa"/>
            <w:left w:w="0" w:type="dxa"/>
            <w:bottom w:w="0" w:type="dxa"/>
            <w:right w:w="0" w:type="dxa"/>
          </w:tblCellMar>
        </w:tblPrEx>
        <w:trPr>
          <w:trHeight w:val="1125"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both"/>
              <w:rPr>
                <w:rFonts w:hint="default" w:ascii="Times New Roman" w:hAnsi="Times New Roman" w:eastAsia="宋体" w:cs="Times New Roman"/>
                <w:i w:val="0"/>
                <w:color w:val="auto"/>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C15农村劳动力转移就业完成率</w:t>
            </w:r>
          </w:p>
        </w:tc>
        <w:tc>
          <w:tcPr>
            <w:tcW w:w="7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w:t>
            </w:r>
          </w:p>
        </w:tc>
        <w:tc>
          <w:tcPr>
            <w:tcW w:w="18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考察农村劳动力转移就业完成情况</w:t>
            </w:r>
          </w:p>
        </w:tc>
        <w:tc>
          <w:tcPr>
            <w:tcW w:w="46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①完成率=本年实际农村劳动力转移就业人数/本年计划农村劳动力转移就业人数。②完成率100%，得4分，90-99%，得3分；90%以下酌情扣分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农就办统计</w:t>
            </w:r>
          </w:p>
        </w:tc>
      </w:tr>
      <w:tr>
        <w:tblPrEx>
          <w:tblCellMar>
            <w:top w:w="0" w:type="dxa"/>
            <w:left w:w="0" w:type="dxa"/>
            <w:bottom w:w="0" w:type="dxa"/>
            <w:right w:w="0" w:type="dxa"/>
          </w:tblCellMar>
        </w:tblPrEx>
        <w:trPr>
          <w:trHeight w:val="940"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both"/>
              <w:rPr>
                <w:rFonts w:hint="default" w:ascii="Times New Roman" w:hAnsi="Times New Roman" w:eastAsia="宋体" w:cs="Times New Roman"/>
                <w:i w:val="0"/>
                <w:color w:val="auto"/>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C16农村劳动力转移培训完成率（4分）</w:t>
            </w:r>
          </w:p>
        </w:tc>
        <w:tc>
          <w:tcPr>
            <w:tcW w:w="7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w:t>
            </w:r>
          </w:p>
        </w:tc>
        <w:tc>
          <w:tcPr>
            <w:tcW w:w="18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考察农村劳动力转移培训的完成情况</w:t>
            </w:r>
          </w:p>
        </w:tc>
        <w:tc>
          <w:tcPr>
            <w:tcW w:w="46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①完成率=本年实际农村劳动力转移培训人数/本年计划农村劳动力转移培训人数。②完成率100%，得4分，90-99%，得3分；90%以下酌情扣分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农就办统计</w:t>
            </w:r>
          </w:p>
        </w:tc>
      </w:tr>
      <w:tr>
        <w:tblPrEx>
          <w:shd w:val="clear" w:color="auto" w:fill="auto"/>
          <w:tblCellMar>
            <w:top w:w="0" w:type="dxa"/>
            <w:left w:w="0" w:type="dxa"/>
            <w:bottom w:w="0" w:type="dxa"/>
            <w:right w:w="0" w:type="dxa"/>
          </w:tblCellMar>
        </w:tblPrEx>
        <w:trPr>
          <w:trHeight w:val="700"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C2单位效果（15分）（说明</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该指标反映单位的工作效果。）</w:t>
            </w:r>
          </w:p>
        </w:tc>
        <w:tc>
          <w:tcPr>
            <w:tcW w:w="8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C21城镇登记失业率（4分）</w:t>
            </w:r>
          </w:p>
        </w:tc>
        <w:tc>
          <w:tcPr>
            <w:tcW w:w="7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w:t>
            </w:r>
          </w:p>
        </w:tc>
        <w:tc>
          <w:tcPr>
            <w:tcW w:w="18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考察城镇登记失业情况。</w:t>
            </w:r>
          </w:p>
        </w:tc>
        <w:tc>
          <w:tcPr>
            <w:tcW w:w="46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失业率控制在省市规定的4%范围内，得4分；每超出0.1%，扣1分。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农就办统计</w:t>
            </w:r>
          </w:p>
        </w:tc>
      </w:tr>
      <w:tr>
        <w:tblPrEx>
          <w:shd w:val="clear" w:color="auto" w:fill="auto"/>
          <w:tblCellMar>
            <w:top w:w="0" w:type="dxa"/>
            <w:left w:w="0" w:type="dxa"/>
            <w:bottom w:w="0" w:type="dxa"/>
            <w:right w:w="0" w:type="dxa"/>
          </w:tblCellMar>
        </w:tblPrEx>
        <w:trPr>
          <w:trHeight w:val="1020"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jc w:val="both"/>
              <w:rPr>
                <w:rFonts w:hint="default" w:ascii="Times New Roman" w:hAnsi="Times New Roman" w:eastAsia="宋体" w:cs="Times New Roman"/>
                <w:i w:val="0"/>
                <w:color w:val="auto"/>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C22实名登记高校毕业生就业率</w:t>
            </w:r>
          </w:p>
        </w:tc>
        <w:tc>
          <w:tcPr>
            <w:tcW w:w="7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w:t>
            </w:r>
          </w:p>
        </w:tc>
        <w:tc>
          <w:tcPr>
            <w:tcW w:w="18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考察实名登记高校毕业生就业。</w:t>
            </w:r>
          </w:p>
        </w:tc>
        <w:tc>
          <w:tcPr>
            <w:tcW w:w="46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①就业率=本年实名登记高校毕业生实际就业人数/本年实名登记高校毕业生人数。②就业率90-100%，得4分，85-89%，得3分；85%以下酌情扣分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职业介绍科统计</w:t>
            </w:r>
          </w:p>
        </w:tc>
      </w:tr>
      <w:tr>
        <w:tblPrEx>
          <w:shd w:val="clear" w:color="auto" w:fill="auto"/>
          <w:tblCellMar>
            <w:top w:w="0" w:type="dxa"/>
            <w:left w:w="0" w:type="dxa"/>
            <w:bottom w:w="0" w:type="dxa"/>
            <w:right w:w="0" w:type="dxa"/>
          </w:tblCellMar>
        </w:tblPrEx>
        <w:trPr>
          <w:trHeight w:val="920"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jc w:val="both"/>
              <w:rPr>
                <w:rFonts w:hint="default" w:ascii="Times New Roman" w:hAnsi="Times New Roman" w:eastAsia="宋体" w:cs="Times New Roman"/>
                <w:i w:val="0"/>
                <w:color w:val="auto"/>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C23</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零就业家庭</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发生率（4分）</w:t>
            </w:r>
          </w:p>
        </w:tc>
        <w:tc>
          <w:tcPr>
            <w:tcW w:w="7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w:t>
            </w:r>
          </w:p>
        </w:tc>
        <w:tc>
          <w:tcPr>
            <w:tcW w:w="18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考察对</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零就业家庭</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的职业帮扶情况。</w:t>
            </w:r>
          </w:p>
        </w:tc>
        <w:tc>
          <w:tcPr>
            <w:tcW w:w="46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零就业家庭</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始终保持动态清零，得3分；</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零就业家庭</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状态持续半年，扣3分。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职业介绍科统计</w:t>
            </w:r>
          </w:p>
        </w:tc>
      </w:tr>
      <w:tr>
        <w:tblPrEx>
          <w:shd w:val="clear" w:color="auto" w:fill="auto"/>
          <w:tblCellMar>
            <w:top w:w="0" w:type="dxa"/>
            <w:left w:w="0" w:type="dxa"/>
            <w:bottom w:w="0" w:type="dxa"/>
            <w:right w:w="0" w:type="dxa"/>
          </w:tblCellMar>
        </w:tblPrEx>
        <w:trPr>
          <w:trHeight w:val="915"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jc w:val="both"/>
              <w:rPr>
                <w:rFonts w:hint="default" w:ascii="Times New Roman" w:hAnsi="Times New Roman" w:eastAsia="宋体" w:cs="Times New Roman"/>
                <w:i w:val="0"/>
                <w:color w:val="auto"/>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C24各种奖励、津贴、补贴发放投诉率（4分）</w:t>
            </w:r>
          </w:p>
        </w:tc>
        <w:tc>
          <w:tcPr>
            <w:tcW w:w="7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w:t>
            </w:r>
          </w:p>
        </w:tc>
        <w:tc>
          <w:tcPr>
            <w:tcW w:w="18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考察各种奖励、津贴、补贴发放过程中，是否存在违规、违纪行为。</w:t>
            </w:r>
          </w:p>
        </w:tc>
        <w:tc>
          <w:tcPr>
            <w:tcW w:w="46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无发生，得3分；发生一起，扣1分。</w:t>
            </w:r>
          </w:p>
        </w:tc>
        <w:tc>
          <w:tcPr>
            <w:tcW w:w="128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举报、媒体披露</w:t>
            </w:r>
          </w:p>
        </w:tc>
      </w:tr>
      <w:tr>
        <w:tblPrEx>
          <w:shd w:val="clear" w:color="auto" w:fill="auto"/>
          <w:tblCellMar>
            <w:top w:w="0" w:type="dxa"/>
            <w:left w:w="0" w:type="dxa"/>
            <w:bottom w:w="0" w:type="dxa"/>
            <w:right w:w="0" w:type="dxa"/>
          </w:tblCellMar>
        </w:tblPrEx>
        <w:trPr>
          <w:trHeight w:val="735"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C3单位可持续发展（6分）</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C31队伍建设情况（2分）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lang w:val="en-US" w:eastAsia="zh-CN"/>
              </w:rPr>
            </w:pPr>
            <w:r>
              <w:rPr>
                <w:rFonts w:hint="eastAsia" w:ascii="Times New Roman" w:hAnsi="Times New Roman" w:eastAsia="宋体" w:cs="Times New Roman"/>
                <w:i w:val="0"/>
                <w:color w:val="auto"/>
                <w:sz w:val="18"/>
                <w:szCs w:val="18"/>
                <w:u w:val="none"/>
                <w:lang w:val="en-US" w:eastAsia="zh-CN"/>
              </w:rPr>
              <w:t>1</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考察单位管理人员是否定期接受培训，熟悉政策、提高业务能力。</w:t>
            </w: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单位全体人员每年至少接受一次业务或政策等培训，酌情得0-2分。</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培训记录、培训效果调研</w:t>
            </w:r>
          </w:p>
        </w:tc>
      </w:tr>
      <w:tr>
        <w:tblPrEx>
          <w:shd w:val="clear" w:color="auto" w:fill="auto"/>
          <w:tblCellMar>
            <w:top w:w="0" w:type="dxa"/>
            <w:left w:w="0" w:type="dxa"/>
            <w:bottom w:w="0" w:type="dxa"/>
            <w:right w:w="0" w:type="dxa"/>
          </w:tblCellMar>
        </w:tblPrEx>
        <w:trPr>
          <w:trHeight w:val="1680"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auto"/>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C32信息共享、公开情况（2分）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单位是否按照政府信息公开有关规定公开相关预决算信息、绩效信息及其他信息，是否相关单位信息共享，用以反映和考核单位信息公开透明及信息共享情况。</w:t>
            </w: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①按规定内容公开预决算信息、绩效信息及其他信息，得0.5分；②按规定时限公开预决算信息、绩效信息及其他信息，得0.5分。③各科室、下属单位及相关单位信息共享，得1分。</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信息公开、信息共享情况</w:t>
            </w:r>
          </w:p>
        </w:tc>
      </w:tr>
      <w:tr>
        <w:tblPrEx>
          <w:shd w:val="clear" w:color="auto" w:fill="auto"/>
          <w:tblCellMar>
            <w:top w:w="0" w:type="dxa"/>
            <w:left w:w="0" w:type="dxa"/>
            <w:bottom w:w="0" w:type="dxa"/>
            <w:right w:w="0" w:type="dxa"/>
          </w:tblCellMar>
        </w:tblPrEx>
        <w:trPr>
          <w:trHeight w:val="1665"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auto"/>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C33长效管理创新情况（2分）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auto"/>
                <w:sz w:val="18"/>
                <w:szCs w:val="18"/>
                <w:u w:val="none"/>
                <w:lang w:val="en-US" w:eastAsia="zh-CN"/>
              </w:rPr>
            </w:pPr>
            <w:r>
              <w:rPr>
                <w:rFonts w:hint="eastAsia" w:ascii="Times New Roman" w:hAnsi="Times New Roman" w:eastAsia="宋体" w:cs="Times New Roman"/>
                <w:i w:val="0"/>
                <w:color w:val="auto"/>
                <w:sz w:val="18"/>
                <w:szCs w:val="18"/>
                <w:u w:val="none"/>
                <w:lang w:val="en-US" w:eastAsia="zh-CN"/>
              </w:rPr>
              <w:t>1</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考察单位是否在鼓励科室改进管理、提高效率方面建立了新举措，比如人员绩效考核机制、信息化建设、数据库管理等，是单位工作长期可持续发展的保障。</w:t>
            </w: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管理创新机制和措施明确，且有相应工作及产出。酌情得0</w:t>
            </w:r>
            <w:r>
              <w:rPr>
                <w:rFonts w:hint="eastAsia" w:ascii="Times New Roman" w:hAnsi="Times New Roman" w:eastAsia="宋体" w:cs="Times New Roman"/>
                <w:i w:val="0"/>
                <w:color w:val="auto"/>
                <w:kern w:val="0"/>
                <w:sz w:val="18"/>
                <w:szCs w:val="18"/>
                <w:u w:val="none"/>
                <w:lang w:val="en-US" w:eastAsia="zh-CN" w:bidi="ar"/>
              </w:rPr>
              <w:t>—</w:t>
            </w:r>
            <w:r>
              <w:rPr>
                <w:rFonts w:hint="default" w:ascii="Times New Roman" w:hAnsi="Times New Roman" w:eastAsia="宋体" w:cs="Times New Roman"/>
                <w:i w:val="0"/>
                <w:color w:val="auto"/>
                <w:kern w:val="0"/>
                <w:sz w:val="18"/>
                <w:szCs w:val="18"/>
                <w:u w:val="none"/>
                <w:lang w:val="en-US" w:eastAsia="zh-CN" w:bidi="ar"/>
              </w:rPr>
              <w:t>2分。</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管理创新情况</w:t>
            </w:r>
          </w:p>
        </w:tc>
      </w:tr>
      <w:tr>
        <w:tblPrEx>
          <w:shd w:val="clear" w:color="auto" w:fill="auto"/>
          <w:tblCellMar>
            <w:top w:w="0" w:type="dxa"/>
            <w:left w:w="0" w:type="dxa"/>
            <w:bottom w:w="0" w:type="dxa"/>
            <w:right w:w="0" w:type="dxa"/>
          </w:tblCellMar>
        </w:tblPrEx>
        <w:trPr>
          <w:trHeight w:val="27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b/>
                <w:i w:val="0"/>
                <w:color w:val="auto"/>
                <w:sz w:val="18"/>
                <w:szCs w:val="18"/>
                <w:u w:val="none"/>
              </w:rPr>
            </w:pPr>
            <w:r>
              <w:rPr>
                <w:rFonts w:hint="default" w:ascii="Times New Roman" w:hAnsi="Times New Roman" w:eastAsia="宋体" w:cs="Times New Roman"/>
                <w:b/>
                <w:i w:val="0"/>
                <w:color w:val="auto"/>
                <w:kern w:val="0"/>
                <w:sz w:val="18"/>
                <w:szCs w:val="18"/>
                <w:u w:val="none"/>
                <w:lang w:val="en-US" w:eastAsia="zh-CN" w:bidi="ar"/>
              </w:rPr>
              <w:t>合计</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default" w:ascii="Times New Roman" w:hAnsi="Times New Roman" w:eastAsia="宋体" w:cs="Times New Roman"/>
                <w:b/>
                <w:i w:val="0"/>
                <w:color w:val="auto"/>
                <w:sz w:val="18"/>
                <w:szCs w:val="18"/>
                <w:u w:val="none"/>
              </w:rPr>
            </w:pPr>
            <w:r>
              <w:rPr>
                <w:rFonts w:hint="default" w:ascii="Times New Roman" w:hAnsi="Times New Roman" w:eastAsia="宋体" w:cs="Times New Roman"/>
                <w:b/>
                <w:i w:val="0"/>
                <w:color w:val="auto"/>
                <w:kern w:val="0"/>
                <w:sz w:val="18"/>
                <w:szCs w:val="18"/>
                <w:u w:val="none"/>
                <w:lang w:val="en-US" w:eastAsia="zh-CN" w:bidi="ar"/>
              </w:rPr>
              <w:t>100分</w:t>
            </w:r>
          </w:p>
        </w:tc>
        <w:tc>
          <w:tcPr>
            <w:tcW w:w="7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18"/>
                <w:szCs w:val="18"/>
                <w:u w:val="none"/>
                <w:lang w:val="en-US"/>
              </w:rPr>
            </w:pPr>
            <w:r>
              <w:rPr>
                <w:rFonts w:hint="eastAsia" w:ascii="Times New Roman" w:hAnsi="Times New Roman" w:eastAsia="宋体" w:cs="Times New Roman"/>
                <w:i w:val="0"/>
                <w:color w:val="auto"/>
                <w:kern w:val="0"/>
                <w:sz w:val="18"/>
                <w:szCs w:val="18"/>
                <w:u w:val="none"/>
                <w:lang w:val="en-US" w:eastAsia="zh-CN" w:bidi="ar"/>
              </w:rPr>
              <w:t>98</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4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default" w:ascii="Times New Roman" w:hAnsi="Times New Roman" w:eastAsia="宋体" w:cs="Times New Roman"/>
                <w:b/>
                <w:i w:val="0"/>
                <w:color w:val="auto"/>
                <w:sz w:val="18"/>
                <w:szCs w:val="18"/>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0ZjgwMWM5MWY0MWUwNjQ5NTBhZjNkYWQ4MjliYjIifQ=="/>
    <w:docVar w:name="KSO_WPS_MARK_KEY" w:val="8c176422-abe0-4d4a-a107-e99e98bc9641"/>
  </w:docVars>
  <w:rsids>
    <w:rsidRoot w:val="4F402B1C"/>
    <w:rsid w:val="2A554419"/>
    <w:rsid w:val="4F402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昆明市寻甸县党政机关单位</Company>
  <Pages>1</Pages>
  <Words>0</Words>
  <Characters>0</Characters>
  <Lines>0</Lines>
  <Paragraphs>0</Paragraphs>
  <TotalTime>11</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2024-05-27T06:35:00Z</dcterms:created>
  <dc:creator>易拉罐</dc:creator>
  <cp:lastModifiedBy>易拉罐</cp:lastModifiedBy>
  <dcterms:modified xsi:type="dcterms:W3CDTF">2024-05-27T07:05:53Z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9EEE6B6B20664EEA9E0E1315A5184846_13</vt:lpwstr>
  </property>
</Properties>
</file>