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outlineLvl w:val="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附件6</w:t>
      </w:r>
    </w:p>
    <w:p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部门收入支出决算总表</w:t>
      </w:r>
      <w:bookmarkEnd w:id="0"/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drawing>
          <wp:inline distT="0" distB="0" distL="114300" distR="114300">
            <wp:extent cx="9269095" cy="4003675"/>
            <wp:effectExtent l="0" t="0" r="8255" b="1587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9095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689" w:right="1043" w:bottom="1293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ZjgwMWM5MWY0MWUwNjQ5NTBhZjNkYWQ4MjliYjIifQ=="/>
    <w:docVar w:name="KSO_WPS_MARK_KEY" w:val="45ae329f-9651-497a-87b7-90e5a995de83"/>
  </w:docVars>
  <w:rsids>
    <w:rsidRoot w:val="5D2161F8"/>
    <w:rsid w:val="5D2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2024-05-27T07:08:00Z</dcterms:created>
  <dc:creator>易拉罐</dc:creator>
  <cp:lastModifiedBy>易拉罐</cp:lastModifiedBy>
  <dcterms:modified xsi:type="dcterms:W3CDTF">2024-05-27T07:09:01Z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C236A22837C54F93AA1197CC0F78EB1B_11</vt:lpwstr>
  </property>
</Properties>
</file>