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昆明市生态环境局寻甸分局关于对《寻甸县国家储备林功山镇林下经济产业示范园建设项目（一期）环境影响报告表》的批复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寻甸林建投资开发有限公司</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清蓝源环保科技有限公司</w:t>
      </w:r>
      <w:r>
        <w:rPr>
          <w:rFonts w:hint="default" w:ascii="Times New Roman" w:hAnsi="Times New Roman" w:eastAsia="仿宋_GB2312" w:cs="Times New Roman"/>
          <w:color w:val="000000"/>
          <w:kern w:val="0"/>
          <w:sz w:val="32"/>
          <w:szCs w:val="32"/>
          <w:lang w:val="en-US" w:eastAsia="zh-CN" w:bidi="ar"/>
        </w:rPr>
        <w:t>编制的《</w:t>
      </w:r>
      <w:r>
        <w:rPr>
          <w:rFonts w:hint="eastAsia" w:ascii="Times New Roman" w:hAnsi="Times New Roman" w:eastAsia="仿宋_GB2312" w:cs="Times New Roman"/>
          <w:color w:val="000000"/>
          <w:kern w:val="0"/>
          <w:sz w:val="32"/>
          <w:szCs w:val="32"/>
          <w:lang w:val="en-US" w:eastAsia="zh-CN" w:bidi="ar"/>
        </w:rPr>
        <w:t>寻甸县国家储备林功山镇林下经济产业示范园建设项目（一期）环境影响报告表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w:t>
      </w:r>
      <w:r>
        <w:rPr>
          <w:rFonts w:hint="eastAsia" w:ascii="Times New Roman" w:hAnsi="Times New Roman" w:eastAsia="仿宋_GB2312" w:cs="Times New Roman"/>
          <w:color w:val="000000"/>
          <w:kern w:val="0"/>
          <w:sz w:val="32"/>
          <w:szCs w:val="32"/>
          <w:lang w:val="en-US" w:eastAsia="zh-CN" w:bidi="ar"/>
        </w:rPr>
        <w:t>昆明市寻甸县功山镇横山村委会，林地范围介于</w:t>
      </w:r>
      <w:r>
        <w:rPr>
          <w:rFonts w:hint="default" w:ascii="Times New Roman" w:hAnsi="Times New Roman" w:eastAsia="仿宋_GB2312" w:cs="Times New Roman"/>
          <w:color w:val="000000"/>
          <w:kern w:val="0"/>
          <w:sz w:val="32"/>
          <w:szCs w:val="32"/>
          <w:lang w:val="en-US" w:eastAsia="zh-CN" w:bidi="ar"/>
        </w:rPr>
        <w:t>东经103°</w:t>
      </w:r>
      <w:r>
        <w:rPr>
          <w:rFonts w:hint="eastAsia" w:ascii="Times New Roman" w:hAnsi="Times New Roman" w:eastAsia="仿宋_GB2312" w:cs="Times New Roman"/>
          <w:color w:val="000000"/>
          <w:kern w:val="0"/>
          <w:sz w:val="32"/>
          <w:szCs w:val="32"/>
          <w:lang w:val="en-US" w:eastAsia="zh-CN" w:bidi="ar"/>
        </w:rPr>
        <w:t>20</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22.472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103°</w:t>
      </w:r>
      <w:r>
        <w:rPr>
          <w:rFonts w:hint="eastAsia" w:ascii="Times New Roman" w:hAnsi="Times New Roman" w:eastAsia="仿宋_GB2312" w:cs="Times New Roman"/>
          <w:color w:val="000000"/>
          <w:kern w:val="0"/>
          <w:sz w:val="32"/>
          <w:szCs w:val="32"/>
          <w:lang w:val="en-US" w:eastAsia="zh-CN" w:bidi="ar"/>
        </w:rPr>
        <w:t>22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9.31</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北纬25° </w:t>
      </w:r>
      <w:r>
        <w:rPr>
          <w:rFonts w:hint="eastAsia" w:ascii="Times New Roman" w:hAnsi="Times New Roman" w:eastAsia="仿宋_GB2312" w:cs="Times New Roman"/>
          <w:color w:val="000000"/>
          <w:kern w:val="0"/>
          <w:sz w:val="32"/>
          <w:szCs w:val="32"/>
          <w:lang w:val="en-US" w:eastAsia="zh-CN" w:bidi="ar"/>
        </w:rPr>
        <w:t>41</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2.840</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25° </w:t>
      </w:r>
      <w:r>
        <w:rPr>
          <w:rFonts w:hint="eastAsia" w:ascii="Times New Roman" w:hAnsi="Times New Roman" w:eastAsia="仿宋_GB2312" w:cs="Times New Roman"/>
          <w:color w:val="000000"/>
          <w:kern w:val="0"/>
          <w:sz w:val="32"/>
          <w:szCs w:val="32"/>
          <w:lang w:val="en-US" w:eastAsia="zh-CN" w:bidi="ar"/>
        </w:rPr>
        <w:t>41</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2.840</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之间</w:t>
      </w:r>
      <w:r>
        <w:rPr>
          <w:rFonts w:hint="default" w:ascii="Times New Roman" w:hAnsi="Times New Roman" w:eastAsia="仿宋_GB2312" w:cs="Times New Roman"/>
          <w:color w:val="000000"/>
          <w:kern w:val="0"/>
          <w:sz w:val="32"/>
          <w:szCs w:val="32"/>
          <w:lang w:val="en-US" w:eastAsia="zh-CN" w:bidi="ar"/>
        </w:rPr>
        <w:t>。项目</w:t>
      </w:r>
      <w:r>
        <w:rPr>
          <w:rFonts w:hint="eastAsia" w:ascii="Times New Roman" w:hAnsi="Times New Roman" w:eastAsia="仿宋_GB2312" w:cs="Times New Roman"/>
          <w:color w:val="000000"/>
          <w:kern w:val="0"/>
          <w:sz w:val="32"/>
          <w:szCs w:val="32"/>
          <w:lang w:val="en-US" w:eastAsia="zh-CN" w:bidi="ar"/>
        </w:rPr>
        <w:t>租用寻甸县功山镇3216.87亩国有林地（含草地），主要种植林下三七、滇黄精、滇重楼、天麻、姜黄、</w:t>
      </w:r>
      <w:r>
        <w:rPr>
          <w:rFonts w:hint="default" w:ascii="Times New Roman" w:hAnsi="Times New Roman" w:eastAsia="仿宋_GB2312" w:cs="Times New Roman"/>
          <w:color w:val="000000"/>
          <w:kern w:val="0"/>
          <w:sz w:val="32"/>
          <w:szCs w:val="32"/>
          <w:lang w:val="en-US" w:eastAsia="zh-CN" w:bidi="ar"/>
        </w:rPr>
        <w:t>天门冬、麦冬、</w:t>
      </w:r>
      <w:r>
        <w:rPr>
          <w:rFonts w:hint="eastAsia" w:ascii="Times New Roman" w:hAnsi="Times New Roman" w:eastAsia="仿宋_GB2312" w:cs="Times New Roman"/>
          <w:color w:val="000000"/>
          <w:kern w:val="0"/>
          <w:sz w:val="32"/>
          <w:szCs w:val="32"/>
          <w:lang w:val="en-US" w:eastAsia="zh-CN" w:bidi="ar"/>
        </w:rPr>
        <w:t>大百部、岩陀、天南星、金平人参、太子参、防风、白芷、射干、黄芪、白及、仙茅、山珠半夏、滇龙胆、灵芝、牛肝菌、茯苓、青头菌等中药材、野生菌，共计 863.59t/a，配套建设喷灌管网、林业生产辅助生产生活区、办公生活楼等公辅工程和环保工程。</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2860</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w:t>
      </w:r>
      <w:r>
        <w:rPr>
          <w:rFonts w:hint="eastAsia" w:ascii="Times New Roman" w:hAnsi="Times New Roman" w:eastAsia="仿宋_GB2312" w:cs="Times New Roman"/>
          <w:color w:val="000000"/>
          <w:kern w:val="0"/>
          <w:sz w:val="32"/>
          <w:szCs w:val="32"/>
          <w:lang w:val="en-US" w:eastAsia="zh-CN" w:bidi="ar"/>
        </w:rPr>
        <w:t>20.18</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寻甸县国家储备林功山镇林下经济产业示范园建设项目（一期）环境影响报告表</w:t>
      </w:r>
      <w:r>
        <w:rPr>
          <w:rFonts w:hint="default" w:ascii="Times New Roman" w:hAnsi="Times New Roman" w:eastAsia="仿宋_GB2312" w:cs="Times New Roman"/>
          <w:color w:val="000000"/>
          <w:kern w:val="0"/>
          <w:sz w:val="32"/>
          <w:szCs w:val="32"/>
          <w:lang w:val="en-US" w:eastAsia="zh-CN" w:bidi="ar"/>
        </w:rPr>
        <w:t>〉的技术评估意见》(昆环评估意见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25</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生活污水经化粪池、污水处理站处理达《农田灌溉水质标准》（GB5084-2021）中旱地作物标准后用于灌溉，不外排。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食堂油烟经油烟净化设施处理达《饮食业油烟排放标准（试行）》（GB18483-2001）最高允许排放浓度标准后，通过专用排放口排放。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产生噪声的场所应合理布局，产生噪声的设备应作隔声降噪处理，加强运输车辆的管理。项目厂界噪声值</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《工业企业厂界环境噪声排放标准》（GB12348-2008）中</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类标准要求</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种植废弃物资定期</w:t>
      </w:r>
      <w:r>
        <w:rPr>
          <w:rFonts w:hint="default" w:ascii="Times New Roman" w:hAnsi="Times New Roman" w:eastAsia="仿宋_GB2312" w:cs="Times New Roman"/>
          <w:color w:val="000000"/>
          <w:kern w:val="0"/>
          <w:sz w:val="32"/>
          <w:szCs w:val="32"/>
          <w:lang w:val="en-US" w:eastAsia="zh-CN" w:bidi="ar"/>
        </w:rPr>
        <w:t>外售</w:t>
      </w:r>
      <w:r>
        <w:rPr>
          <w:rFonts w:hint="eastAsia" w:ascii="Times New Roman" w:hAnsi="Times New Roman" w:eastAsia="仿宋_GB2312" w:cs="Times New Roman"/>
          <w:color w:val="000000"/>
          <w:kern w:val="0"/>
          <w:sz w:val="32"/>
          <w:szCs w:val="32"/>
          <w:lang w:val="en-US" w:eastAsia="zh-CN" w:bidi="ar"/>
        </w:rPr>
        <w:t>至合法企业</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餐厨垃圾（含隔油池油脂）委托有资质单位清运处置；污水处理站污泥、化粪池污泥、生活垃圾委托环卫部门清运。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color w:val="000000"/>
          <w:kern w:val="0"/>
          <w:sz w:val="32"/>
          <w:szCs w:val="32"/>
          <w:lang w:val="en-US" w:eastAsia="zh-CN" w:bidi="ar"/>
        </w:rPr>
        <w:t>加强生态环境保护措施，项目种植区域不得进行林木采伐，采用块状清理方式；加强植被保护和修复，严格落实水土保持措施。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14</w:t>
      </w:r>
      <w:bookmarkStart w:id="0" w:name="_GoBack"/>
      <w:bookmarkEnd w:id="0"/>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3BE4C6C8-77E1-4F68-8E3E-82783EC86915}"/>
  </w:font>
  <w:font w:name="仿宋_GB2312">
    <w:panose1 w:val="02010609030101010101"/>
    <w:charset w:val="86"/>
    <w:family w:val="auto"/>
    <w:pitch w:val="default"/>
    <w:sig w:usb0="00000001" w:usb1="080E0000" w:usb2="00000000" w:usb3="00000000" w:csb0="00040000" w:csb1="00000000"/>
    <w:embedRegular r:id="rId2" w:fontKey="{D852E670-1654-40BD-9AEA-34FBC54C9A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k3ZjAzNzc4YTkyOGEwMzdiZTQwMGE1OTI3ODYifQ=="/>
    <w:docVar w:name="KSO_WPS_MARK_KEY" w:val="502a8391-6710-4046-b5c3-4193186e550e"/>
  </w:docVars>
  <w:rsids>
    <w:rsidRoot w:val="205A64FE"/>
    <w:rsid w:val="04F91383"/>
    <w:rsid w:val="05526700"/>
    <w:rsid w:val="07056611"/>
    <w:rsid w:val="074F1149"/>
    <w:rsid w:val="07B92A66"/>
    <w:rsid w:val="08234384"/>
    <w:rsid w:val="08DA7138"/>
    <w:rsid w:val="0C016B1C"/>
    <w:rsid w:val="0C7B6998"/>
    <w:rsid w:val="0EF9276D"/>
    <w:rsid w:val="10872711"/>
    <w:rsid w:val="114E7FBF"/>
    <w:rsid w:val="1565422D"/>
    <w:rsid w:val="1C1B5646"/>
    <w:rsid w:val="1EF6141C"/>
    <w:rsid w:val="1F444545"/>
    <w:rsid w:val="1F5302BA"/>
    <w:rsid w:val="205A64FE"/>
    <w:rsid w:val="20A45DC9"/>
    <w:rsid w:val="23201794"/>
    <w:rsid w:val="23F23130"/>
    <w:rsid w:val="28B7647D"/>
    <w:rsid w:val="2A727AC6"/>
    <w:rsid w:val="2AB949A8"/>
    <w:rsid w:val="2B091374"/>
    <w:rsid w:val="31DB72C2"/>
    <w:rsid w:val="34F8431E"/>
    <w:rsid w:val="374675C3"/>
    <w:rsid w:val="375619BE"/>
    <w:rsid w:val="38795776"/>
    <w:rsid w:val="39A83B0F"/>
    <w:rsid w:val="3B3E47A6"/>
    <w:rsid w:val="44D8697E"/>
    <w:rsid w:val="491F7C74"/>
    <w:rsid w:val="49B20AE8"/>
    <w:rsid w:val="4F376033"/>
    <w:rsid w:val="500130CE"/>
    <w:rsid w:val="54E2330F"/>
    <w:rsid w:val="55E63D85"/>
    <w:rsid w:val="56E60023"/>
    <w:rsid w:val="57BB325E"/>
    <w:rsid w:val="5A87563E"/>
    <w:rsid w:val="5FB75E92"/>
    <w:rsid w:val="61B54D3F"/>
    <w:rsid w:val="64326150"/>
    <w:rsid w:val="64850E7B"/>
    <w:rsid w:val="66100C18"/>
    <w:rsid w:val="66EA1469"/>
    <w:rsid w:val="69845BA5"/>
    <w:rsid w:val="6B243229"/>
    <w:rsid w:val="6F9F6C7F"/>
    <w:rsid w:val="6FD95334"/>
    <w:rsid w:val="72AC2FFA"/>
    <w:rsid w:val="7541595C"/>
    <w:rsid w:val="75690305"/>
    <w:rsid w:val="778F4AD4"/>
    <w:rsid w:val="7AE42945"/>
    <w:rsid w:val="7CC115F7"/>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2046</Words>
  <Characters>2207</Characters>
  <Lines>0</Lines>
  <Paragraphs>0</Paragraphs>
  <TotalTime>31</TotalTime>
  <ScaleCrop>false</ScaleCrop>
  <LinksUpToDate>false</LinksUpToDate>
  <CharactersWithSpaces>2217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Administrator</cp:lastModifiedBy>
  <dcterms:modified xsi:type="dcterms:W3CDTF">2024-08-20T09:00:59Z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475C4E6C86B340D49988A4B7AD4F31F8_13</vt:lpwstr>
  </property>
</Properties>
</file>