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DFBBD">
      <w:pPr>
        <w:spacing w:line="600" w:lineRule="exact"/>
        <w:jc w:val="center"/>
        <w:rPr>
          <w:rFonts w:hint="default" w:ascii="微软雅黑" w:hAnsi="微软雅黑" w:eastAsia="微软雅黑" w:cs="微软雅黑"/>
          <w:sz w:val="44"/>
          <w:szCs w:val="44"/>
          <w:lang w:val="en-US" w:eastAsia="zh-CN"/>
        </w:rPr>
      </w:pPr>
      <w:r>
        <w:rPr>
          <w:rFonts w:hint="eastAsia" w:ascii="微软雅黑" w:hAnsi="微软雅黑" w:eastAsia="微软雅黑" w:cs="微软雅黑"/>
          <w:sz w:val="44"/>
          <w:szCs w:val="44"/>
        </w:rPr>
        <w:t>云南东川产业园区管理委员会关于《云南东川产业园区（</w:t>
      </w:r>
      <w:r>
        <w:rPr>
          <w:rFonts w:hint="eastAsia" w:ascii="微软雅黑" w:hAnsi="微软雅黑" w:eastAsia="微软雅黑" w:cs="微软雅黑"/>
          <w:sz w:val="44"/>
          <w:szCs w:val="44"/>
          <w:lang w:val="en-US" w:eastAsia="zh-CN"/>
        </w:rPr>
        <w:t>天生桥特色产业片区单元</w:t>
      </w:r>
      <w:r>
        <w:rPr>
          <w:rFonts w:hint="eastAsia" w:ascii="微软雅黑" w:hAnsi="微软雅黑" w:eastAsia="微软雅黑" w:cs="微软雅黑"/>
          <w:sz w:val="44"/>
          <w:szCs w:val="44"/>
        </w:rPr>
        <w:t>）控制性详细规划方案》</w:t>
      </w:r>
      <w:r>
        <w:rPr>
          <w:rFonts w:hint="eastAsia" w:ascii="微软雅黑" w:hAnsi="微软雅黑" w:eastAsia="微软雅黑" w:cs="微软雅黑"/>
          <w:sz w:val="44"/>
          <w:szCs w:val="44"/>
          <w:lang w:val="en-US" w:eastAsia="zh-CN"/>
        </w:rPr>
        <w:t>起草情况说明</w:t>
      </w:r>
    </w:p>
    <w:p w14:paraId="72829935">
      <w:pPr>
        <w:spacing w:line="600" w:lineRule="exact"/>
        <w:rPr>
          <w:rFonts w:hint="eastAsia" w:ascii="仿宋_GB2312" w:hAnsi="仿宋_GB2312" w:cs="仿宋_GB2312"/>
        </w:rPr>
      </w:pPr>
    </w:p>
    <w:p w14:paraId="0663FAAC">
      <w:pPr>
        <w:spacing w:line="586" w:lineRule="exact"/>
        <w:ind w:firstLine="704" w:firstLineChars="200"/>
        <w:rPr>
          <w:w w:val="110"/>
          <w:szCs w:val="32"/>
          <w:highlight w:val="none"/>
          <w:shd w:val="clear"/>
        </w:rPr>
      </w:pPr>
      <w:r>
        <w:rPr>
          <w:rFonts w:hint="eastAsia"/>
          <w:w w:val="110"/>
          <w:szCs w:val="32"/>
        </w:rPr>
        <w:t>云南东川产业园区管理委员会关于《云南东川产业园区天生桥特色产业片区单元控制性详细规划方案》</w:t>
      </w:r>
      <w:r>
        <w:rPr>
          <w:rFonts w:hint="eastAsia"/>
          <w:w w:val="110"/>
          <w:szCs w:val="32"/>
          <w:lang w:val="en-US" w:eastAsia="zh-CN"/>
        </w:rPr>
        <w:t>将作为园区</w:t>
      </w:r>
      <w:r>
        <w:rPr>
          <w:rFonts w:hint="eastAsia"/>
          <w:highlight w:val="none"/>
          <w:shd w:val="clear"/>
          <w:lang w:val="en-US" w:eastAsia="zh-CN"/>
        </w:rPr>
        <w:t>开展国土空间开发保护活动、实施国土空间用途管制、核发城乡建设项目规划许可、进行各项建设等的法定依据。</w:t>
      </w:r>
    </w:p>
    <w:p w14:paraId="4494595F">
      <w:pPr>
        <w:pStyle w:val="2"/>
        <w:numPr>
          <w:ilvl w:val="0"/>
          <w:numId w:val="1"/>
        </w:numPr>
        <w:ind w:firstLineChars="0"/>
      </w:pPr>
      <w:r>
        <w:rPr>
          <w:rFonts w:hint="eastAsia"/>
          <w:lang w:val="en-US" w:eastAsia="zh-CN"/>
        </w:rPr>
        <w:t>起草背景</w:t>
      </w:r>
    </w:p>
    <w:p w14:paraId="7A301886">
      <w:pPr>
        <w:spacing w:line="586" w:lineRule="exact"/>
        <w:ind w:firstLine="704" w:firstLineChars="200"/>
        <w:rPr>
          <w:rFonts w:hint="eastAsia" w:ascii="Times New Roman" w:hAnsi="Times New Roman" w:cs="Times New Roman"/>
          <w:w w:val="110"/>
          <w:szCs w:val="32"/>
          <w:lang w:val="en-US" w:eastAsia="zh-CN"/>
        </w:rPr>
      </w:pPr>
      <w:r>
        <w:rPr>
          <w:rFonts w:hint="eastAsia" w:ascii="Times New Roman" w:hAnsi="Times New Roman" w:cs="Times New Roman"/>
          <w:w w:val="110"/>
          <w:szCs w:val="32"/>
          <w:lang w:val="en-US" w:eastAsia="zh-CN"/>
        </w:rPr>
        <w:t>贯彻落实自然资源部《关于加强国土空间详细规划工作的通知》（自然资发〔2023〕43 号）文件精神及云南省详细规划编制有关要求，加快推进省级以上开发区控制性详细规划编制工作。</w:t>
      </w:r>
    </w:p>
    <w:p w14:paraId="0A3576E5">
      <w:pPr>
        <w:spacing w:line="586" w:lineRule="exact"/>
        <w:ind w:firstLine="704" w:firstLineChars="200"/>
        <w:rPr>
          <w:rFonts w:hint="eastAsia" w:ascii="Times New Roman" w:hAnsi="Times New Roman" w:cs="Times New Roman"/>
          <w:w w:val="110"/>
          <w:szCs w:val="32"/>
        </w:rPr>
      </w:pPr>
      <w:r>
        <w:rPr>
          <w:rFonts w:hint="eastAsia" w:ascii="Times New Roman" w:hAnsi="Times New Roman" w:cs="Times New Roman"/>
          <w:w w:val="110"/>
          <w:szCs w:val="32"/>
        </w:rPr>
        <w:t>为加强</w:t>
      </w:r>
      <w:r>
        <w:rPr>
          <w:rFonts w:hint="eastAsia" w:cs="Times New Roman"/>
          <w:w w:val="110"/>
          <w:szCs w:val="32"/>
          <w:lang w:val="en-US" w:eastAsia="zh-CN"/>
        </w:rPr>
        <w:t>云南东川产业园区</w:t>
      </w:r>
      <w:r>
        <w:rPr>
          <w:rFonts w:hint="eastAsia" w:ascii="Times New Roman" w:hAnsi="Times New Roman" w:cs="Times New Roman"/>
          <w:w w:val="110"/>
          <w:szCs w:val="32"/>
        </w:rPr>
        <w:t>国土空间规划管理，保障园区的合理建设和可持续发展，依据《中华人民共和国城乡规划法》《昆明市城乡规划条例》《昆明市详细规划管理规定》和《昆明市详细规划技术准则》</w:t>
      </w:r>
      <w:r>
        <w:rPr>
          <w:rFonts w:hint="eastAsia" w:ascii="Times New Roman" w:hAnsi="Times New Roman" w:cs="Times New Roman"/>
          <w:w w:val="110"/>
          <w:szCs w:val="32"/>
          <w:lang w:val="en-US" w:eastAsia="zh-CN"/>
        </w:rPr>
        <w:t>等法律法规及标准规范，特编制《云南东川产业园区天生桥特色产业片区单元控制性详细规划》。</w:t>
      </w:r>
    </w:p>
    <w:p w14:paraId="607347A9">
      <w:pPr>
        <w:pStyle w:val="2"/>
        <w:numPr>
          <w:ilvl w:val="0"/>
          <w:numId w:val="1"/>
        </w:numPr>
        <w:ind w:left="1363" w:leftChars="0" w:hanging="720" w:firstLineChars="0"/>
        <w:rPr>
          <w:rFonts w:hint="eastAsia"/>
          <w:lang w:val="en-US" w:eastAsia="zh-CN"/>
        </w:rPr>
      </w:pPr>
      <w:r>
        <w:rPr>
          <w:rFonts w:hint="eastAsia"/>
          <w:lang w:val="en-US" w:eastAsia="zh-CN"/>
        </w:rPr>
        <w:t>起草依据</w:t>
      </w:r>
    </w:p>
    <w:p w14:paraId="73205C92">
      <w:pPr>
        <w:spacing w:line="586" w:lineRule="exact"/>
        <w:ind w:firstLine="704" w:firstLineChars="200"/>
        <w:rPr>
          <w:rFonts w:hint="default" w:cs="Times New Roman"/>
          <w:w w:val="110"/>
          <w:szCs w:val="32"/>
          <w:lang w:val="en-US" w:eastAsia="zh-CN"/>
        </w:rPr>
      </w:pPr>
      <w:r>
        <w:rPr>
          <w:rFonts w:hint="eastAsia" w:cs="Times New Roman"/>
          <w:w w:val="110"/>
          <w:szCs w:val="32"/>
          <w:lang w:val="en-US" w:eastAsia="zh-CN"/>
        </w:rPr>
        <w:t>（一）政策文件</w:t>
      </w:r>
    </w:p>
    <w:p w14:paraId="58C9BB16">
      <w:pPr>
        <w:numPr>
          <w:ilvl w:val="0"/>
          <w:numId w:val="2"/>
        </w:numPr>
        <w:spacing w:line="586" w:lineRule="exact"/>
        <w:ind w:left="0" w:leftChars="0" w:firstLine="704" w:firstLineChars="200"/>
        <w:rPr>
          <w:rFonts w:hint="eastAsia" w:ascii="Times New Roman" w:hAnsi="Times New Roman" w:cs="Times New Roman"/>
          <w:w w:val="110"/>
          <w:szCs w:val="32"/>
          <w:lang w:val="en-US" w:eastAsia="zh-CN"/>
        </w:rPr>
      </w:pPr>
      <w:r>
        <w:rPr>
          <w:rFonts w:hint="eastAsia" w:ascii="Times New Roman" w:hAnsi="Times New Roman" w:cs="Times New Roman"/>
          <w:w w:val="110"/>
          <w:szCs w:val="32"/>
          <w:lang w:val="en-US" w:eastAsia="zh-CN"/>
        </w:rPr>
        <w:t>《中共中央国务院关于建立全省国土空间规划体系并监督实施的意见》（中发〔2019〕18号）；</w:t>
      </w:r>
    </w:p>
    <w:p w14:paraId="473A7DCA">
      <w:pPr>
        <w:numPr>
          <w:ilvl w:val="0"/>
          <w:numId w:val="2"/>
        </w:numPr>
        <w:spacing w:line="586" w:lineRule="exact"/>
        <w:ind w:left="0" w:leftChars="0" w:firstLine="704" w:firstLineChars="200"/>
        <w:rPr>
          <w:rFonts w:hint="eastAsia" w:ascii="Times New Roman" w:hAnsi="Times New Roman" w:cs="Times New Roman"/>
          <w:w w:val="110"/>
          <w:szCs w:val="32"/>
          <w:lang w:val="en-US" w:eastAsia="zh-CN"/>
        </w:rPr>
      </w:pPr>
      <w:r>
        <w:rPr>
          <w:rFonts w:hint="eastAsia" w:ascii="Times New Roman" w:hAnsi="Times New Roman" w:cs="Times New Roman"/>
          <w:w w:val="110"/>
          <w:szCs w:val="32"/>
          <w:lang w:val="en-US" w:eastAsia="zh-CN"/>
        </w:rPr>
        <w:t>《自然资源部关于加强国土空间详细规划工作的通知》（自然资发〔2023〕43号）；</w:t>
      </w:r>
    </w:p>
    <w:p w14:paraId="6B84D080">
      <w:pPr>
        <w:numPr>
          <w:ilvl w:val="0"/>
          <w:numId w:val="2"/>
        </w:numPr>
        <w:spacing w:line="586" w:lineRule="exact"/>
        <w:ind w:left="0" w:leftChars="0" w:firstLine="704" w:firstLineChars="200"/>
        <w:rPr>
          <w:rFonts w:hint="eastAsia" w:ascii="Times New Roman" w:hAnsi="Times New Roman" w:cs="Times New Roman"/>
          <w:w w:val="110"/>
          <w:szCs w:val="32"/>
          <w:lang w:val="en-US" w:eastAsia="zh-CN"/>
        </w:rPr>
      </w:pPr>
      <w:r>
        <w:rPr>
          <w:rFonts w:hint="eastAsia" w:ascii="Times New Roman" w:hAnsi="Times New Roman" w:cs="Times New Roman"/>
          <w:w w:val="110"/>
          <w:szCs w:val="32"/>
          <w:lang w:val="en-US" w:eastAsia="zh-CN"/>
        </w:rPr>
        <w:t>《中共云南省委云南省人民政府关于建立全省国土空间规划体系并监督实施的意见》（云发〔2020〕7号）；</w:t>
      </w:r>
    </w:p>
    <w:p w14:paraId="485BADB8">
      <w:pPr>
        <w:numPr>
          <w:ilvl w:val="0"/>
          <w:numId w:val="2"/>
        </w:numPr>
        <w:spacing w:line="586" w:lineRule="exact"/>
        <w:ind w:left="0" w:leftChars="0" w:firstLine="704" w:firstLineChars="200"/>
        <w:rPr>
          <w:rFonts w:hint="eastAsia" w:ascii="Times New Roman" w:hAnsi="Times New Roman" w:cs="Times New Roman"/>
          <w:w w:val="110"/>
          <w:szCs w:val="32"/>
          <w:lang w:val="en-US" w:eastAsia="zh-CN"/>
        </w:rPr>
      </w:pPr>
      <w:r>
        <w:rPr>
          <w:rFonts w:hint="eastAsia" w:ascii="Times New Roman" w:hAnsi="Times New Roman" w:cs="Times New Roman"/>
          <w:w w:val="110"/>
          <w:szCs w:val="32"/>
          <w:lang w:val="en-US" w:eastAsia="zh-CN"/>
        </w:rPr>
        <w:t>《云南省详细规划编制导则（试行）》</w:t>
      </w:r>
      <w:r>
        <w:rPr>
          <w:rFonts w:hint="eastAsia" w:cs="Times New Roman"/>
          <w:w w:val="110"/>
          <w:szCs w:val="32"/>
          <w:lang w:val="en-US" w:eastAsia="zh-CN"/>
        </w:rPr>
        <w:t>。</w:t>
      </w:r>
    </w:p>
    <w:p w14:paraId="19D6970F">
      <w:pPr>
        <w:numPr>
          <w:ilvl w:val="0"/>
          <w:numId w:val="3"/>
        </w:numPr>
        <w:spacing w:line="586" w:lineRule="exact"/>
        <w:ind w:firstLine="704" w:firstLineChars="200"/>
        <w:rPr>
          <w:rFonts w:hint="eastAsia" w:cs="Times New Roman"/>
          <w:w w:val="110"/>
          <w:szCs w:val="32"/>
          <w:lang w:val="en-US" w:eastAsia="zh-CN"/>
        </w:rPr>
      </w:pPr>
      <w:r>
        <w:rPr>
          <w:rFonts w:hint="eastAsia" w:cs="Times New Roman"/>
          <w:w w:val="110"/>
          <w:szCs w:val="32"/>
          <w:lang w:val="en-US" w:eastAsia="zh-CN"/>
        </w:rPr>
        <w:t>法律法规及规范</w:t>
      </w:r>
    </w:p>
    <w:p w14:paraId="4A00ED42">
      <w:pPr>
        <w:numPr>
          <w:ilvl w:val="0"/>
          <w:numId w:val="4"/>
        </w:numPr>
        <w:spacing w:line="586" w:lineRule="exact"/>
        <w:ind w:left="0" w:leftChars="0" w:firstLine="704" w:firstLineChars="200"/>
        <w:rPr>
          <w:rFonts w:hint="eastAsia" w:ascii="Times New Roman" w:hAnsi="Times New Roman" w:cs="Times New Roman"/>
          <w:w w:val="110"/>
          <w:szCs w:val="32"/>
          <w:lang w:val="en-US" w:eastAsia="zh-CN"/>
        </w:rPr>
      </w:pPr>
      <w:r>
        <w:rPr>
          <w:rFonts w:hint="eastAsia" w:ascii="Times New Roman" w:hAnsi="Times New Roman" w:cs="Times New Roman"/>
          <w:w w:val="110"/>
          <w:szCs w:val="32"/>
          <w:lang w:val="en-US" w:eastAsia="zh-CN"/>
        </w:rPr>
        <w:t>《中华人民共和国城乡规划法》</w:t>
      </w:r>
      <w:r>
        <w:rPr>
          <w:rFonts w:hint="eastAsia" w:cs="Times New Roman"/>
          <w:w w:val="110"/>
          <w:szCs w:val="32"/>
          <w:lang w:val="en-US" w:eastAsia="zh-CN"/>
        </w:rPr>
        <w:t>；</w:t>
      </w:r>
    </w:p>
    <w:p w14:paraId="7A3D1C4E">
      <w:pPr>
        <w:numPr>
          <w:ilvl w:val="0"/>
          <w:numId w:val="4"/>
        </w:numPr>
        <w:spacing w:line="586" w:lineRule="exact"/>
        <w:ind w:left="0" w:leftChars="0" w:firstLine="704" w:firstLineChars="200"/>
        <w:rPr>
          <w:rFonts w:hint="eastAsia" w:ascii="Times New Roman" w:hAnsi="Times New Roman" w:cs="Times New Roman"/>
          <w:w w:val="110"/>
          <w:szCs w:val="32"/>
          <w:lang w:val="en-US" w:eastAsia="zh-CN"/>
        </w:rPr>
      </w:pPr>
      <w:r>
        <w:rPr>
          <w:rFonts w:hint="eastAsia" w:ascii="Times New Roman" w:hAnsi="Times New Roman" w:cs="Times New Roman"/>
          <w:w w:val="110"/>
          <w:szCs w:val="32"/>
          <w:lang w:val="en-US" w:eastAsia="zh-CN"/>
        </w:rPr>
        <w:t>《中华人民共和国土地管理法》</w:t>
      </w:r>
      <w:r>
        <w:rPr>
          <w:rFonts w:hint="eastAsia" w:cs="Times New Roman"/>
          <w:w w:val="110"/>
          <w:szCs w:val="32"/>
          <w:lang w:val="en-US" w:eastAsia="zh-CN"/>
        </w:rPr>
        <w:t>；</w:t>
      </w:r>
    </w:p>
    <w:p w14:paraId="4F329848">
      <w:pPr>
        <w:numPr>
          <w:ilvl w:val="0"/>
          <w:numId w:val="4"/>
        </w:numPr>
        <w:spacing w:line="586" w:lineRule="exact"/>
        <w:ind w:left="0" w:leftChars="0" w:firstLine="704" w:firstLineChars="200"/>
        <w:rPr>
          <w:rFonts w:hint="eastAsia" w:ascii="Times New Roman" w:hAnsi="Times New Roman" w:cs="Times New Roman"/>
          <w:w w:val="110"/>
          <w:szCs w:val="32"/>
          <w:lang w:val="en-US" w:eastAsia="zh-CN"/>
        </w:rPr>
      </w:pPr>
      <w:r>
        <w:rPr>
          <w:rFonts w:hint="eastAsia" w:ascii="Times New Roman" w:hAnsi="Times New Roman" w:cs="Times New Roman"/>
          <w:w w:val="110"/>
          <w:szCs w:val="32"/>
          <w:lang w:val="en-US" w:eastAsia="zh-CN"/>
        </w:rPr>
        <w:t>《昆明市城乡规划条例》</w:t>
      </w:r>
      <w:r>
        <w:rPr>
          <w:rFonts w:hint="eastAsia" w:cs="Times New Roman"/>
          <w:w w:val="110"/>
          <w:szCs w:val="32"/>
          <w:lang w:val="en-US" w:eastAsia="zh-CN"/>
        </w:rPr>
        <w:t>；</w:t>
      </w:r>
    </w:p>
    <w:p w14:paraId="1470091C">
      <w:pPr>
        <w:numPr>
          <w:ilvl w:val="0"/>
          <w:numId w:val="4"/>
        </w:numPr>
        <w:spacing w:line="586" w:lineRule="exact"/>
        <w:ind w:left="0" w:leftChars="0" w:firstLine="704" w:firstLineChars="200"/>
        <w:rPr>
          <w:rFonts w:hint="eastAsia" w:ascii="Times New Roman" w:hAnsi="Times New Roman" w:cs="Times New Roman"/>
          <w:w w:val="110"/>
          <w:szCs w:val="32"/>
          <w:lang w:val="en-US" w:eastAsia="zh-CN"/>
        </w:rPr>
      </w:pPr>
      <w:r>
        <w:rPr>
          <w:rFonts w:hint="eastAsia" w:ascii="Times New Roman" w:hAnsi="Times New Roman" w:cs="Times New Roman"/>
          <w:w w:val="110"/>
          <w:szCs w:val="32"/>
          <w:lang w:val="en-US" w:eastAsia="zh-CN"/>
        </w:rPr>
        <w:t>《昆明详细规划管理规定》</w:t>
      </w:r>
      <w:r>
        <w:rPr>
          <w:rFonts w:hint="eastAsia" w:cs="Times New Roman"/>
          <w:w w:val="110"/>
          <w:szCs w:val="32"/>
          <w:lang w:val="en-US" w:eastAsia="zh-CN"/>
        </w:rPr>
        <w:t>；</w:t>
      </w:r>
    </w:p>
    <w:p w14:paraId="59E5DFC5">
      <w:pPr>
        <w:numPr>
          <w:ilvl w:val="0"/>
          <w:numId w:val="4"/>
        </w:numPr>
        <w:spacing w:line="586" w:lineRule="exact"/>
        <w:ind w:left="0" w:leftChars="0" w:firstLine="704" w:firstLineChars="200"/>
        <w:rPr>
          <w:rFonts w:hint="eastAsia" w:ascii="Times New Roman" w:hAnsi="Times New Roman" w:cs="Times New Roman"/>
          <w:w w:val="110"/>
          <w:szCs w:val="32"/>
          <w:lang w:val="en-US" w:eastAsia="zh-CN"/>
        </w:rPr>
      </w:pPr>
      <w:r>
        <w:rPr>
          <w:rFonts w:hint="eastAsia" w:ascii="Times New Roman" w:hAnsi="Times New Roman" w:cs="Times New Roman"/>
          <w:w w:val="110"/>
          <w:szCs w:val="32"/>
          <w:lang w:val="en-US" w:eastAsia="zh-CN"/>
        </w:rPr>
        <w:t>《昆明市详细规划技术准则》</w:t>
      </w:r>
      <w:r>
        <w:rPr>
          <w:rFonts w:hint="eastAsia" w:cs="Times New Roman"/>
          <w:w w:val="110"/>
          <w:szCs w:val="32"/>
          <w:lang w:val="en-US" w:eastAsia="zh-CN"/>
        </w:rPr>
        <w:t>；</w:t>
      </w:r>
    </w:p>
    <w:p w14:paraId="78A28BF3">
      <w:pPr>
        <w:numPr>
          <w:ilvl w:val="0"/>
          <w:numId w:val="4"/>
        </w:numPr>
        <w:spacing w:line="586" w:lineRule="exact"/>
        <w:ind w:left="0" w:leftChars="0" w:firstLine="704" w:firstLineChars="200"/>
        <w:rPr>
          <w:rFonts w:hint="default" w:ascii="Times New Roman" w:hAnsi="Times New Roman" w:cs="Times New Roman"/>
          <w:w w:val="110"/>
          <w:szCs w:val="32"/>
          <w:lang w:val="en-US" w:eastAsia="zh-CN"/>
        </w:rPr>
      </w:pPr>
      <w:r>
        <w:rPr>
          <w:rFonts w:hint="eastAsia" w:ascii="Times New Roman" w:hAnsi="Times New Roman" w:cs="Times New Roman"/>
          <w:w w:val="110"/>
          <w:szCs w:val="32"/>
          <w:lang w:val="en-US" w:eastAsia="zh-CN"/>
        </w:rPr>
        <w:t>《昆明市城乡规划管理技术规定》</w:t>
      </w:r>
      <w:r>
        <w:rPr>
          <w:rFonts w:hint="eastAsia" w:cs="Times New Roman"/>
          <w:w w:val="110"/>
          <w:szCs w:val="32"/>
          <w:lang w:val="en-US" w:eastAsia="zh-CN"/>
        </w:rPr>
        <w:t>。</w:t>
      </w:r>
      <w:bookmarkStart w:id="0" w:name="_GoBack"/>
      <w:bookmarkEnd w:id="0"/>
    </w:p>
    <w:p w14:paraId="7AB87752">
      <w:pPr>
        <w:numPr>
          <w:ilvl w:val="0"/>
          <w:numId w:val="3"/>
        </w:numPr>
        <w:spacing w:line="586" w:lineRule="exact"/>
        <w:ind w:firstLine="704" w:firstLineChars="200"/>
        <w:rPr>
          <w:rFonts w:hint="eastAsia" w:cs="Times New Roman"/>
          <w:w w:val="110"/>
          <w:szCs w:val="32"/>
          <w:lang w:val="en-US" w:eastAsia="zh-CN"/>
        </w:rPr>
      </w:pPr>
      <w:r>
        <w:rPr>
          <w:rFonts w:hint="eastAsia" w:cs="Times New Roman"/>
          <w:w w:val="110"/>
          <w:szCs w:val="32"/>
          <w:lang w:val="en-US" w:eastAsia="zh-CN"/>
        </w:rPr>
        <w:t>上位及相关规划</w:t>
      </w:r>
    </w:p>
    <w:p w14:paraId="6C6E52CF">
      <w:pPr>
        <w:numPr>
          <w:ilvl w:val="0"/>
          <w:numId w:val="5"/>
        </w:numPr>
        <w:spacing w:line="586" w:lineRule="exact"/>
        <w:ind w:left="0" w:leftChars="0" w:firstLine="704" w:firstLineChars="200"/>
        <w:rPr>
          <w:rFonts w:hint="eastAsia" w:ascii="Times New Roman" w:hAnsi="Times New Roman" w:cs="Times New Roman"/>
          <w:w w:val="110"/>
          <w:szCs w:val="32"/>
          <w:lang w:val="en-US" w:eastAsia="zh-CN"/>
        </w:rPr>
      </w:pPr>
      <w:r>
        <w:rPr>
          <w:rFonts w:hint="eastAsia" w:ascii="Times New Roman" w:hAnsi="Times New Roman" w:cs="Times New Roman"/>
          <w:w w:val="110"/>
          <w:szCs w:val="32"/>
          <w:lang w:val="en-US" w:eastAsia="zh-CN"/>
        </w:rPr>
        <w:t>《昆明市国土空间总体规划（2021</w:t>
      </w:r>
      <w:r>
        <w:rPr>
          <w:rFonts w:hint="eastAsia" w:cs="Times New Roman"/>
          <w:w w:val="110"/>
          <w:szCs w:val="32"/>
          <w:lang w:val="en-US" w:eastAsia="zh-CN"/>
        </w:rPr>
        <w:t>—</w:t>
      </w:r>
      <w:r>
        <w:rPr>
          <w:rFonts w:hint="eastAsia" w:ascii="Times New Roman" w:hAnsi="Times New Roman" w:cs="Times New Roman"/>
          <w:w w:val="110"/>
          <w:szCs w:val="32"/>
          <w:lang w:val="en-US" w:eastAsia="zh-CN"/>
        </w:rPr>
        <w:t>2035年）》</w:t>
      </w:r>
      <w:r>
        <w:rPr>
          <w:rFonts w:hint="eastAsia" w:cs="Times New Roman"/>
          <w:w w:val="110"/>
          <w:szCs w:val="32"/>
          <w:lang w:val="en-US" w:eastAsia="zh-CN"/>
        </w:rPr>
        <w:t>；</w:t>
      </w:r>
    </w:p>
    <w:p w14:paraId="2759F910">
      <w:pPr>
        <w:numPr>
          <w:ilvl w:val="0"/>
          <w:numId w:val="5"/>
        </w:numPr>
        <w:spacing w:line="586" w:lineRule="exact"/>
        <w:ind w:left="0" w:leftChars="0" w:firstLine="704" w:firstLineChars="200"/>
        <w:rPr>
          <w:rFonts w:hint="eastAsia" w:ascii="Times New Roman" w:hAnsi="Times New Roman" w:cs="Times New Roman"/>
          <w:w w:val="110"/>
          <w:szCs w:val="32"/>
          <w:lang w:val="en-US" w:eastAsia="zh-CN"/>
        </w:rPr>
      </w:pPr>
      <w:r>
        <w:rPr>
          <w:rFonts w:hint="eastAsia" w:ascii="Times New Roman" w:hAnsi="Times New Roman" w:cs="Times New Roman"/>
          <w:w w:val="110"/>
          <w:szCs w:val="32"/>
          <w:lang w:val="en-US" w:eastAsia="zh-CN"/>
        </w:rPr>
        <w:t>《寻甸回族彝族自治县国土空间总体规划（2021</w:t>
      </w:r>
      <w:r>
        <w:rPr>
          <w:rFonts w:hint="eastAsia" w:cs="Times New Roman"/>
          <w:w w:val="110"/>
          <w:szCs w:val="32"/>
          <w:lang w:val="en-US" w:eastAsia="zh-CN"/>
        </w:rPr>
        <w:t>—</w:t>
      </w:r>
      <w:r>
        <w:rPr>
          <w:rFonts w:hint="eastAsia" w:ascii="Times New Roman" w:hAnsi="Times New Roman" w:cs="Times New Roman"/>
          <w:w w:val="110"/>
          <w:szCs w:val="32"/>
          <w:lang w:val="en-US" w:eastAsia="zh-CN"/>
        </w:rPr>
        <w:t>2035年）》</w:t>
      </w:r>
      <w:r>
        <w:rPr>
          <w:rFonts w:hint="eastAsia" w:cs="Times New Roman"/>
          <w:w w:val="110"/>
          <w:szCs w:val="32"/>
          <w:lang w:val="en-US" w:eastAsia="zh-CN"/>
        </w:rPr>
        <w:t>；</w:t>
      </w:r>
    </w:p>
    <w:p w14:paraId="67BEA543">
      <w:pPr>
        <w:numPr>
          <w:ilvl w:val="0"/>
          <w:numId w:val="5"/>
        </w:numPr>
        <w:spacing w:line="586" w:lineRule="exact"/>
        <w:ind w:left="0" w:leftChars="0" w:firstLine="704" w:firstLineChars="200"/>
        <w:rPr>
          <w:rFonts w:hint="default" w:ascii="Times New Roman" w:hAnsi="Times New Roman" w:cs="Times New Roman"/>
          <w:w w:val="110"/>
          <w:szCs w:val="32"/>
          <w:lang w:val="en-US" w:eastAsia="zh-CN"/>
        </w:rPr>
      </w:pPr>
      <w:r>
        <w:rPr>
          <w:rFonts w:hint="eastAsia" w:ascii="Times New Roman" w:hAnsi="Times New Roman" w:cs="Times New Roman"/>
          <w:w w:val="110"/>
          <w:szCs w:val="32"/>
          <w:lang w:val="en-US" w:eastAsia="zh-CN"/>
        </w:rPr>
        <w:t>《云南东川产业园区总体规划修编（2021—2035年）》</w:t>
      </w:r>
      <w:r>
        <w:rPr>
          <w:rFonts w:hint="eastAsia" w:cs="Times New Roman"/>
          <w:w w:val="110"/>
          <w:szCs w:val="32"/>
          <w:lang w:val="en-US" w:eastAsia="zh-CN"/>
        </w:rPr>
        <w:t>。</w:t>
      </w:r>
    </w:p>
    <w:p w14:paraId="433B1BEE">
      <w:pPr>
        <w:pStyle w:val="2"/>
        <w:numPr>
          <w:ilvl w:val="0"/>
          <w:numId w:val="1"/>
        </w:numPr>
        <w:ind w:firstLineChars="0"/>
        <w:rPr>
          <w:rFonts w:hint="default" w:ascii="Times New Roman" w:hAnsi="Times New Roman" w:cs="Times New Roman"/>
          <w:lang w:val="en-US" w:eastAsia="zh-CN"/>
        </w:rPr>
      </w:pPr>
      <w:r>
        <w:rPr>
          <w:rFonts w:hint="eastAsia" w:ascii="Times New Roman" w:hAnsi="Times New Roman" w:cs="Times New Roman"/>
          <w:lang w:val="en-US" w:eastAsia="zh-CN"/>
        </w:rPr>
        <w:t>起草过程</w:t>
      </w:r>
    </w:p>
    <w:p w14:paraId="239A57EB">
      <w:pPr>
        <w:numPr>
          <w:ilvl w:val="0"/>
          <w:numId w:val="0"/>
        </w:numPr>
        <w:spacing w:line="586" w:lineRule="exact"/>
        <w:ind w:left="0" w:leftChars="0" w:firstLine="704" w:firstLineChars="200"/>
        <w:rPr>
          <w:rFonts w:hint="default" w:ascii="Times New Roman" w:hAnsi="Times New Roman" w:cs="Times New Roman"/>
          <w:w w:val="110"/>
          <w:szCs w:val="32"/>
          <w:lang w:val="en-US" w:eastAsia="zh-CN"/>
        </w:rPr>
      </w:pPr>
      <w:r>
        <w:rPr>
          <w:rFonts w:hint="eastAsia" w:ascii="Times New Roman" w:hAnsi="Times New Roman" w:cs="Times New Roman"/>
          <w:w w:val="110"/>
          <w:szCs w:val="32"/>
          <w:lang w:val="en-US" w:eastAsia="zh-CN"/>
        </w:rPr>
        <w:t>天生桥</w:t>
      </w:r>
      <w:r>
        <w:rPr>
          <w:rFonts w:hint="default" w:cs="Times New Roman"/>
          <w:w w:val="110"/>
          <w:szCs w:val="32"/>
          <w:lang w:eastAsia="zh-CN"/>
          <w:woUserID w:val="1"/>
        </w:rPr>
        <w:t>特色</w:t>
      </w:r>
      <w:r>
        <w:rPr>
          <w:rFonts w:hint="eastAsia" w:ascii="Times New Roman" w:hAnsi="Times New Roman" w:cs="Times New Roman"/>
          <w:w w:val="110"/>
          <w:szCs w:val="32"/>
          <w:lang w:val="en-US" w:eastAsia="zh-CN"/>
        </w:rPr>
        <w:t>产业</w:t>
      </w:r>
      <w:r>
        <w:rPr>
          <w:rFonts w:hint="default" w:cs="Times New Roman"/>
          <w:w w:val="110"/>
          <w:szCs w:val="32"/>
          <w:lang w:eastAsia="zh-CN"/>
          <w:woUserID w:val="1"/>
        </w:rPr>
        <w:t>片区单元为</w:t>
      </w:r>
      <w:r>
        <w:rPr>
          <w:rFonts w:hint="eastAsia" w:ascii="Times New Roman" w:hAnsi="Times New Roman" w:cs="Times New Roman"/>
          <w:w w:val="110"/>
          <w:szCs w:val="32"/>
          <w:lang w:val="en-US" w:eastAsia="zh-CN"/>
        </w:rPr>
        <w:t>昆明北部共建园区，</w:t>
      </w:r>
      <w:r>
        <w:rPr>
          <w:rFonts w:hint="default" w:cs="Times New Roman"/>
          <w:w w:val="110"/>
          <w:szCs w:val="32"/>
          <w:lang w:eastAsia="zh-CN"/>
          <w:woUserID w:val="1"/>
        </w:rPr>
        <w:t>考虑到其特殊性，因此</w:t>
      </w:r>
      <w:r>
        <w:rPr>
          <w:rFonts w:hint="eastAsia" w:ascii="Times New Roman" w:hAnsi="Times New Roman" w:cs="Times New Roman"/>
          <w:w w:val="110"/>
          <w:szCs w:val="32"/>
          <w:lang w:val="en-US" w:eastAsia="zh-CN"/>
        </w:rPr>
        <w:t>由寻甸</w:t>
      </w:r>
      <w:r>
        <w:rPr>
          <w:rFonts w:hint="default" w:cs="Times New Roman"/>
          <w:w w:val="110"/>
          <w:szCs w:val="32"/>
          <w:lang w:eastAsia="zh-CN"/>
          <w:woUserID w:val="1"/>
        </w:rPr>
        <w:t>回族彝族自治县自然资源局</w:t>
      </w:r>
      <w:r>
        <w:rPr>
          <w:rFonts w:hint="eastAsia" w:ascii="Times New Roman" w:hAnsi="Times New Roman" w:cs="Times New Roman"/>
          <w:w w:val="110"/>
          <w:szCs w:val="32"/>
          <w:lang w:val="en-US" w:eastAsia="zh-CN"/>
        </w:rPr>
        <w:t>和</w:t>
      </w:r>
      <w:r>
        <w:rPr>
          <w:rFonts w:hint="default" w:cs="Times New Roman"/>
          <w:w w:val="110"/>
          <w:szCs w:val="32"/>
          <w:lang w:eastAsia="zh-CN"/>
          <w:woUserID w:val="1"/>
        </w:rPr>
        <w:t>云南</w:t>
      </w:r>
      <w:r>
        <w:rPr>
          <w:rFonts w:hint="eastAsia" w:ascii="Times New Roman" w:hAnsi="Times New Roman" w:cs="Times New Roman"/>
          <w:w w:val="110"/>
          <w:szCs w:val="32"/>
          <w:lang w:val="en-US" w:eastAsia="zh-CN"/>
        </w:rPr>
        <w:t>东川</w:t>
      </w:r>
      <w:r>
        <w:rPr>
          <w:rFonts w:hint="default" w:cs="Times New Roman"/>
          <w:w w:val="110"/>
          <w:szCs w:val="32"/>
          <w:lang w:eastAsia="zh-CN"/>
          <w:woUserID w:val="1"/>
        </w:rPr>
        <w:t>产业</w:t>
      </w:r>
      <w:r>
        <w:rPr>
          <w:rFonts w:hint="eastAsia" w:ascii="Times New Roman" w:hAnsi="Times New Roman" w:cs="Times New Roman"/>
          <w:w w:val="110"/>
          <w:szCs w:val="32"/>
          <w:lang w:val="en-US" w:eastAsia="zh-CN"/>
        </w:rPr>
        <w:t>园区</w:t>
      </w:r>
      <w:r>
        <w:rPr>
          <w:rFonts w:hint="default" w:cs="Times New Roman"/>
          <w:w w:val="110"/>
          <w:szCs w:val="32"/>
          <w:lang w:eastAsia="zh-CN"/>
          <w:woUserID w:val="1"/>
        </w:rPr>
        <w:t>管理委员会</w:t>
      </w:r>
      <w:r>
        <w:rPr>
          <w:rFonts w:hint="eastAsia" w:ascii="Times New Roman" w:hAnsi="Times New Roman" w:cs="Times New Roman"/>
          <w:w w:val="110"/>
          <w:szCs w:val="32"/>
          <w:lang w:val="en-US" w:eastAsia="zh-CN"/>
        </w:rPr>
        <w:t>共同组织编制，并于2024年5月初开始编制工作，于同年8月形成规划草案，并完成草案征求意见等相关工作，现按详细规划公示有关要求征求公众意见。</w:t>
      </w:r>
    </w:p>
    <w:p w14:paraId="3E3FBB25">
      <w:pPr>
        <w:pStyle w:val="2"/>
        <w:numPr>
          <w:ilvl w:val="0"/>
          <w:numId w:val="1"/>
        </w:numPr>
        <w:ind w:firstLineChars="0"/>
        <w:rPr>
          <w:rFonts w:hint="default"/>
          <w:lang w:val="en-US" w:eastAsia="zh-CN"/>
        </w:rPr>
      </w:pPr>
      <w:r>
        <w:rPr>
          <w:rFonts w:hint="eastAsia" w:ascii="Times New Roman" w:hAnsi="Times New Roman" w:cs="Times New Roman"/>
          <w:lang w:val="en-US" w:eastAsia="zh-CN"/>
        </w:rPr>
        <w:t>主要内容</w:t>
      </w:r>
    </w:p>
    <w:p w14:paraId="3FEF7FAB">
      <w:pPr>
        <w:numPr>
          <w:ilvl w:val="0"/>
          <w:numId w:val="0"/>
        </w:numPr>
        <w:spacing w:line="586" w:lineRule="exact"/>
        <w:ind w:left="0" w:leftChars="0" w:firstLine="704" w:firstLineChars="200"/>
        <w:rPr>
          <w:rFonts w:hint="default" w:ascii="Times New Roman" w:hAnsi="Times New Roman" w:cs="Times New Roman"/>
          <w:w w:val="110"/>
          <w:szCs w:val="32"/>
          <w:lang w:val="en-US" w:eastAsia="zh-CN"/>
        </w:rPr>
      </w:pPr>
      <w:r>
        <w:rPr>
          <w:rFonts w:hint="eastAsia" w:ascii="Times New Roman" w:hAnsi="Times New Roman" w:cs="Times New Roman"/>
          <w:w w:val="110"/>
          <w:szCs w:val="32"/>
          <w:lang w:val="en-US" w:eastAsia="zh-CN"/>
        </w:rPr>
        <w:t>规划主要内容包括分析单元现状情况，结合现状特征梳理现状问题；落实衔接上位规划及相关规划；明确功能定位及发展目标；确定规划区空间结构及用地布局；确定综合交通、公共管理与公共服务设施、蓝绿空间、市政基础设施、综合防灾及地下空间等规模布局及控制要求；明确单元和地块开发强度及指标控制要求；制定实施保障措施及建议。以指导规划区域土地开发建设活动。具体内容详见草案公示成果。</w:t>
      </w:r>
    </w:p>
    <w:sectPr>
      <w:footerReference r:id="rId3" w:type="default"/>
      <w:pgSz w:w="11906" w:h="16838"/>
      <w:pgMar w:top="2098" w:right="1474" w:bottom="1474" w:left="1587" w:header="851" w:footer="992" w:gutter="0"/>
      <w:cols w:space="720" w:num="1"/>
      <w:docGrid w:type="lines" w:linePitch="45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3C6602B6-4356-4A68-B8B4-2B935A1CDF09}"/>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2" w:fontKey="{1EF50E09-61CF-4A17-9DBB-9C68BA0B549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11BBB">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A28582">
                          <w:pPr>
                            <w:pStyle w:val="8"/>
                            <w:rPr>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4</w:t>
                          </w:r>
                          <w:r>
                            <w:rPr>
                              <w:rFonts w:hint="eastAsia"/>
                              <w:sz w:val="28"/>
                              <w:szCs w:val="28"/>
                            </w:rPr>
                            <w:fldChar w:fldCharType="end"/>
                          </w:r>
                          <w:r>
                            <w:rPr>
                              <w:rFonts w:hint="eastAsia"/>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CA28582">
                    <w:pPr>
                      <w:pStyle w:val="8"/>
                      <w:rPr>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4</w:t>
                    </w:r>
                    <w:r>
                      <w:rPr>
                        <w:rFonts w:hint="eastAsia"/>
                        <w:sz w:val="28"/>
                        <w:szCs w:val="28"/>
                      </w:rPr>
                      <w:fldChar w:fldCharType="end"/>
                    </w:r>
                    <w:r>
                      <w:rPr>
                        <w:rFonts w:hint="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14E3C7"/>
    <w:multiLevelType w:val="singleLevel"/>
    <w:tmpl w:val="F814E3C7"/>
    <w:lvl w:ilvl="0" w:tentative="0">
      <w:start w:val="2"/>
      <w:numFmt w:val="chineseCounting"/>
      <w:suff w:val="nothing"/>
      <w:lvlText w:val="（%1）"/>
      <w:lvlJc w:val="left"/>
      <w:rPr>
        <w:rFonts w:hint="eastAsia"/>
      </w:rPr>
    </w:lvl>
  </w:abstractNum>
  <w:abstractNum w:abstractNumId="1">
    <w:nsid w:val="37087B0F"/>
    <w:multiLevelType w:val="multilevel"/>
    <w:tmpl w:val="37087B0F"/>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2">
    <w:nsid w:val="4A49269C"/>
    <w:multiLevelType w:val="singleLevel"/>
    <w:tmpl w:val="4A49269C"/>
    <w:lvl w:ilvl="0" w:tentative="0">
      <w:start w:val="1"/>
      <w:numFmt w:val="decimal"/>
      <w:suff w:val="nothing"/>
      <w:lvlText w:val="%1．"/>
      <w:lvlJc w:val="left"/>
      <w:pPr>
        <w:ind w:left="0" w:firstLine="400"/>
      </w:pPr>
      <w:rPr>
        <w:rFonts w:hint="default"/>
      </w:rPr>
    </w:lvl>
  </w:abstractNum>
  <w:abstractNum w:abstractNumId="3">
    <w:nsid w:val="50A00920"/>
    <w:multiLevelType w:val="singleLevel"/>
    <w:tmpl w:val="50A00920"/>
    <w:lvl w:ilvl="0" w:tentative="0">
      <w:start w:val="1"/>
      <w:numFmt w:val="decimal"/>
      <w:suff w:val="nothing"/>
      <w:lvlText w:val="%1．"/>
      <w:lvlJc w:val="left"/>
      <w:pPr>
        <w:ind w:left="0" w:firstLine="400"/>
      </w:pPr>
      <w:rPr>
        <w:rFonts w:hint="default"/>
      </w:rPr>
    </w:lvl>
  </w:abstractNum>
  <w:abstractNum w:abstractNumId="4">
    <w:nsid w:val="725B1B3A"/>
    <w:multiLevelType w:val="singleLevel"/>
    <w:tmpl w:val="725B1B3A"/>
    <w:lvl w:ilvl="0" w:tentative="0">
      <w:start w:val="1"/>
      <w:numFmt w:val="decimal"/>
      <w:suff w:val="nothing"/>
      <w:lvlText w:val="%1．"/>
      <w:lvlJc w:val="left"/>
      <w:pPr>
        <w:ind w:left="0" w:firstLine="400"/>
      </w:pPr>
      <w:rPr>
        <w:rFont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embedTrueTypeFonts/>
  <w:saveSubsetFonts/>
  <w:bordersDoNotSurroundHeader w:val="0"/>
  <w:bordersDoNotSurroundFooter w:val="0"/>
  <w:documentProtection w:enforcement="0"/>
  <w:defaultTabStop w:val="420"/>
  <w:drawingGridVerticalSpacing w:val="22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5MjVmMDk2YjMwZDI0M2I2ODA3M2M0YTE4MzFkZjUifQ=="/>
  </w:docVars>
  <w:rsids>
    <w:rsidRoot w:val="00172A27"/>
    <w:rsid w:val="00172A27"/>
    <w:rsid w:val="00220AD8"/>
    <w:rsid w:val="002D087D"/>
    <w:rsid w:val="00302C0A"/>
    <w:rsid w:val="00306DF7"/>
    <w:rsid w:val="0031121F"/>
    <w:rsid w:val="0032316B"/>
    <w:rsid w:val="00387905"/>
    <w:rsid w:val="003F543F"/>
    <w:rsid w:val="00421CE5"/>
    <w:rsid w:val="00434F74"/>
    <w:rsid w:val="00445E5E"/>
    <w:rsid w:val="0045676D"/>
    <w:rsid w:val="00485CCB"/>
    <w:rsid w:val="005733B8"/>
    <w:rsid w:val="005C3541"/>
    <w:rsid w:val="005D07AF"/>
    <w:rsid w:val="006F0AF8"/>
    <w:rsid w:val="00754916"/>
    <w:rsid w:val="0086320D"/>
    <w:rsid w:val="008B1218"/>
    <w:rsid w:val="00994D92"/>
    <w:rsid w:val="00B1609C"/>
    <w:rsid w:val="00B41C94"/>
    <w:rsid w:val="00B969FB"/>
    <w:rsid w:val="00BE0D2B"/>
    <w:rsid w:val="00C13972"/>
    <w:rsid w:val="00CA5879"/>
    <w:rsid w:val="00CD26A3"/>
    <w:rsid w:val="00D626E4"/>
    <w:rsid w:val="00DB7C0F"/>
    <w:rsid w:val="00EB15B7"/>
    <w:rsid w:val="00F0716D"/>
    <w:rsid w:val="00F17522"/>
    <w:rsid w:val="00F4056B"/>
    <w:rsid w:val="00F442B9"/>
    <w:rsid w:val="00F950F9"/>
    <w:rsid w:val="018E686B"/>
    <w:rsid w:val="01976059"/>
    <w:rsid w:val="02151C17"/>
    <w:rsid w:val="02660C71"/>
    <w:rsid w:val="02940C44"/>
    <w:rsid w:val="03EA0196"/>
    <w:rsid w:val="04102BF4"/>
    <w:rsid w:val="04693EBE"/>
    <w:rsid w:val="04960618"/>
    <w:rsid w:val="05311F52"/>
    <w:rsid w:val="05942438"/>
    <w:rsid w:val="05960505"/>
    <w:rsid w:val="06094032"/>
    <w:rsid w:val="068D43A5"/>
    <w:rsid w:val="06F86BBE"/>
    <w:rsid w:val="07BF4B46"/>
    <w:rsid w:val="082C4B80"/>
    <w:rsid w:val="08654041"/>
    <w:rsid w:val="08945026"/>
    <w:rsid w:val="094C1C54"/>
    <w:rsid w:val="09C3035E"/>
    <w:rsid w:val="0A224197"/>
    <w:rsid w:val="0AF61686"/>
    <w:rsid w:val="0B7D1BF0"/>
    <w:rsid w:val="0BAD00EC"/>
    <w:rsid w:val="0C99205D"/>
    <w:rsid w:val="0CAD7E6B"/>
    <w:rsid w:val="0D2D1F1E"/>
    <w:rsid w:val="0D6A662E"/>
    <w:rsid w:val="0DA40201"/>
    <w:rsid w:val="0E286374"/>
    <w:rsid w:val="0E4270A7"/>
    <w:rsid w:val="0F2617D6"/>
    <w:rsid w:val="1048293F"/>
    <w:rsid w:val="106A3CE7"/>
    <w:rsid w:val="109558C0"/>
    <w:rsid w:val="10B85FB1"/>
    <w:rsid w:val="10C035E5"/>
    <w:rsid w:val="126D0F24"/>
    <w:rsid w:val="12E85EB7"/>
    <w:rsid w:val="13334D55"/>
    <w:rsid w:val="13910BD8"/>
    <w:rsid w:val="14F359C7"/>
    <w:rsid w:val="15F630D7"/>
    <w:rsid w:val="161370BF"/>
    <w:rsid w:val="1671732D"/>
    <w:rsid w:val="169E7D63"/>
    <w:rsid w:val="17911883"/>
    <w:rsid w:val="17AD1EEC"/>
    <w:rsid w:val="19046D46"/>
    <w:rsid w:val="196D3B88"/>
    <w:rsid w:val="1B6E28ED"/>
    <w:rsid w:val="1BA91EEF"/>
    <w:rsid w:val="1BDA5C6D"/>
    <w:rsid w:val="1C475575"/>
    <w:rsid w:val="1D136621"/>
    <w:rsid w:val="1D23345A"/>
    <w:rsid w:val="1D2E1808"/>
    <w:rsid w:val="1E4B46B8"/>
    <w:rsid w:val="1F1B206A"/>
    <w:rsid w:val="1F1F4B3C"/>
    <w:rsid w:val="1F5312CD"/>
    <w:rsid w:val="1FB84DF9"/>
    <w:rsid w:val="1FFB7562"/>
    <w:rsid w:val="1FFF3695"/>
    <w:rsid w:val="209F7013"/>
    <w:rsid w:val="21116DF9"/>
    <w:rsid w:val="2172301C"/>
    <w:rsid w:val="21C63CCF"/>
    <w:rsid w:val="21D70E21"/>
    <w:rsid w:val="22720974"/>
    <w:rsid w:val="231479A2"/>
    <w:rsid w:val="232205CA"/>
    <w:rsid w:val="241E5ECD"/>
    <w:rsid w:val="242868E3"/>
    <w:rsid w:val="24DB0F2F"/>
    <w:rsid w:val="26412AE8"/>
    <w:rsid w:val="27B1458D"/>
    <w:rsid w:val="27F02343"/>
    <w:rsid w:val="28464C5F"/>
    <w:rsid w:val="284F76A3"/>
    <w:rsid w:val="286907FC"/>
    <w:rsid w:val="2964663F"/>
    <w:rsid w:val="2A52614E"/>
    <w:rsid w:val="2AEF3A6B"/>
    <w:rsid w:val="2BA72C86"/>
    <w:rsid w:val="2C331221"/>
    <w:rsid w:val="2CAC2246"/>
    <w:rsid w:val="2D291F29"/>
    <w:rsid w:val="2DBD3293"/>
    <w:rsid w:val="2F226B89"/>
    <w:rsid w:val="2F606DD4"/>
    <w:rsid w:val="2FB858C1"/>
    <w:rsid w:val="2FC47478"/>
    <w:rsid w:val="2FDD2A53"/>
    <w:rsid w:val="30977585"/>
    <w:rsid w:val="30C02BC6"/>
    <w:rsid w:val="311C6B3A"/>
    <w:rsid w:val="315B335F"/>
    <w:rsid w:val="317C04DD"/>
    <w:rsid w:val="321D0161"/>
    <w:rsid w:val="326130E0"/>
    <w:rsid w:val="32CC7F2E"/>
    <w:rsid w:val="331D6827"/>
    <w:rsid w:val="33317382"/>
    <w:rsid w:val="33A365DF"/>
    <w:rsid w:val="33E17237"/>
    <w:rsid w:val="33F21FD7"/>
    <w:rsid w:val="34F85BC9"/>
    <w:rsid w:val="35400AAF"/>
    <w:rsid w:val="35723611"/>
    <w:rsid w:val="362C4D2D"/>
    <w:rsid w:val="36E56991"/>
    <w:rsid w:val="37386CFE"/>
    <w:rsid w:val="37D254D8"/>
    <w:rsid w:val="381E6850"/>
    <w:rsid w:val="38C811C0"/>
    <w:rsid w:val="38EB1D8A"/>
    <w:rsid w:val="392452FB"/>
    <w:rsid w:val="39A86313"/>
    <w:rsid w:val="39BD2FD0"/>
    <w:rsid w:val="39C81B95"/>
    <w:rsid w:val="3A02531A"/>
    <w:rsid w:val="3A646034"/>
    <w:rsid w:val="3AAA42A8"/>
    <w:rsid w:val="3AE67F19"/>
    <w:rsid w:val="3CB60A2A"/>
    <w:rsid w:val="3D9AD637"/>
    <w:rsid w:val="3E2119FA"/>
    <w:rsid w:val="3EB96DE0"/>
    <w:rsid w:val="3F5D6733"/>
    <w:rsid w:val="3FA82873"/>
    <w:rsid w:val="3FA851EA"/>
    <w:rsid w:val="3FFC9E0B"/>
    <w:rsid w:val="40763448"/>
    <w:rsid w:val="407709EB"/>
    <w:rsid w:val="40774EF7"/>
    <w:rsid w:val="4083247E"/>
    <w:rsid w:val="41747FC4"/>
    <w:rsid w:val="41AA4D6E"/>
    <w:rsid w:val="41E9710E"/>
    <w:rsid w:val="4227163D"/>
    <w:rsid w:val="42444B32"/>
    <w:rsid w:val="42591D26"/>
    <w:rsid w:val="427E00C2"/>
    <w:rsid w:val="42B575E8"/>
    <w:rsid w:val="43DB19EB"/>
    <w:rsid w:val="45021812"/>
    <w:rsid w:val="45B91782"/>
    <w:rsid w:val="466F4D14"/>
    <w:rsid w:val="470770AC"/>
    <w:rsid w:val="478658BD"/>
    <w:rsid w:val="48490BAA"/>
    <w:rsid w:val="49B2309E"/>
    <w:rsid w:val="49FC267A"/>
    <w:rsid w:val="49FF7849"/>
    <w:rsid w:val="4BA07C95"/>
    <w:rsid w:val="4BA10A5B"/>
    <w:rsid w:val="4BC6634D"/>
    <w:rsid w:val="4C576BBF"/>
    <w:rsid w:val="4D955BDC"/>
    <w:rsid w:val="4DA52FFD"/>
    <w:rsid w:val="4E465C66"/>
    <w:rsid w:val="4E8911D9"/>
    <w:rsid w:val="4F0B4B55"/>
    <w:rsid w:val="4F474879"/>
    <w:rsid w:val="4F77092F"/>
    <w:rsid w:val="507B272D"/>
    <w:rsid w:val="50CF0C37"/>
    <w:rsid w:val="50D3226F"/>
    <w:rsid w:val="50EA6DB9"/>
    <w:rsid w:val="51D707C7"/>
    <w:rsid w:val="51FB7390"/>
    <w:rsid w:val="520322AE"/>
    <w:rsid w:val="525E6AAE"/>
    <w:rsid w:val="52A11D22"/>
    <w:rsid w:val="537F614D"/>
    <w:rsid w:val="53C5022C"/>
    <w:rsid w:val="54255B69"/>
    <w:rsid w:val="549229F2"/>
    <w:rsid w:val="54FB526B"/>
    <w:rsid w:val="553545B1"/>
    <w:rsid w:val="5623636C"/>
    <w:rsid w:val="564A6686"/>
    <w:rsid w:val="565857AE"/>
    <w:rsid w:val="56CA153B"/>
    <w:rsid w:val="56DF7965"/>
    <w:rsid w:val="56F346B6"/>
    <w:rsid w:val="574A3FEA"/>
    <w:rsid w:val="577E02A4"/>
    <w:rsid w:val="5804671C"/>
    <w:rsid w:val="583A33E0"/>
    <w:rsid w:val="584631D9"/>
    <w:rsid w:val="58BC34C7"/>
    <w:rsid w:val="58EB2333"/>
    <w:rsid w:val="593D2E59"/>
    <w:rsid w:val="59A10628"/>
    <w:rsid w:val="59A806F1"/>
    <w:rsid w:val="59AF4983"/>
    <w:rsid w:val="5A7638B4"/>
    <w:rsid w:val="5ABD41ED"/>
    <w:rsid w:val="5B1772CA"/>
    <w:rsid w:val="5BBC271D"/>
    <w:rsid w:val="5D105288"/>
    <w:rsid w:val="5D331EAD"/>
    <w:rsid w:val="5E124C6C"/>
    <w:rsid w:val="5E884095"/>
    <w:rsid w:val="5F7D03EA"/>
    <w:rsid w:val="605B0812"/>
    <w:rsid w:val="609B0AA7"/>
    <w:rsid w:val="609C59A5"/>
    <w:rsid w:val="60AF27F2"/>
    <w:rsid w:val="61DE571E"/>
    <w:rsid w:val="621309A5"/>
    <w:rsid w:val="62F420B1"/>
    <w:rsid w:val="62FF672B"/>
    <w:rsid w:val="63FF003B"/>
    <w:rsid w:val="643C6DD7"/>
    <w:rsid w:val="644D1F1D"/>
    <w:rsid w:val="65063EBF"/>
    <w:rsid w:val="65586A60"/>
    <w:rsid w:val="66C430F0"/>
    <w:rsid w:val="67DD4798"/>
    <w:rsid w:val="67EF5CD4"/>
    <w:rsid w:val="68697939"/>
    <w:rsid w:val="68A46ACE"/>
    <w:rsid w:val="693F2A8B"/>
    <w:rsid w:val="69556841"/>
    <w:rsid w:val="6A7D0AD9"/>
    <w:rsid w:val="6A9D31D1"/>
    <w:rsid w:val="6B674981"/>
    <w:rsid w:val="6BD1523A"/>
    <w:rsid w:val="6D7623EB"/>
    <w:rsid w:val="6DB91F53"/>
    <w:rsid w:val="6EC92C50"/>
    <w:rsid w:val="6FC62416"/>
    <w:rsid w:val="700C7F4D"/>
    <w:rsid w:val="70AE401B"/>
    <w:rsid w:val="71182031"/>
    <w:rsid w:val="71931872"/>
    <w:rsid w:val="71EB38FB"/>
    <w:rsid w:val="72D94F08"/>
    <w:rsid w:val="73524C8A"/>
    <w:rsid w:val="73FF73E5"/>
    <w:rsid w:val="74291C19"/>
    <w:rsid w:val="744939FC"/>
    <w:rsid w:val="749B08A8"/>
    <w:rsid w:val="74FFD592"/>
    <w:rsid w:val="75A968AD"/>
    <w:rsid w:val="7654709E"/>
    <w:rsid w:val="76C909A9"/>
    <w:rsid w:val="772C5186"/>
    <w:rsid w:val="775F081A"/>
    <w:rsid w:val="77FFE538"/>
    <w:rsid w:val="78CB7DC1"/>
    <w:rsid w:val="78EE179B"/>
    <w:rsid w:val="78EE467D"/>
    <w:rsid w:val="7918074B"/>
    <w:rsid w:val="798C057D"/>
    <w:rsid w:val="79C92627"/>
    <w:rsid w:val="7A865E75"/>
    <w:rsid w:val="7B4D16FF"/>
    <w:rsid w:val="7C617C14"/>
    <w:rsid w:val="7C826230"/>
    <w:rsid w:val="7E417FFB"/>
    <w:rsid w:val="7E5D188B"/>
    <w:rsid w:val="7E613B81"/>
    <w:rsid w:val="7E6C04EA"/>
    <w:rsid w:val="7F124D77"/>
    <w:rsid w:val="7F1E2F0D"/>
    <w:rsid w:val="7F3A4E94"/>
    <w:rsid w:val="7F950741"/>
    <w:rsid w:val="AFADBCF1"/>
    <w:rsid w:val="BB7EB6C6"/>
    <w:rsid w:val="F5C52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color w:val="000000"/>
      <w:kern w:val="2"/>
      <w:sz w:val="32"/>
      <w:szCs w:val="24"/>
      <w:lang w:val="en-US" w:eastAsia="zh-CN" w:bidi="ar-SA"/>
    </w:rPr>
  </w:style>
  <w:style w:type="paragraph" w:styleId="2">
    <w:name w:val="heading 1"/>
    <w:basedOn w:val="1"/>
    <w:next w:val="1"/>
    <w:qFormat/>
    <w:uiPriority w:val="0"/>
    <w:pPr>
      <w:spacing w:line="360" w:lineRule="auto"/>
      <w:ind w:firstLine="200" w:firstLineChars="200"/>
      <w:outlineLvl w:val="0"/>
    </w:pPr>
    <w:rPr>
      <w:rFonts w:eastAsia="黑体"/>
      <w:b/>
      <w:kern w:val="44"/>
      <w:szCs w:val="44"/>
    </w:rPr>
  </w:style>
  <w:style w:type="paragraph" w:styleId="3">
    <w:name w:val="heading 2"/>
    <w:basedOn w:val="1"/>
    <w:next w:val="1"/>
    <w:link w:val="15"/>
    <w:unhideWhenUsed/>
    <w:qFormat/>
    <w:uiPriority w:val="0"/>
    <w:pPr>
      <w:keepNext/>
      <w:keepLines/>
      <w:spacing w:before="120" w:after="120" w:line="586" w:lineRule="exact"/>
      <w:ind w:firstLine="200" w:firstLineChars="200"/>
      <w:outlineLvl w:val="1"/>
    </w:pPr>
    <w:rPr>
      <w:b/>
      <w:bCs/>
      <w:szCs w:val="32"/>
    </w:rPr>
  </w:style>
  <w:style w:type="paragraph" w:styleId="4">
    <w:name w:val="heading 3"/>
    <w:basedOn w:val="1"/>
    <w:next w:val="1"/>
    <w:unhideWhenUsed/>
    <w:qFormat/>
    <w:uiPriority w:val="0"/>
    <w:pPr>
      <w:keepNext/>
      <w:keepLines/>
      <w:spacing w:before="50" w:beforeLines="50" w:beforeAutospacing="0" w:after="50" w:afterLines="50" w:afterAutospacing="0" w:line="360" w:lineRule="auto"/>
      <w:outlineLvl w:val="2"/>
    </w:pPr>
    <w:rPr>
      <w:rFonts w:eastAsia="宋体" w:asciiTheme="minorAscii" w:hAnsiTheme="minorAscii"/>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rPr>
      <w:rFonts w:ascii="Calibri" w:hAnsi="Calibri" w:eastAsia="宋体"/>
      <w:sz w:val="21"/>
    </w:rPr>
  </w:style>
  <w:style w:type="paragraph" w:styleId="6">
    <w:name w:val="Body Text"/>
    <w:basedOn w:val="1"/>
    <w:next w:val="7"/>
    <w:qFormat/>
    <w:uiPriority w:val="0"/>
    <w:pPr>
      <w:spacing w:after="120"/>
    </w:pPr>
  </w:style>
  <w:style w:type="paragraph" w:styleId="7">
    <w:name w:val="toc 5"/>
    <w:basedOn w:val="1"/>
    <w:next w:val="1"/>
    <w:unhideWhenUsed/>
    <w:qFormat/>
    <w:uiPriority w:val="39"/>
    <w:pPr>
      <w:ind w:left="168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rPr>
  </w:style>
  <w:style w:type="paragraph" w:styleId="11">
    <w:name w:val="Normal (Web)"/>
    <w:basedOn w:val="1"/>
    <w:qFormat/>
    <w:uiPriority w:val="0"/>
    <w:pPr>
      <w:spacing w:before="100" w:beforeAutospacing="1" w:after="100" w:afterAutospacing="1"/>
      <w:jc w:val="left"/>
    </w:pPr>
    <w:rPr>
      <w:kern w:val="0"/>
      <w:sz w:val="24"/>
    </w:rPr>
  </w:style>
  <w:style w:type="character" w:styleId="14">
    <w:name w:val="Strong"/>
    <w:qFormat/>
    <w:uiPriority w:val="0"/>
    <w:rPr>
      <w:b/>
    </w:rPr>
  </w:style>
  <w:style w:type="character" w:customStyle="1" w:styleId="15">
    <w:name w:val="标题 2 字符"/>
    <w:link w:val="3"/>
    <w:qFormat/>
    <w:uiPriority w:val="0"/>
    <w:rPr>
      <w:rFonts w:eastAsia="仿宋_GB2312" w:cs="Times New Roman"/>
      <w:b/>
      <w:bCs/>
      <w:color w:val="000000"/>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1006</Words>
  <Characters>1046</Characters>
  <Lines>12</Lines>
  <Paragraphs>3</Paragraphs>
  <TotalTime>0</TotalTime>
  <ScaleCrop>false</ScaleCrop>
  <LinksUpToDate>false</LinksUpToDate>
  <CharactersWithSpaces>1047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2024-08-23T06:04:00Z</dcterms:created>
  <dc:creator>user</dc:creator>
  <cp:lastModifiedBy>柠檬__C___</cp:lastModifiedBy>
  <cp:lastPrinted>2023-05-17T04:41:00Z</cp:lastPrinted>
  <dcterms:modified xsi:type="dcterms:W3CDTF">2024-09-03T07:34:45Z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49AF205D56134AF6AFD2C0F6BE963119_13</vt:lpwstr>
  </property>
  <property fmtid="{D5CDD505-2E9C-101B-9397-08002B2CF9AE}" pid="4" name="MSIP_Label_defa4170-0d19-0005-0004-bc88714345d2_Enabled">
    <vt:lpwstr>true</vt:lpwstr>
  </property>
  <property fmtid="{D5CDD505-2E9C-101B-9397-08002B2CF9AE}" pid="5" name="MSIP_Label_defa4170-0d19-0005-0004-bc88714345d2_SetDate">
    <vt:lpwstr>2024-08-23T06:03:40Z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d309e834-40c5-4475-90cd-27f2199ad78a</vt:lpwstr>
  </property>
  <property fmtid="{D5CDD505-2E9C-101B-9397-08002B2CF9AE}" pid="9" name="MSIP_Label_defa4170-0d19-0005-0004-bc88714345d2_ActionId">
    <vt:lpwstr>3bc29f7a-7059-4b42-a385-eb28bf3e15b6</vt:lpwstr>
  </property>
  <property fmtid="{D5CDD505-2E9C-101B-9397-08002B2CF9AE}" pid="10" name="MSIP_Label_defa4170-0d19-0005-0004-bc88714345d2_ContentBits">
    <vt:lpwstr>0</vt:lpwstr>
  </property>
</Properties>
</file>