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7973C">
      <w:pPr>
        <w:spacing w:line="600" w:lineRule="atLeast"/>
        <w:ind w:firstLine="0" w:firstLineChars="0"/>
        <w:jc w:val="center"/>
        <w:rPr>
          <w:rFonts w:cs="仿宋"/>
          <w:b/>
          <w:sz w:val="36"/>
          <w:szCs w:val="36"/>
        </w:rPr>
      </w:pPr>
    </w:p>
    <w:p w14:paraId="763E9659">
      <w:pPr>
        <w:pStyle w:val="2"/>
        <w:ind w:firstLine="602"/>
      </w:pPr>
    </w:p>
    <w:p w14:paraId="53862FDC">
      <w:pPr>
        <w:ind w:firstLine="480"/>
        <w:rPr>
          <w:rFonts w:hint="eastAsia"/>
        </w:rPr>
      </w:pPr>
    </w:p>
    <w:p w14:paraId="6F81D540">
      <w:pPr>
        <w:pStyle w:val="2"/>
        <w:spacing w:line="600" w:lineRule="atLeast"/>
        <w:ind w:firstLine="0" w:firstLineChars="0"/>
      </w:pPr>
    </w:p>
    <w:p w14:paraId="1D3C3F58">
      <w:pPr>
        <w:spacing w:line="600" w:lineRule="exact"/>
        <w:ind w:firstLine="0" w:firstLineChars="0"/>
        <w:jc w:val="center"/>
        <w:outlineLvl w:val="0"/>
        <w:rPr>
          <w:rFonts w:hint="eastAsia" w:ascii="宋体" w:hAnsi="宋体" w:eastAsia="宋体" w:cs="宋体"/>
          <w:szCs w:val="24"/>
        </w:rPr>
      </w:pPr>
      <w:r>
        <w:rPr>
          <w:rFonts w:hint="eastAsia" w:ascii="宋体" w:hAnsi="宋体" w:eastAsia="宋体" w:cs="宋体"/>
          <w:szCs w:val="24"/>
        </w:rPr>
        <w:t>寻甸回族彝族自治县教育体育局2023年寻甸县市七运会场馆能力提升项目支出</w:t>
      </w:r>
    </w:p>
    <w:p w14:paraId="2B56CE77">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3C3B6740">
      <w:pPr>
        <w:spacing w:line="600" w:lineRule="exact"/>
        <w:ind w:firstLine="0" w:firstLineChars="0"/>
        <w:jc w:val="center"/>
        <w:rPr>
          <w:rFonts w:hint="eastAsia" w:ascii="仿宋_GB2312" w:hAnsi="仿宋_GB2312" w:eastAsia="仿宋_GB2312" w:cs="仿宋_GB2312"/>
          <w:sz w:val="32"/>
          <w:szCs w:val="32"/>
        </w:rPr>
      </w:pPr>
    </w:p>
    <w:p w14:paraId="4DF4C8AF">
      <w:pPr>
        <w:pStyle w:val="2"/>
        <w:spacing w:line="600" w:lineRule="exact"/>
        <w:ind w:firstLine="0" w:firstLineChars="0"/>
      </w:pPr>
    </w:p>
    <w:p w14:paraId="01F64F92">
      <w:pPr>
        <w:ind w:firstLine="480"/>
      </w:pPr>
    </w:p>
    <w:p w14:paraId="6C56C503">
      <w:pPr>
        <w:pStyle w:val="2"/>
        <w:ind w:firstLine="602"/>
      </w:pPr>
    </w:p>
    <w:p w14:paraId="081A48F2">
      <w:pPr>
        <w:ind w:firstLine="480"/>
      </w:pPr>
    </w:p>
    <w:p w14:paraId="3CFDE9A1">
      <w:pPr>
        <w:pStyle w:val="2"/>
        <w:ind w:firstLine="602"/>
      </w:pPr>
    </w:p>
    <w:p w14:paraId="2341B3FC">
      <w:pPr>
        <w:ind w:firstLine="480"/>
        <w:rPr>
          <w:rFonts w:hint="eastAsia"/>
        </w:rPr>
      </w:pPr>
    </w:p>
    <w:p w14:paraId="42C3B186">
      <w:pPr>
        <w:spacing w:line="600" w:lineRule="exact"/>
        <w:ind w:firstLine="0" w:firstLineChars="0"/>
        <w:jc w:val="center"/>
        <w:rPr>
          <w:rFonts w:hint="eastAsia" w:ascii="宋体" w:hAnsi="宋体" w:eastAsia="宋体"/>
          <w:szCs w:val="24"/>
        </w:rPr>
      </w:pPr>
    </w:p>
    <w:p w14:paraId="687E3440">
      <w:pPr>
        <w:spacing w:line="600" w:lineRule="exact"/>
        <w:ind w:firstLine="0" w:firstLineChars="0"/>
        <w:rPr>
          <w:rFonts w:hint="eastAsia"/>
        </w:rPr>
      </w:pPr>
    </w:p>
    <w:p w14:paraId="4CA75B88">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项目名称：寻甸县市七运会场馆能力提升项目支出绩效评价</w:t>
      </w:r>
    </w:p>
    <w:p w14:paraId="4B6F59E8">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评价单位：寻甸回族彝族自治县教育体育局</w:t>
      </w:r>
    </w:p>
    <w:p w14:paraId="09D8E988">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6183CE7C">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18956136">
      <w:pPr>
        <w:spacing w:line="600" w:lineRule="exact"/>
        <w:ind w:firstLine="0" w:firstLineChars="0"/>
        <w:jc w:val="center"/>
        <w:rPr>
          <w:rFonts w:hint="eastAsia" w:cs="仿宋"/>
          <w:b/>
          <w:sz w:val="28"/>
          <w:szCs w:val="28"/>
        </w:rPr>
      </w:pPr>
    </w:p>
    <w:p w14:paraId="35BF1941">
      <w:pPr>
        <w:ind w:firstLine="562"/>
        <w:jc w:val="center"/>
        <w:rPr>
          <w:rFonts w:hint="eastAsia" w:cs="仿宋"/>
          <w:b/>
          <w:sz w:val="28"/>
          <w:szCs w:val="28"/>
        </w:rPr>
      </w:pPr>
    </w:p>
    <w:p w14:paraId="492BCD01">
      <w:pPr>
        <w:pStyle w:val="11"/>
        <w:keepNext w:val="0"/>
        <w:keepLines w:val="0"/>
        <w:ind w:firstLine="0" w:firstLineChars="0"/>
        <w:rPr>
          <w:rFonts w:hint="eastAsia" w:ascii="黑体" w:hAnsi="黑体" w:eastAsia="黑体"/>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92" w:gutter="0"/>
          <w:pgBorders>
            <w:top w:val="single" w:color="auto" w:sz="4" w:space="1"/>
            <w:bottom w:val="single" w:color="auto" w:sz="4" w:space="1"/>
          </w:pgBorders>
          <w:pgNumType w:start="1"/>
          <w:cols w:space="425" w:num="1"/>
          <w:docGrid w:type="lines" w:linePitch="312" w:charSpace="0"/>
        </w:sectPr>
      </w:pPr>
    </w:p>
    <w:p w14:paraId="38B058AE">
      <w:pPr>
        <w:ind w:firstLine="480"/>
        <w:jc w:val="center"/>
        <w:rPr>
          <w:rFonts w:hint="eastAsia" w:ascii="黑体" w:hAnsi="黑体" w:eastAsia="黑体" w:cs="黑体"/>
          <w:bCs/>
          <w:szCs w:val="24"/>
        </w:rPr>
      </w:pPr>
      <w:r>
        <w:rPr>
          <w:rFonts w:hint="eastAsia" w:ascii="黑体" w:hAnsi="黑体" w:eastAsia="黑体" w:cs="黑体"/>
          <w:bCs/>
          <w:szCs w:val="24"/>
        </w:rPr>
        <w:t>寻甸回族彝族自治县教育体育局2023年寻甸县市七运会场馆能力提升项目</w:t>
      </w:r>
    </w:p>
    <w:p w14:paraId="6046E2A7">
      <w:pPr>
        <w:ind w:firstLine="72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1A71F989">
      <w:pPr>
        <w:ind w:firstLine="318" w:firstLineChars="177"/>
        <w:jc w:val="center"/>
        <w:rPr>
          <w:rFonts w:hint="eastAsia" w:ascii="宋体" w:hAnsi="宋体" w:eastAsia="宋体"/>
          <w:sz w:val="18"/>
          <w:szCs w:val="18"/>
        </w:rPr>
      </w:pPr>
      <w:r>
        <w:rPr>
          <w:rFonts w:hint="eastAsia" w:ascii="宋体" w:hAnsi="宋体" w:eastAsia="宋体"/>
          <w:sz w:val="18"/>
          <w:szCs w:val="18"/>
        </w:rPr>
        <w:t>云京健专审字（2024）第</w:t>
      </w:r>
      <w:r>
        <w:rPr>
          <w:rFonts w:hint="eastAsia" w:ascii="宋体" w:hAnsi="宋体" w:eastAsia="宋体"/>
          <w:sz w:val="18"/>
          <w:szCs w:val="18"/>
          <w:lang w:val="en-US" w:eastAsia="zh-CN"/>
        </w:rPr>
        <w:t>057</w:t>
      </w:r>
      <w:r>
        <w:rPr>
          <w:rFonts w:hint="eastAsia" w:ascii="宋体" w:hAnsi="宋体" w:eastAsia="宋体"/>
          <w:sz w:val="18"/>
          <w:szCs w:val="18"/>
        </w:rPr>
        <w:t>号</w:t>
      </w:r>
    </w:p>
    <w:p w14:paraId="217EC095">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16AED65E">
      <w:pPr>
        <w:spacing w:line="240" w:lineRule="auto"/>
        <w:ind w:firstLine="560"/>
        <w:rPr>
          <w:rFonts w:hint="eastAsia"/>
          <w:sz w:val="28"/>
          <w:szCs w:val="28"/>
        </w:rPr>
      </w:pPr>
      <w:r>
        <w:rPr>
          <w:rFonts w:hint="eastAsia"/>
          <w:sz w:val="28"/>
          <w:szCs w:val="28"/>
        </w:rPr>
        <w:t>我们接受委托，根据</w:t>
      </w:r>
      <w:bookmarkStart w:id="0" w:name="_Hlk143855331"/>
      <w:r>
        <w:rPr>
          <w:rFonts w:hint="eastAsia"/>
          <w:sz w:val="28"/>
          <w:szCs w:val="28"/>
        </w:rPr>
        <w:t>《关于全面推进预算绩效管理改革的实施意见》（寻政发〔</w:t>
      </w:r>
      <w:r>
        <w:rPr>
          <w:sz w:val="28"/>
          <w:szCs w:val="28"/>
        </w:rPr>
        <w:t>2016〕122号）</w:t>
      </w:r>
      <w:bookmarkEnd w:id="0"/>
      <w:r>
        <w:rPr>
          <w:sz w:val="28"/>
          <w:szCs w:val="28"/>
        </w:rPr>
        <w:t>、《关于印发寻甸回族彝族自治县预算绩效管理工作考核办法（试行）的通知》（寻政办发〔2016〕79号）、《关于明确预算绩效管理工作职责的通知》（寻财〔2020〕5号）和</w:t>
      </w:r>
      <w:bookmarkStart w:id="1" w:name="_Hlk143855269"/>
      <w:r>
        <w:rPr>
          <w:sz w:val="28"/>
          <w:szCs w:val="28"/>
        </w:rPr>
        <w:t>《关于</w:t>
      </w:r>
      <w:r>
        <w:rPr>
          <w:rFonts w:hint="eastAsia"/>
          <w:sz w:val="28"/>
          <w:szCs w:val="28"/>
        </w:rPr>
        <w:t>开展</w:t>
      </w:r>
      <w:r>
        <w:rPr>
          <w:sz w:val="28"/>
          <w:szCs w:val="28"/>
        </w:rPr>
        <w:t>202</w:t>
      </w:r>
      <w:r>
        <w:rPr>
          <w:rFonts w:hint="eastAsia"/>
          <w:sz w:val="28"/>
          <w:szCs w:val="28"/>
        </w:rPr>
        <w:t>3</w:t>
      </w:r>
      <w:r>
        <w:rPr>
          <w:sz w:val="28"/>
          <w:szCs w:val="28"/>
        </w:rPr>
        <w:t>年度部门整体支出、重大项目支出和地方政府债券项目支出绩效再评价的通知》（寻财绩〔202</w:t>
      </w:r>
      <w:r>
        <w:rPr>
          <w:rFonts w:hint="eastAsia"/>
          <w:sz w:val="28"/>
          <w:szCs w:val="28"/>
        </w:rPr>
        <w:t>4</w:t>
      </w:r>
      <w:r>
        <w:rPr>
          <w:sz w:val="28"/>
          <w:szCs w:val="28"/>
        </w:rPr>
        <w:t>〕</w:t>
      </w:r>
      <w:r>
        <w:rPr>
          <w:rFonts w:hint="eastAsia"/>
          <w:sz w:val="28"/>
          <w:szCs w:val="28"/>
        </w:rPr>
        <w:t>4</w:t>
      </w:r>
      <w:r>
        <w:rPr>
          <w:sz w:val="28"/>
          <w:szCs w:val="28"/>
        </w:rPr>
        <w:t>号）</w:t>
      </w:r>
      <w:bookmarkEnd w:id="1"/>
      <w:r>
        <w:rPr>
          <w:rFonts w:hint="eastAsia"/>
          <w:sz w:val="28"/>
          <w:szCs w:val="28"/>
        </w:rPr>
        <w:t>等文件要求，组成审计评价组对寻甸回族彝族自治县教育体育局寻甸县承办市第七届运会专项经费项目支出（以下简称“项目”）的管理、使用及效益情况进行了绩效评价。寻甸回族彝族自治县教育体育局（以下简称“教体局”）对所提供评价资料的真实性、完整性负责。现将绩效评价情况报告如下：</w:t>
      </w:r>
      <w:bookmarkStart w:id="2" w:name="_Toc502134848"/>
    </w:p>
    <w:p w14:paraId="1F47EB59">
      <w:pPr>
        <w:pStyle w:val="4"/>
        <w:spacing w:line="240" w:lineRule="auto"/>
        <w:ind w:firstLine="560"/>
        <w:jc w:val="left"/>
        <w:rPr>
          <w:rFonts w:hint="eastAsia" w:ascii="黑体" w:hAnsi="黑体" w:eastAsia="黑体" w:cs="黑体"/>
          <w:sz w:val="28"/>
          <w:szCs w:val="28"/>
        </w:rPr>
      </w:pPr>
      <w:r>
        <w:rPr>
          <w:rFonts w:hint="eastAsia" w:ascii="黑体" w:hAnsi="黑体" w:eastAsia="黑体" w:cs="黑体"/>
          <w:sz w:val="28"/>
          <w:szCs w:val="28"/>
        </w:rPr>
        <w:t>一、基本情况</w:t>
      </w:r>
      <w:bookmarkEnd w:id="2"/>
      <w:bookmarkStart w:id="3" w:name="_Toc502134849"/>
      <w:bookmarkStart w:id="4" w:name="_Hlk146446416"/>
    </w:p>
    <w:p w14:paraId="7E413108">
      <w:pPr>
        <w:pStyle w:val="4"/>
        <w:spacing w:line="240" w:lineRule="auto"/>
        <w:ind w:firstLine="560"/>
        <w:jc w:val="left"/>
        <w:rPr>
          <w:rFonts w:hint="eastAsia" w:ascii="楷体" w:hAnsi="楷体" w:eastAsia="楷体" w:cs="楷体"/>
          <w:sz w:val="28"/>
          <w:szCs w:val="28"/>
        </w:rPr>
      </w:pPr>
      <w:r>
        <w:rPr>
          <w:rFonts w:hint="eastAsia" w:ascii="楷体" w:hAnsi="楷体" w:eastAsia="楷体" w:cs="楷体"/>
          <w:sz w:val="28"/>
          <w:szCs w:val="28"/>
        </w:rPr>
        <w:t>(一)项目概况</w:t>
      </w:r>
      <w:bookmarkEnd w:id="3"/>
    </w:p>
    <w:p w14:paraId="7C25885A">
      <w:pPr>
        <w:spacing w:line="240" w:lineRule="auto"/>
        <w:ind w:firstLine="560"/>
        <w:rPr>
          <w:rFonts w:hint="eastAsia" w:cs="仿宋"/>
          <w:sz w:val="28"/>
          <w:szCs w:val="28"/>
        </w:rPr>
      </w:pPr>
      <w:r>
        <w:rPr>
          <w:rFonts w:hint="eastAsia" w:cs="仿宋"/>
          <w:sz w:val="28"/>
          <w:szCs w:val="28"/>
        </w:rPr>
        <w:t>1.项目设定背景、目的</w:t>
      </w:r>
    </w:p>
    <w:p w14:paraId="3A16B746">
      <w:pPr>
        <w:spacing w:line="240" w:lineRule="auto"/>
        <w:ind w:firstLine="560"/>
        <w:rPr>
          <w:rFonts w:hint="eastAsia" w:cs="仿宋"/>
          <w:sz w:val="28"/>
          <w:szCs w:val="28"/>
        </w:rPr>
      </w:pPr>
      <w:r>
        <w:rPr>
          <w:rFonts w:hint="eastAsia" w:cs="仿宋"/>
          <w:sz w:val="28"/>
          <w:szCs w:val="28"/>
        </w:rPr>
        <w:t>国务院下发的</w:t>
      </w:r>
      <w:bookmarkStart w:id="5" w:name="_Hlk177395518"/>
      <w:r>
        <w:rPr>
          <w:rFonts w:hint="eastAsia" w:cs="仿宋"/>
          <w:sz w:val="28"/>
          <w:szCs w:val="28"/>
        </w:rPr>
        <w:t>《关于印发全民健身计划(2021—2025年)的通知》</w:t>
      </w:r>
      <w:bookmarkEnd w:id="5"/>
      <w:r>
        <w:rPr>
          <w:rFonts w:hint="eastAsia" w:cs="仿宋"/>
          <w:sz w:val="28"/>
          <w:szCs w:val="28"/>
        </w:rPr>
        <w:t>指出：到2025年，全民健身公共服务体系更加完善，人民群众体育健身更加便利，健身热情进一步提高，各运动项目参与人数持续提升，经常参加体育锻炼人数比例达到38.5%，县(市、区)、乡镇 (街道)、行政村(社区)三级公共健身设施和社区15分钟健身圈实现全覆盖，每千人拥有社会体育指导员2.16名，带动全国体育产业总规模达到5万亿元。同时要求：加大全民健身场地设施供给，广泛开展全民健身赛事活动，提升科学健身指导服务水平，激发体育社会组织活力，促进重点人群健身活动开展，推动体育产业高质量发展，推进全民健身融合发展，营造全民健身社会氛围。</w:t>
      </w:r>
    </w:p>
    <w:p w14:paraId="74CEEFF0">
      <w:pPr>
        <w:spacing w:line="240" w:lineRule="auto"/>
        <w:ind w:firstLine="560"/>
        <w:rPr>
          <w:rFonts w:hint="eastAsia" w:cs="仿宋"/>
          <w:sz w:val="28"/>
          <w:szCs w:val="28"/>
        </w:rPr>
      </w:pPr>
      <w:r>
        <w:rPr>
          <w:rFonts w:hint="eastAsia" w:cs="仿宋"/>
          <w:sz w:val="28"/>
          <w:szCs w:val="28"/>
        </w:rPr>
        <w:t>四年一届的昆明市运动会的昆明规格最高、规模最大的综合性体育盛会，2019年，寻甸申报昆明市第七届运动会承办权获得批准。2021年，县委常委会、县政府常务会审议通过《寻甸回族彝族自治县关于昆明市第七届运动会场馆改造新建的工作方案》。2022年，县政府成立以县长为组长的建设工作领导小组，高位统筹，加快推进市七运会场馆建设。</w:t>
      </w:r>
    </w:p>
    <w:p w14:paraId="41D7BEB4">
      <w:pPr>
        <w:spacing w:line="240" w:lineRule="auto"/>
        <w:ind w:firstLine="560"/>
        <w:rPr>
          <w:rFonts w:hint="eastAsia" w:cs="仿宋"/>
          <w:color w:val="FF0000"/>
          <w:sz w:val="28"/>
          <w:szCs w:val="28"/>
        </w:rPr>
      </w:pPr>
      <w:r>
        <w:rPr>
          <w:rFonts w:hint="eastAsia" w:cs="仿宋"/>
          <w:sz w:val="28"/>
          <w:szCs w:val="28"/>
        </w:rPr>
        <w:t>2.项目立项依据</w:t>
      </w:r>
    </w:p>
    <w:p w14:paraId="52FF37A7">
      <w:pPr>
        <w:spacing w:line="240" w:lineRule="auto"/>
        <w:ind w:firstLine="560"/>
        <w:rPr>
          <w:rFonts w:hint="eastAsia" w:cs="仿宋"/>
          <w:sz w:val="28"/>
          <w:szCs w:val="28"/>
        </w:rPr>
      </w:pPr>
      <w:bookmarkStart w:id="6" w:name="_Hlk114838304"/>
      <w:bookmarkStart w:id="7" w:name="_Toc502134850"/>
      <w:r>
        <w:rPr>
          <w:rFonts w:hint="eastAsia" w:cs="仿宋"/>
          <w:sz w:val="28"/>
          <w:szCs w:val="28"/>
        </w:rPr>
        <w:t>(1)</w:t>
      </w:r>
      <w:bookmarkEnd w:id="6"/>
      <w:r>
        <w:rPr>
          <w:rFonts w:hint="eastAsia" w:cs="仿宋"/>
          <w:sz w:val="28"/>
          <w:szCs w:val="28"/>
        </w:rPr>
        <w:t>《关于印发全民健身计划(2021—2025年)的通知》；</w:t>
      </w:r>
    </w:p>
    <w:p w14:paraId="17FC99DC">
      <w:pPr>
        <w:spacing w:line="240" w:lineRule="auto"/>
        <w:ind w:firstLine="560"/>
        <w:rPr>
          <w:rFonts w:hint="eastAsia" w:cs="仿宋"/>
          <w:sz w:val="28"/>
          <w:szCs w:val="28"/>
        </w:rPr>
      </w:pPr>
      <w:r>
        <w:rPr>
          <w:rFonts w:hint="eastAsia" w:cs="仿宋"/>
          <w:sz w:val="28"/>
          <w:szCs w:val="28"/>
        </w:rPr>
        <w:t>(2)《昆明市第七届运动会寻甸县筹备工作方案》（寻办通〔2023〕14号）；</w:t>
      </w:r>
    </w:p>
    <w:p w14:paraId="0CBBC441">
      <w:pPr>
        <w:spacing w:line="240" w:lineRule="auto"/>
        <w:ind w:firstLine="560"/>
        <w:rPr>
          <w:rFonts w:hint="eastAsia" w:cs="仿宋"/>
          <w:sz w:val="28"/>
          <w:szCs w:val="28"/>
        </w:rPr>
      </w:pPr>
      <w:r>
        <w:rPr>
          <w:rFonts w:hint="eastAsia" w:cs="仿宋"/>
          <w:sz w:val="28"/>
          <w:szCs w:val="28"/>
        </w:rPr>
        <w:t>(3)</w:t>
      </w:r>
      <w:bookmarkStart w:id="8" w:name="_Hlk177395785"/>
      <w:r>
        <w:rPr>
          <w:rFonts w:hint="eastAsia" w:cs="仿宋"/>
          <w:sz w:val="28"/>
          <w:szCs w:val="28"/>
        </w:rPr>
        <w:t>《关于寻甸县承办市七运会原有场馆能力提升建设项目的批复》（寻发改投资[2022]70号）</w:t>
      </w:r>
      <w:bookmarkEnd w:id="8"/>
      <w:r>
        <w:rPr>
          <w:rFonts w:hint="eastAsia" w:cs="仿宋"/>
          <w:sz w:val="28"/>
          <w:szCs w:val="28"/>
        </w:rPr>
        <w:t>；</w:t>
      </w:r>
    </w:p>
    <w:p w14:paraId="64548FA9">
      <w:pPr>
        <w:spacing w:line="240" w:lineRule="auto"/>
        <w:ind w:firstLine="560"/>
        <w:rPr>
          <w:rFonts w:hint="eastAsia" w:cs="仿宋"/>
          <w:sz w:val="28"/>
          <w:szCs w:val="28"/>
        </w:rPr>
      </w:pPr>
      <w:r>
        <w:rPr>
          <w:rFonts w:hint="eastAsia" w:cs="仿宋"/>
          <w:sz w:val="28"/>
          <w:szCs w:val="28"/>
        </w:rPr>
        <w:t>(4)《寻甸县承办市七运会原有场馆能力提升建设项目可行性研究报告》。</w:t>
      </w:r>
      <w:bookmarkEnd w:id="4"/>
    </w:p>
    <w:p w14:paraId="2417EDC5">
      <w:pPr>
        <w:spacing w:line="240" w:lineRule="auto"/>
        <w:ind w:firstLine="560"/>
        <w:rPr>
          <w:rFonts w:hint="eastAsia" w:ascii="楷体" w:hAnsi="楷体" w:eastAsia="楷体" w:cs="楷体"/>
          <w:sz w:val="28"/>
          <w:szCs w:val="28"/>
        </w:rPr>
      </w:pPr>
      <w:r>
        <w:rPr>
          <w:rFonts w:hint="eastAsia" w:ascii="楷体" w:hAnsi="楷体" w:eastAsia="楷体" w:cs="楷体"/>
          <w:sz w:val="28"/>
          <w:szCs w:val="28"/>
        </w:rPr>
        <w:t>(二)</w:t>
      </w:r>
      <w:bookmarkStart w:id="9" w:name="_Hlk146447174"/>
      <w:r>
        <w:rPr>
          <w:rFonts w:hint="eastAsia" w:ascii="楷体" w:hAnsi="楷体" w:eastAsia="楷体" w:cs="楷体"/>
          <w:sz w:val="28"/>
          <w:szCs w:val="28"/>
        </w:rPr>
        <w:t>项目资金安排情况</w:t>
      </w:r>
      <w:bookmarkEnd w:id="7"/>
      <w:bookmarkEnd w:id="9"/>
      <w:bookmarkStart w:id="10" w:name="_Toc502134851"/>
      <w:bookmarkStart w:id="11" w:name="_Hlk146446528"/>
    </w:p>
    <w:p w14:paraId="04AF222A">
      <w:pPr>
        <w:spacing w:line="240" w:lineRule="auto"/>
        <w:ind w:firstLine="560"/>
        <w:rPr>
          <w:rFonts w:hint="eastAsia" w:cs="仿宋"/>
          <w:sz w:val="28"/>
          <w:szCs w:val="28"/>
        </w:rPr>
      </w:pPr>
      <w:bookmarkStart w:id="12" w:name="_Hlk177398105"/>
      <w:r>
        <w:rPr>
          <w:rFonts w:hint="eastAsia" w:cs="仿宋"/>
          <w:sz w:val="28"/>
          <w:szCs w:val="28"/>
        </w:rPr>
        <w:t>《关于寻甸县承办市七运会原有场馆能力提升建设项目的批复》（寻发改投资[2022]70号）批复项目</w:t>
      </w:r>
      <w:bookmarkEnd w:id="12"/>
      <w:r>
        <w:rPr>
          <w:rFonts w:hint="eastAsia" w:cs="仿宋"/>
          <w:sz w:val="28"/>
          <w:szCs w:val="28"/>
        </w:rPr>
        <w:t>总投资1213.09万元，资金来源为政府投资及自筹。</w:t>
      </w:r>
    </w:p>
    <w:p w14:paraId="1701594C">
      <w:pPr>
        <w:spacing w:line="240" w:lineRule="auto"/>
        <w:ind w:firstLine="560"/>
        <w:rPr>
          <w:rFonts w:hint="eastAsia" w:cs="仿宋"/>
          <w:sz w:val="28"/>
          <w:szCs w:val="28"/>
        </w:rPr>
      </w:pPr>
      <w:r>
        <w:rPr>
          <w:rFonts w:hint="eastAsia" w:cs="仿宋"/>
          <w:sz w:val="28"/>
          <w:szCs w:val="28"/>
        </w:rPr>
        <w:t>截至2023年12月31日，</w:t>
      </w:r>
      <w:bookmarkStart w:id="13" w:name="_Hlk177405704"/>
      <w:r>
        <w:rPr>
          <w:rFonts w:hint="eastAsia" w:cs="仿宋"/>
          <w:sz w:val="28"/>
          <w:szCs w:val="28"/>
        </w:rPr>
        <w:t>《寻甸回族彝族自治县人民政府关于帮助解决昆明市第七届运动会场馆能力提升建设经费的请示收文处理笺》同意在2022年度财政预算安排5,000,000.00元、《寻甸回族彝族自治县财政局关于批复2023年部门预算的通知》（寻财预〔2023〕1号）安排项目资金3,000,000.00元、《寻甸回族彝族自治县财政局关于下达七运会场馆能力提升追加项目建设资金的通知》（寻财综〔2023〕35 号）安排项目资金1,000,000.00元。</w:t>
      </w:r>
      <w:bookmarkEnd w:id="13"/>
    </w:p>
    <w:p w14:paraId="270BD58D">
      <w:pPr>
        <w:spacing w:line="240" w:lineRule="auto"/>
        <w:ind w:firstLine="560"/>
        <w:rPr>
          <w:rFonts w:hint="eastAsia" w:ascii="楷体" w:hAnsi="楷体" w:eastAsia="楷体" w:cs="楷体"/>
          <w:sz w:val="28"/>
          <w:szCs w:val="28"/>
        </w:rPr>
      </w:pPr>
      <w:r>
        <w:rPr>
          <w:rFonts w:hint="eastAsia" w:ascii="楷体" w:hAnsi="楷体" w:eastAsia="楷体" w:cs="楷体"/>
          <w:sz w:val="28"/>
          <w:szCs w:val="28"/>
        </w:rPr>
        <w:t>(三)项目实施内容</w:t>
      </w:r>
      <w:bookmarkEnd w:id="10"/>
    </w:p>
    <w:bookmarkEnd w:id="11"/>
    <w:p w14:paraId="33D4361A">
      <w:pPr>
        <w:spacing w:line="240" w:lineRule="auto"/>
        <w:ind w:firstLine="560"/>
        <w:rPr>
          <w:rFonts w:hint="eastAsia" w:cs="仿宋"/>
          <w:sz w:val="28"/>
          <w:szCs w:val="28"/>
        </w:rPr>
      </w:pPr>
      <w:bookmarkStart w:id="14" w:name="_Toc502134852"/>
      <w:bookmarkStart w:id="15" w:name="_Hlk146446621"/>
      <w:r>
        <w:rPr>
          <w:rFonts w:hint="eastAsia" w:cs="仿宋"/>
          <w:sz w:val="28"/>
          <w:szCs w:val="28"/>
        </w:rPr>
        <w:t>《关于寻甸县承办市七运会原有场馆能力提升建设项目的批复》（寻发改投资[2022]70号）批复项目建设内容：</w:t>
      </w:r>
    </w:p>
    <w:p w14:paraId="0C0C36D3">
      <w:pPr>
        <w:spacing w:line="240" w:lineRule="auto"/>
        <w:ind w:firstLine="560"/>
        <w:rPr>
          <w:rFonts w:hint="eastAsia" w:cs="仿宋"/>
          <w:sz w:val="28"/>
          <w:szCs w:val="28"/>
        </w:rPr>
      </w:pPr>
      <w:r>
        <w:rPr>
          <w:rFonts w:hint="eastAsia" w:cs="仿宋"/>
          <w:sz w:val="28"/>
          <w:szCs w:val="28"/>
        </w:rPr>
        <w:t>1.仁德一小室内篮球馆楼地面、墙体、门窗、卫生间提升改造，外墙面清洗、水电改造等。</w:t>
      </w:r>
    </w:p>
    <w:p w14:paraId="4BA003C2">
      <w:pPr>
        <w:spacing w:line="240" w:lineRule="auto"/>
        <w:ind w:firstLine="560"/>
        <w:rPr>
          <w:rFonts w:hint="eastAsia" w:cs="仿宋"/>
          <w:sz w:val="28"/>
          <w:szCs w:val="28"/>
        </w:rPr>
      </w:pPr>
      <w:r>
        <w:rPr>
          <w:rFonts w:hint="eastAsia" w:cs="仿宋"/>
          <w:sz w:val="28"/>
          <w:szCs w:val="28"/>
        </w:rPr>
        <w:t>2.县体育中心球场草皮更换、塑胶跑道更新、水电改造等。</w:t>
      </w:r>
    </w:p>
    <w:p w14:paraId="54BD11C7">
      <w:pPr>
        <w:spacing w:line="240" w:lineRule="auto"/>
        <w:ind w:firstLine="560"/>
        <w:rPr>
          <w:rFonts w:hint="eastAsia" w:cs="仿宋"/>
          <w:sz w:val="28"/>
          <w:szCs w:val="28"/>
        </w:rPr>
      </w:pPr>
      <w:r>
        <w:rPr>
          <w:rFonts w:hint="eastAsia" w:cs="仿宋"/>
          <w:sz w:val="28"/>
          <w:szCs w:val="28"/>
        </w:rPr>
        <w:t>3.仁德一中风雨球场楼地面、墙体、门窗、卫生间提升改造，外墙面、水电改造等。</w:t>
      </w:r>
    </w:p>
    <w:p w14:paraId="745FD323">
      <w:pPr>
        <w:spacing w:line="240" w:lineRule="auto"/>
        <w:ind w:firstLine="560"/>
        <w:rPr>
          <w:rFonts w:hint="eastAsia" w:cs="仿宋"/>
          <w:sz w:val="28"/>
          <w:szCs w:val="28"/>
        </w:rPr>
      </w:pPr>
      <w:r>
        <w:rPr>
          <w:rFonts w:hint="eastAsia" w:cs="仿宋"/>
          <w:sz w:val="28"/>
          <w:szCs w:val="28"/>
        </w:rPr>
        <w:t>4.县灯光球场楼地面、墙体、门窗、卫生间提升改造，外墙面、水电改造、场馆入口场地、围墙、大门改造等。</w:t>
      </w:r>
    </w:p>
    <w:p w14:paraId="1B33C95F">
      <w:pPr>
        <w:spacing w:line="240" w:lineRule="auto"/>
        <w:ind w:firstLine="560"/>
        <w:rPr>
          <w:rFonts w:hint="eastAsia" w:cs="仿宋"/>
          <w:sz w:val="28"/>
          <w:szCs w:val="28"/>
        </w:rPr>
      </w:pPr>
      <w:r>
        <w:rPr>
          <w:rFonts w:hint="eastAsia" w:cs="仿宋"/>
          <w:sz w:val="28"/>
          <w:szCs w:val="28"/>
        </w:rPr>
        <w:t>5.县老体协活动中心楼地面、墙面、电改造等。</w:t>
      </w:r>
    </w:p>
    <w:p w14:paraId="2CC10B78">
      <w:pPr>
        <w:spacing w:line="240" w:lineRule="auto"/>
        <w:ind w:firstLine="560"/>
        <w:rPr>
          <w:rFonts w:hint="eastAsia" w:cs="仿宋"/>
          <w:sz w:val="28"/>
          <w:szCs w:val="28"/>
        </w:rPr>
      </w:pPr>
      <w:r>
        <w:rPr>
          <w:rFonts w:hint="eastAsia" w:cs="仿宋"/>
          <w:sz w:val="28"/>
          <w:szCs w:val="28"/>
        </w:rPr>
        <w:t>6.金所中学运动场球场草皮更换、塑胶跑道修补、内外环沟、沟盖板整修、增建看台。</w:t>
      </w:r>
    </w:p>
    <w:p w14:paraId="04E1B8CA">
      <w:pPr>
        <w:spacing w:line="240" w:lineRule="auto"/>
        <w:ind w:firstLine="560"/>
        <w:rPr>
          <w:rFonts w:hint="eastAsia" w:ascii="楷体" w:hAnsi="楷体" w:eastAsia="楷体" w:cs="楷体"/>
          <w:sz w:val="28"/>
          <w:szCs w:val="28"/>
        </w:rPr>
      </w:pPr>
      <w:r>
        <w:rPr>
          <w:rFonts w:hint="eastAsia" w:ascii="楷体" w:hAnsi="楷体" w:eastAsia="楷体" w:cs="楷体"/>
          <w:sz w:val="28"/>
          <w:szCs w:val="28"/>
        </w:rPr>
        <w:t>(四)项目绩效目标设定情况</w:t>
      </w:r>
      <w:bookmarkEnd w:id="14"/>
    </w:p>
    <w:p w14:paraId="1B4CA960">
      <w:pPr>
        <w:spacing w:line="240" w:lineRule="auto"/>
        <w:ind w:firstLine="560"/>
        <w:rPr>
          <w:rFonts w:hint="eastAsia" w:cs="仿宋"/>
          <w:sz w:val="28"/>
          <w:szCs w:val="28"/>
        </w:rPr>
      </w:pPr>
      <w:r>
        <w:rPr>
          <w:rFonts w:hint="eastAsia" w:cs="仿宋"/>
          <w:sz w:val="28"/>
          <w:szCs w:val="28"/>
        </w:rPr>
        <w:t>教体局根据上述项目实施内容，设定了项目总体目标和年度目标均为：2023年寻甸县将承办昆明市第七届运动会，为做好必要的场馆设施，确保顺利承办市七运会，对6个现有场馆进行提升改造。</w:t>
      </w:r>
    </w:p>
    <w:p w14:paraId="670A7EF2">
      <w:pPr>
        <w:spacing w:line="240" w:lineRule="auto"/>
        <w:ind w:firstLine="560"/>
        <w:rPr>
          <w:rFonts w:hint="eastAsia"/>
          <w:sz w:val="28"/>
          <w:szCs w:val="28"/>
        </w:rPr>
      </w:pPr>
      <w:r>
        <w:rPr>
          <w:rFonts w:hint="eastAsia" w:cs="仿宋"/>
          <w:sz w:val="28"/>
          <w:szCs w:val="28"/>
        </w:rPr>
        <w:t>根据上述项目年度目标，教体局申报的2023年度预算绩效指标及指标值的具体情况如下：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37"/>
        <w:gridCol w:w="2125"/>
        <w:gridCol w:w="2837"/>
        <w:gridCol w:w="1459"/>
      </w:tblGrid>
      <w:tr w14:paraId="33CD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jc w:val="center"/>
        </w:trPr>
        <w:tc>
          <w:tcPr>
            <w:tcW w:w="385" w:type="pct"/>
            <w:vMerge w:val="restart"/>
            <w:tcBorders>
              <w:tl2br w:val="nil"/>
              <w:tr2bl w:val="nil"/>
            </w:tcBorders>
            <w:shd w:val="clear" w:color="auto" w:fill="auto"/>
            <w:vAlign w:val="center"/>
          </w:tcPr>
          <w:p w14:paraId="18B4F72A">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绩效指标</w:t>
            </w:r>
          </w:p>
          <w:p w14:paraId="717AB349">
            <w:pPr>
              <w:pStyle w:val="3"/>
              <w:spacing w:line="240" w:lineRule="auto"/>
              <w:ind w:firstLine="883"/>
              <w:rPr>
                <w:rFonts w:hint="eastAsia"/>
              </w:rPr>
            </w:pPr>
          </w:p>
        </w:tc>
        <w:tc>
          <w:tcPr>
            <w:tcW w:w="844" w:type="pct"/>
            <w:tcBorders>
              <w:tl2br w:val="nil"/>
              <w:tr2bl w:val="nil"/>
            </w:tcBorders>
            <w:shd w:val="clear" w:color="auto" w:fill="auto"/>
            <w:vAlign w:val="center"/>
          </w:tcPr>
          <w:p w14:paraId="0B3CFE18">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一级指标</w:t>
            </w:r>
          </w:p>
        </w:tc>
        <w:tc>
          <w:tcPr>
            <w:tcW w:w="1248" w:type="pct"/>
            <w:tcBorders>
              <w:tl2br w:val="nil"/>
              <w:tr2bl w:val="nil"/>
            </w:tcBorders>
            <w:shd w:val="clear" w:color="auto" w:fill="auto"/>
            <w:vAlign w:val="center"/>
          </w:tcPr>
          <w:p w14:paraId="3DEC9AE3">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二级指标</w:t>
            </w:r>
          </w:p>
        </w:tc>
        <w:tc>
          <w:tcPr>
            <w:tcW w:w="1666" w:type="pct"/>
            <w:tcBorders>
              <w:tl2br w:val="nil"/>
              <w:tr2bl w:val="nil"/>
            </w:tcBorders>
            <w:shd w:val="clear" w:color="auto" w:fill="auto"/>
            <w:vAlign w:val="center"/>
          </w:tcPr>
          <w:p w14:paraId="38FECAD6">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三级指标</w:t>
            </w:r>
          </w:p>
        </w:tc>
        <w:tc>
          <w:tcPr>
            <w:tcW w:w="857" w:type="pct"/>
            <w:tcBorders>
              <w:tl2br w:val="nil"/>
              <w:tr2bl w:val="nil"/>
            </w:tcBorders>
            <w:shd w:val="clear" w:color="auto" w:fill="auto"/>
            <w:vAlign w:val="center"/>
          </w:tcPr>
          <w:p w14:paraId="21B83B73">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指标值</w:t>
            </w:r>
          </w:p>
        </w:tc>
      </w:tr>
      <w:tr w14:paraId="3746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385" w:type="pct"/>
            <w:vMerge w:val="continue"/>
            <w:tcBorders>
              <w:tl2br w:val="nil"/>
              <w:tr2bl w:val="nil"/>
            </w:tcBorders>
            <w:vAlign w:val="center"/>
          </w:tcPr>
          <w:p w14:paraId="6D6B5E52">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844" w:type="pct"/>
            <w:vMerge w:val="restart"/>
            <w:tcBorders>
              <w:tl2br w:val="nil"/>
              <w:tr2bl w:val="nil"/>
            </w:tcBorders>
            <w:shd w:val="clear" w:color="auto" w:fill="auto"/>
            <w:vAlign w:val="center"/>
          </w:tcPr>
          <w:p w14:paraId="4B0E5671">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产出指标</w:t>
            </w:r>
          </w:p>
        </w:tc>
        <w:tc>
          <w:tcPr>
            <w:tcW w:w="1248" w:type="pct"/>
            <w:tcBorders>
              <w:tl2br w:val="nil"/>
              <w:tr2bl w:val="nil"/>
            </w:tcBorders>
            <w:shd w:val="clear" w:color="auto" w:fill="auto"/>
            <w:vAlign w:val="center"/>
          </w:tcPr>
          <w:p w14:paraId="00170133">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数量指标</w:t>
            </w:r>
          </w:p>
        </w:tc>
        <w:tc>
          <w:tcPr>
            <w:tcW w:w="1666" w:type="pct"/>
            <w:tcBorders>
              <w:tl2br w:val="nil"/>
              <w:tr2bl w:val="nil"/>
            </w:tcBorders>
            <w:shd w:val="clear" w:color="auto" w:fill="auto"/>
            <w:vAlign w:val="center"/>
          </w:tcPr>
          <w:p w14:paraId="0D95B455">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体育场馆改造项目数</w:t>
            </w:r>
          </w:p>
        </w:tc>
        <w:tc>
          <w:tcPr>
            <w:tcW w:w="857" w:type="pct"/>
            <w:tcBorders>
              <w:tl2br w:val="nil"/>
              <w:tr2bl w:val="nil"/>
            </w:tcBorders>
            <w:shd w:val="clear" w:color="auto" w:fill="auto"/>
            <w:vAlign w:val="center"/>
          </w:tcPr>
          <w:p w14:paraId="4333DA33">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6个</w:t>
            </w:r>
          </w:p>
        </w:tc>
      </w:tr>
      <w:tr w14:paraId="24FB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2FB29B35">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844" w:type="pct"/>
            <w:vMerge w:val="continue"/>
            <w:tcBorders>
              <w:tl2br w:val="nil"/>
              <w:tr2bl w:val="nil"/>
            </w:tcBorders>
            <w:shd w:val="clear" w:color="auto" w:fill="auto"/>
            <w:vAlign w:val="center"/>
          </w:tcPr>
          <w:p w14:paraId="71F913CC">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1248" w:type="pct"/>
            <w:tcBorders>
              <w:tl2br w:val="nil"/>
              <w:tr2bl w:val="nil"/>
            </w:tcBorders>
            <w:shd w:val="clear" w:color="auto" w:fill="auto"/>
            <w:vAlign w:val="center"/>
          </w:tcPr>
          <w:p w14:paraId="7B796740">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质量指标</w:t>
            </w:r>
          </w:p>
        </w:tc>
        <w:tc>
          <w:tcPr>
            <w:tcW w:w="1666" w:type="pct"/>
            <w:tcBorders>
              <w:tl2br w:val="nil"/>
              <w:tr2bl w:val="nil"/>
            </w:tcBorders>
            <w:shd w:val="clear" w:color="auto" w:fill="auto"/>
            <w:vAlign w:val="center"/>
          </w:tcPr>
          <w:p w14:paraId="7B7B030C">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工程项目合格率</w:t>
            </w:r>
          </w:p>
        </w:tc>
        <w:tc>
          <w:tcPr>
            <w:tcW w:w="857" w:type="pct"/>
            <w:tcBorders>
              <w:tl2br w:val="nil"/>
              <w:tr2bl w:val="nil"/>
            </w:tcBorders>
            <w:shd w:val="clear" w:color="auto" w:fill="auto"/>
            <w:vAlign w:val="center"/>
          </w:tcPr>
          <w:p w14:paraId="3930ECDB">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r>
      <w:tr w14:paraId="4FDB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57C6B340">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844" w:type="pct"/>
            <w:vMerge w:val="continue"/>
            <w:tcBorders>
              <w:tl2br w:val="nil"/>
              <w:tr2bl w:val="nil"/>
            </w:tcBorders>
            <w:shd w:val="clear" w:color="auto" w:fill="auto"/>
            <w:vAlign w:val="center"/>
          </w:tcPr>
          <w:p w14:paraId="7CD77071">
            <w:pPr>
              <w:widowControl/>
              <w:spacing w:line="240" w:lineRule="auto"/>
              <w:ind w:firstLine="420"/>
              <w:jc w:val="center"/>
              <w:rPr>
                <w:rFonts w:hint="eastAsia" w:asciiTheme="minorEastAsia" w:hAnsiTheme="minorEastAsia" w:eastAsiaTheme="minorEastAsia" w:cstheme="minorEastAsia"/>
                <w:color w:val="000000"/>
                <w:kern w:val="0"/>
                <w:sz w:val="21"/>
                <w:szCs w:val="21"/>
              </w:rPr>
            </w:pPr>
          </w:p>
        </w:tc>
        <w:tc>
          <w:tcPr>
            <w:tcW w:w="1248" w:type="pct"/>
            <w:tcBorders>
              <w:tl2br w:val="nil"/>
              <w:tr2bl w:val="nil"/>
            </w:tcBorders>
            <w:shd w:val="clear" w:color="auto" w:fill="auto"/>
            <w:vAlign w:val="center"/>
          </w:tcPr>
          <w:p w14:paraId="7001A937">
            <w:pPr>
              <w:widowControl/>
              <w:spacing w:line="240" w:lineRule="auto"/>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18"/>
                <w:szCs w:val="18"/>
              </w:rPr>
              <w:t>时效指标</w:t>
            </w:r>
          </w:p>
        </w:tc>
        <w:tc>
          <w:tcPr>
            <w:tcW w:w="1666" w:type="pct"/>
            <w:tcBorders>
              <w:tl2br w:val="nil"/>
              <w:tr2bl w:val="nil"/>
            </w:tcBorders>
            <w:shd w:val="clear" w:color="auto" w:fill="auto"/>
            <w:vAlign w:val="center"/>
          </w:tcPr>
          <w:p w14:paraId="0AC5A117">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工程完工时间</w:t>
            </w:r>
          </w:p>
        </w:tc>
        <w:tc>
          <w:tcPr>
            <w:tcW w:w="857" w:type="pct"/>
            <w:tcBorders>
              <w:tl2br w:val="nil"/>
              <w:tr2bl w:val="nil"/>
            </w:tcBorders>
            <w:shd w:val="clear" w:color="auto" w:fill="auto"/>
            <w:vAlign w:val="center"/>
          </w:tcPr>
          <w:p w14:paraId="5AC19771">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6月</w:t>
            </w:r>
          </w:p>
        </w:tc>
      </w:tr>
      <w:tr w14:paraId="0349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3930C7BB">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844" w:type="pct"/>
            <w:vMerge w:val="continue"/>
            <w:tcBorders>
              <w:tl2br w:val="nil"/>
              <w:tr2bl w:val="nil"/>
            </w:tcBorders>
            <w:vAlign w:val="center"/>
          </w:tcPr>
          <w:p w14:paraId="1F6B32F1">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p>
        </w:tc>
        <w:tc>
          <w:tcPr>
            <w:tcW w:w="1248" w:type="pct"/>
            <w:tcBorders>
              <w:tl2br w:val="nil"/>
              <w:tr2bl w:val="nil"/>
            </w:tcBorders>
            <w:shd w:val="clear" w:color="auto" w:fill="auto"/>
            <w:vAlign w:val="center"/>
          </w:tcPr>
          <w:p w14:paraId="6E8E1181">
            <w:pPr>
              <w:spacing w:line="240" w:lineRule="auto"/>
              <w:ind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成本指标</w:t>
            </w:r>
          </w:p>
        </w:tc>
        <w:tc>
          <w:tcPr>
            <w:tcW w:w="1666" w:type="pct"/>
            <w:tcBorders>
              <w:tl2br w:val="nil"/>
              <w:tr2bl w:val="nil"/>
            </w:tcBorders>
            <w:shd w:val="clear" w:color="auto" w:fill="auto"/>
            <w:vAlign w:val="center"/>
          </w:tcPr>
          <w:p w14:paraId="5B42666A">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维修改造项目补助资金</w:t>
            </w:r>
          </w:p>
        </w:tc>
        <w:tc>
          <w:tcPr>
            <w:tcW w:w="857" w:type="pct"/>
            <w:tcBorders>
              <w:tl2br w:val="nil"/>
              <w:tr2bl w:val="nil"/>
            </w:tcBorders>
            <w:shd w:val="clear" w:color="auto" w:fill="auto"/>
            <w:vAlign w:val="center"/>
          </w:tcPr>
          <w:p w14:paraId="1D5FE7B9">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≤1213.09万元</w:t>
            </w:r>
          </w:p>
        </w:tc>
      </w:tr>
      <w:tr w14:paraId="2442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2FA746E5">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844" w:type="pct"/>
            <w:vMerge w:val="restart"/>
            <w:tcBorders>
              <w:tl2br w:val="nil"/>
              <w:tr2bl w:val="nil"/>
            </w:tcBorders>
            <w:vAlign w:val="center"/>
          </w:tcPr>
          <w:p w14:paraId="3F5786D3">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效益指标</w:t>
            </w:r>
          </w:p>
        </w:tc>
        <w:tc>
          <w:tcPr>
            <w:tcW w:w="1248" w:type="pct"/>
            <w:tcBorders>
              <w:tl2br w:val="nil"/>
              <w:tr2bl w:val="nil"/>
            </w:tcBorders>
            <w:shd w:val="clear" w:color="auto" w:fill="auto"/>
            <w:vAlign w:val="center"/>
          </w:tcPr>
          <w:p w14:paraId="1BDC3003">
            <w:pPr>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社会效益指标</w:t>
            </w:r>
          </w:p>
        </w:tc>
        <w:tc>
          <w:tcPr>
            <w:tcW w:w="1666" w:type="pct"/>
            <w:tcBorders>
              <w:tl2br w:val="nil"/>
              <w:tr2bl w:val="nil"/>
            </w:tcBorders>
            <w:shd w:val="clear" w:color="auto" w:fill="auto"/>
            <w:vAlign w:val="center"/>
          </w:tcPr>
          <w:p w14:paraId="692A9105">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市七运会顺利举办，圆满成功</w:t>
            </w:r>
          </w:p>
        </w:tc>
        <w:tc>
          <w:tcPr>
            <w:tcW w:w="857" w:type="pct"/>
            <w:tcBorders>
              <w:tl2br w:val="nil"/>
              <w:tr2bl w:val="nil"/>
            </w:tcBorders>
            <w:shd w:val="clear" w:color="auto" w:fill="auto"/>
            <w:vAlign w:val="center"/>
          </w:tcPr>
          <w:p w14:paraId="210A53EC">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≥90%</w:t>
            </w:r>
          </w:p>
        </w:tc>
      </w:tr>
      <w:tr w14:paraId="5D6C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1B17456E">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844" w:type="pct"/>
            <w:vMerge w:val="continue"/>
            <w:tcBorders>
              <w:tl2br w:val="nil"/>
              <w:tr2bl w:val="nil"/>
            </w:tcBorders>
            <w:vAlign w:val="center"/>
          </w:tcPr>
          <w:p w14:paraId="66CF50C5">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p>
        </w:tc>
        <w:tc>
          <w:tcPr>
            <w:tcW w:w="1248" w:type="pct"/>
            <w:tcBorders>
              <w:tl2br w:val="nil"/>
              <w:tr2bl w:val="nil"/>
            </w:tcBorders>
            <w:shd w:val="clear" w:color="auto" w:fill="auto"/>
            <w:vAlign w:val="center"/>
          </w:tcPr>
          <w:p w14:paraId="3A5A7E2B">
            <w:pPr>
              <w:spacing w:line="240" w:lineRule="auto"/>
              <w:ind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可持续影响指标</w:t>
            </w:r>
          </w:p>
        </w:tc>
        <w:tc>
          <w:tcPr>
            <w:tcW w:w="1666" w:type="pct"/>
            <w:tcBorders>
              <w:tl2br w:val="nil"/>
              <w:tr2bl w:val="nil"/>
            </w:tcBorders>
            <w:shd w:val="clear" w:color="auto" w:fill="auto"/>
            <w:vAlign w:val="center"/>
          </w:tcPr>
          <w:p w14:paraId="3CA700FA">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体育可持续发展</w:t>
            </w:r>
          </w:p>
        </w:tc>
        <w:tc>
          <w:tcPr>
            <w:tcW w:w="857" w:type="pct"/>
            <w:tcBorders>
              <w:tl2br w:val="nil"/>
              <w:tr2bl w:val="nil"/>
            </w:tcBorders>
            <w:shd w:val="clear" w:color="auto" w:fill="auto"/>
            <w:vAlign w:val="center"/>
          </w:tcPr>
          <w:p w14:paraId="6DDD49FD">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长期</w:t>
            </w:r>
          </w:p>
        </w:tc>
      </w:tr>
      <w:tr w14:paraId="3E6F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21C1D660">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844" w:type="pct"/>
            <w:tcBorders>
              <w:tl2br w:val="nil"/>
              <w:tr2bl w:val="nil"/>
            </w:tcBorders>
            <w:vAlign w:val="center"/>
          </w:tcPr>
          <w:p w14:paraId="2449D4BA">
            <w:pPr>
              <w:widowControl/>
              <w:spacing w:line="240" w:lineRule="exact"/>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满意度指标</w:t>
            </w:r>
          </w:p>
        </w:tc>
        <w:tc>
          <w:tcPr>
            <w:tcW w:w="1248" w:type="pct"/>
            <w:tcBorders>
              <w:tl2br w:val="nil"/>
              <w:tr2bl w:val="nil"/>
            </w:tcBorders>
            <w:shd w:val="clear" w:color="auto" w:fill="auto"/>
            <w:vAlign w:val="center"/>
          </w:tcPr>
          <w:p w14:paraId="3F72B1B9">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服务对象满意度指标</w:t>
            </w:r>
          </w:p>
        </w:tc>
        <w:tc>
          <w:tcPr>
            <w:tcW w:w="1666" w:type="pct"/>
            <w:tcBorders>
              <w:tl2br w:val="nil"/>
              <w:tr2bl w:val="nil"/>
            </w:tcBorders>
            <w:shd w:val="clear" w:color="auto" w:fill="auto"/>
            <w:vAlign w:val="center"/>
          </w:tcPr>
          <w:p w14:paraId="2E18CAFE">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群众满意度</w:t>
            </w:r>
          </w:p>
        </w:tc>
        <w:tc>
          <w:tcPr>
            <w:tcW w:w="857" w:type="pct"/>
            <w:tcBorders>
              <w:tl2br w:val="nil"/>
              <w:tr2bl w:val="nil"/>
            </w:tcBorders>
            <w:shd w:val="clear" w:color="auto" w:fill="auto"/>
            <w:vAlign w:val="center"/>
          </w:tcPr>
          <w:p w14:paraId="08304260">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≥85%</w:t>
            </w:r>
          </w:p>
        </w:tc>
      </w:tr>
      <w:bookmarkEnd w:id="15"/>
    </w:tbl>
    <w:p w14:paraId="46D2F2DB">
      <w:pPr>
        <w:ind w:firstLine="560"/>
        <w:rPr>
          <w:rFonts w:hint="eastAsia"/>
          <w:sz w:val="28"/>
          <w:szCs w:val="28"/>
        </w:rPr>
      </w:pPr>
      <w:r>
        <w:rPr>
          <w:rFonts w:hint="eastAsia"/>
          <w:sz w:val="28"/>
          <w:szCs w:val="28"/>
        </w:rPr>
        <w:t>根据教体局提供的绩效目标申报表分析，绩效指标设定不科学明确，未通过清晰、可衡量的指标及指标值予以体现，未设定最能体现项目绩效目标实现程度和项目实施部门职能履职情况的关键的、核心的绩效指标。</w:t>
      </w:r>
    </w:p>
    <w:p w14:paraId="25BBA5CF">
      <w:pPr>
        <w:ind w:firstLine="560"/>
        <w:rPr>
          <w:rFonts w:hint="eastAsia"/>
          <w:sz w:val="28"/>
          <w:szCs w:val="28"/>
        </w:rPr>
      </w:pPr>
      <w:r>
        <w:rPr>
          <w:rFonts w:hint="eastAsia"/>
          <w:sz w:val="28"/>
          <w:szCs w:val="28"/>
        </w:rPr>
        <w:t>根据上述情况，绩效评价组根据项目具体实施内容，结合项目设定的背景、目的及依据，与教体局充分沟通一致后，设计</w:t>
      </w:r>
      <w:r>
        <w:rPr>
          <w:sz w:val="28"/>
          <w:szCs w:val="28"/>
        </w:rPr>
        <w:t>个性指标及指标值明细如下：</w:t>
      </w:r>
    </w:p>
    <w:tbl>
      <w:tblPr>
        <w:tblStyle w:val="7"/>
        <w:tblW w:w="8355" w:type="dxa"/>
        <w:tblInd w:w="0" w:type="dxa"/>
        <w:tblLayout w:type="fixed"/>
        <w:tblCellMar>
          <w:top w:w="0" w:type="dxa"/>
          <w:left w:w="0" w:type="dxa"/>
          <w:bottom w:w="0" w:type="dxa"/>
          <w:right w:w="0" w:type="dxa"/>
        </w:tblCellMar>
      </w:tblPr>
      <w:tblGrid>
        <w:gridCol w:w="1008"/>
        <w:gridCol w:w="1134"/>
        <w:gridCol w:w="1275"/>
        <w:gridCol w:w="3969"/>
        <w:gridCol w:w="969"/>
      </w:tblGrid>
      <w:tr w14:paraId="7545E108">
        <w:tblPrEx>
          <w:tblCellMar>
            <w:top w:w="0" w:type="dxa"/>
            <w:left w:w="0" w:type="dxa"/>
            <w:bottom w:w="0" w:type="dxa"/>
            <w:right w:w="0" w:type="dxa"/>
          </w:tblCellMar>
        </w:tblPrEx>
        <w:trPr>
          <w:cantSplit/>
          <w:trHeight w:val="20" w:hRule="atLeast"/>
        </w:trPr>
        <w:tc>
          <w:tcPr>
            <w:tcW w:w="10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AD4BF6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绩</w:t>
            </w:r>
            <w:r>
              <w:rPr>
                <w:rFonts w:hint="eastAsia" w:ascii="宋体" w:hAnsi="宋体" w:eastAsia="宋体" w:cs="宋体"/>
                <w:color w:val="000000"/>
                <w:kern w:val="0"/>
                <w:sz w:val="18"/>
                <w:szCs w:val="18"/>
              </w:rPr>
              <w:t>效指标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BE0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972F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二级指标</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8EC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三级指标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68F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指标值</w:t>
            </w:r>
          </w:p>
        </w:tc>
      </w:tr>
      <w:tr w14:paraId="6B266BFE">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4D6EE03">
            <w:pPr>
              <w:spacing w:line="240" w:lineRule="auto"/>
              <w:ind w:firstLine="420"/>
              <w:jc w:val="center"/>
              <w:rPr>
                <w:rFonts w:hint="eastAsia" w:ascii="宋体" w:hAnsi="宋体" w:eastAsia="宋体" w:cs="宋体"/>
                <w:sz w:val="21"/>
                <w:szCs w:val="21"/>
              </w:rPr>
            </w:pPr>
          </w:p>
        </w:tc>
        <w:tc>
          <w:tcPr>
            <w:tcW w:w="113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1475B78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效益指标</w:t>
            </w:r>
          </w:p>
        </w:tc>
        <w:tc>
          <w:tcPr>
            <w:tcW w:w="12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30F09CB">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社会效益</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7705C">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基本建设程序合规率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5B6F">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44042DD5">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C09D1BB">
            <w:pPr>
              <w:spacing w:line="240" w:lineRule="auto"/>
              <w:ind w:firstLine="420"/>
              <w:jc w:val="center"/>
              <w:rPr>
                <w:rFonts w:hint="eastAsia" w:ascii="宋体" w:hAnsi="宋体" w:eastAsia="宋体" w:cs="宋体"/>
                <w:sz w:val="21"/>
                <w:szCs w:val="21"/>
              </w:rPr>
            </w:pPr>
          </w:p>
        </w:tc>
        <w:tc>
          <w:tcPr>
            <w:tcW w:w="11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FBFC07C">
            <w:pPr>
              <w:spacing w:line="240" w:lineRule="auto"/>
              <w:ind w:firstLine="420"/>
              <w:jc w:val="center"/>
              <w:rPr>
                <w:rFonts w:hint="eastAsia" w:ascii="宋体" w:hAnsi="宋体" w:eastAsia="宋体" w:cs="宋体"/>
                <w:sz w:val="21"/>
                <w:szCs w:val="21"/>
              </w:rPr>
            </w:pPr>
          </w:p>
        </w:tc>
        <w:tc>
          <w:tcPr>
            <w:tcW w:w="12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A482ECF">
            <w:pPr>
              <w:spacing w:line="240" w:lineRule="auto"/>
              <w:ind w:firstLine="360"/>
              <w:jc w:val="left"/>
              <w:rPr>
                <w:rFonts w:hint="eastAsia" w:ascii="宋体" w:hAnsi="宋体" w:eastAsia="宋体" w:cs="宋体"/>
                <w:sz w:val="18"/>
                <w:szCs w:val="1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8AC45">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基建项目“四制”执行合规率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58A36">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0358185B">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F5F13BA">
            <w:pPr>
              <w:spacing w:line="240" w:lineRule="auto"/>
              <w:ind w:firstLine="420"/>
              <w:jc w:val="center"/>
              <w:rPr>
                <w:rFonts w:hint="eastAsia" w:ascii="宋体" w:hAnsi="宋体" w:eastAsia="宋体" w:cs="宋体"/>
                <w:sz w:val="21"/>
                <w:szCs w:val="21"/>
              </w:rPr>
            </w:pPr>
          </w:p>
        </w:tc>
        <w:tc>
          <w:tcPr>
            <w:tcW w:w="11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D84AE1F">
            <w:pPr>
              <w:spacing w:line="240" w:lineRule="auto"/>
              <w:ind w:firstLine="420"/>
              <w:jc w:val="center"/>
              <w:rPr>
                <w:rFonts w:hint="eastAsia" w:ascii="宋体" w:hAnsi="宋体" w:eastAsia="宋体" w:cs="宋体"/>
                <w:sz w:val="21"/>
                <w:szCs w:val="21"/>
              </w:rPr>
            </w:pPr>
          </w:p>
        </w:tc>
        <w:tc>
          <w:tcPr>
            <w:tcW w:w="12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618B64C">
            <w:pPr>
              <w:spacing w:line="240" w:lineRule="auto"/>
              <w:ind w:firstLine="360"/>
              <w:jc w:val="left"/>
              <w:rPr>
                <w:rFonts w:hint="eastAsia" w:ascii="宋体" w:hAnsi="宋体" w:eastAsia="宋体" w:cs="宋体"/>
                <w:sz w:val="18"/>
                <w:szCs w:val="1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760D">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安全事件处理及时率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8E8A">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755763DE">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5AB14D4">
            <w:pPr>
              <w:spacing w:line="240" w:lineRule="auto"/>
              <w:ind w:firstLine="420"/>
              <w:jc w:val="center"/>
              <w:rPr>
                <w:rFonts w:hint="eastAsia" w:ascii="宋体" w:hAnsi="宋体" w:eastAsia="宋体" w:cs="宋体"/>
                <w:sz w:val="21"/>
                <w:szCs w:val="21"/>
              </w:rPr>
            </w:pPr>
          </w:p>
        </w:tc>
        <w:tc>
          <w:tcPr>
            <w:tcW w:w="11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F4AE493">
            <w:pPr>
              <w:spacing w:line="240" w:lineRule="auto"/>
              <w:ind w:firstLine="420"/>
              <w:jc w:val="center"/>
              <w:rPr>
                <w:rFonts w:hint="eastAsia" w:ascii="宋体" w:hAnsi="宋体" w:eastAsia="宋体" w:cs="宋体"/>
                <w:sz w:val="21"/>
                <w:szCs w:val="21"/>
              </w:rPr>
            </w:pPr>
          </w:p>
        </w:tc>
        <w:tc>
          <w:tcPr>
            <w:tcW w:w="12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72FDA42">
            <w:pPr>
              <w:spacing w:line="240" w:lineRule="auto"/>
              <w:ind w:firstLine="360"/>
              <w:jc w:val="left"/>
              <w:rPr>
                <w:rFonts w:hint="eastAsia" w:ascii="宋体" w:hAnsi="宋体" w:eastAsia="宋体" w:cs="宋体"/>
                <w:sz w:val="18"/>
                <w:szCs w:val="1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DD61">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设计功能实现率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D66A">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01F3CB58">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49F20CD">
            <w:pPr>
              <w:spacing w:line="240" w:lineRule="auto"/>
              <w:ind w:firstLine="420"/>
              <w:jc w:val="center"/>
              <w:rPr>
                <w:rFonts w:hint="eastAsia" w:ascii="宋体" w:hAnsi="宋体" w:eastAsia="宋体" w:cs="宋体"/>
                <w:sz w:val="21"/>
                <w:szCs w:val="21"/>
              </w:rPr>
            </w:pPr>
          </w:p>
        </w:tc>
        <w:tc>
          <w:tcPr>
            <w:tcW w:w="11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7BA3AB4">
            <w:pPr>
              <w:spacing w:line="240" w:lineRule="auto"/>
              <w:ind w:firstLine="420"/>
              <w:jc w:val="center"/>
              <w:rPr>
                <w:rFonts w:hint="eastAsia" w:ascii="宋体" w:hAnsi="宋体" w:eastAsia="宋体" w:cs="宋体"/>
                <w:sz w:val="21"/>
                <w:szCs w:val="21"/>
              </w:rPr>
            </w:pPr>
          </w:p>
        </w:tc>
        <w:tc>
          <w:tcPr>
            <w:tcW w:w="12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E6AEA41">
            <w:pPr>
              <w:spacing w:line="240" w:lineRule="auto"/>
              <w:ind w:firstLine="360"/>
              <w:jc w:val="left"/>
              <w:rPr>
                <w:rFonts w:hint="eastAsia" w:ascii="宋体" w:hAnsi="宋体" w:eastAsia="宋体" w:cs="宋体"/>
                <w:sz w:val="18"/>
                <w:szCs w:val="1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97172">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政府采购执行率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1CDE0">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5B47BA72">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0CC8E98">
            <w:pPr>
              <w:spacing w:line="240" w:lineRule="auto"/>
              <w:ind w:firstLine="420"/>
              <w:jc w:val="center"/>
              <w:rPr>
                <w:rFonts w:hint="eastAsia" w:ascii="宋体" w:hAnsi="宋体" w:eastAsia="宋体" w:cs="宋体"/>
                <w:sz w:val="21"/>
                <w:szCs w:val="21"/>
              </w:rPr>
            </w:pPr>
          </w:p>
        </w:tc>
        <w:tc>
          <w:tcPr>
            <w:tcW w:w="11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287035C">
            <w:pPr>
              <w:spacing w:line="240" w:lineRule="auto"/>
              <w:ind w:firstLine="420"/>
              <w:jc w:val="center"/>
              <w:rPr>
                <w:rFonts w:hint="eastAsia" w:ascii="宋体" w:hAnsi="宋体" w:eastAsia="宋体" w:cs="宋体"/>
                <w:sz w:val="21"/>
                <w:szCs w:val="21"/>
              </w:rPr>
            </w:pPr>
          </w:p>
        </w:tc>
        <w:tc>
          <w:tcPr>
            <w:tcW w:w="12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098BC5A">
            <w:pPr>
              <w:spacing w:line="240" w:lineRule="auto"/>
              <w:ind w:firstLine="360"/>
              <w:jc w:val="left"/>
              <w:rPr>
                <w:rFonts w:hint="eastAsia" w:ascii="宋体" w:hAnsi="宋体" w:eastAsia="宋体" w:cs="宋体"/>
                <w:sz w:val="18"/>
                <w:szCs w:val="1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B0ED">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设施、设备利用率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1A9D">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431FEDC5">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9C89734">
            <w:pPr>
              <w:spacing w:line="240" w:lineRule="auto"/>
              <w:ind w:firstLine="420"/>
              <w:jc w:val="center"/>
              <w:rPr>
                <w:rFonts w:hint="eastAsia" w:ascii="宋体" w:hAnsi="宋体" w:eastAsia="宋体" w:cs="宋体"/>
                <w:sz w:val="21"/>
                <w:szCs w:val="21"/>
              </w:rPr>
            </w:pPr>
          </w:p>
        </w:tc>
        <w:tc>
          <w:tcPr>
            <w:tcW w:w="113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F5DA664">
            <w:pPr>
              <w:spacing w:line="240" w:lineRule="auto"/>
              <w:ind w:firstLine="420"/>
              <w:jc w:val="center"/>
              <w:rPr>
                <w:rFonts w:hint="eastAsia" w:ascii="宋体" w:hAnsi="宋体" w:eastAsia="宋体" w:cs="宋体"/>
                <w:sz w:val="21"/>
                <w:szCs w:val="21"/>
              </w:rPr>
            </w:pPr>
          </w:p>
        </w:tc>
        <w:tc>
          <w:tcPr>
            <w:tcW w:w="127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C537DF">
            <w:pPr>
              <w:spacing w:line="240" w:lineRule="auto"/>
              <w:ind w:firstLine="360"/>
              <w:jc w:val="left"/>
              <w:rPr>
                <w:rFonts w:hint="eastAsia" w:ascii="宋体" w:hAnsi="宋体" w:eastAsia="宋体" w:cs="宋体"/>
                <w:sz w:val="18"/>
                <w:szCs w:val="1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5547">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公示公告率 </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7AE2">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31C296B5">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AF164DA">
            <w:pPr>
              <w:spacing w:line="240" w:lineRule="auto"/>
              <w:ind w:firstLine="420"/>
              <w:jc w:val="center"/>
              <w:rPr>
                <w:rFonts w:hint="eastAsia" w:ascii="宋体" w:hAnsi="宋体" w:eastAsia="宋体" w:cs="宋体"/>
                <w:sz w:val="21"/>
                <w:szCs w:val="21"/>
              </w:rPr>
            </w:pPr>
          </w:p>
        </w:tc>
        <w:tc>
          <w:tcPr>
            <w:tcW w:w="1134"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14:paraId="59B6C135">
            <w:pPr>
              <w:spacing w:line="240" w:lineRule="auto"/>
              <w:ind w:firstLine="420"/>
              <w:jc w:val="center"/>
              <w:rPr>
                <w:rFonts w:hint="eastAsia" w:ascii="宋体" w:hAnsi="宋体" w:eastAsia="宋体" w:cs="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1EE911">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可持续性</w:t>
            </w:r>
          </w:p>
        </w:tc>
        <w:tc>
          <w:tcPr>
            <w:tcW w:w="39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3E010B5">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可持续性影响期</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E04C">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≥5年</w:t>
            </w:r>
          </w:p>
        </w:tc>
      </w:tr>
      <w:tr w14:paraId="53354A93">
        <w:tblPrEx>
          <w:tblCellMar>
            <w:top w:w="0" w:type="dxa"/>
            <w:left w:w="0" w:type="dxa"/>
            <w:bottom w:w="0" w:type="dxa"/>
            <w:right w:w="0" w:type="dxa"/>
          </w:tblCellMar>
        </w:tblPrEx>
        <w:trPr>
          <w:cantSplit/>
          <w:trHeight w:val="20" w:hRule="atLeast"/>
        </w:trPr>
        <w:tc>
          <w:tcPr>
            <w:tcW w:w="10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C6217">
            <w:pPr>
              <w:spacing w:line="240" w:lineRule="auto"/>
              <w:ind w:firstLine="420"/>
              <w:jc w:val="center"/>
              <w:rPr>
                <w:rFonts w:hint="eastAsia" w:ascii="宋体" w:hAnsi="宋体" w:eastAsia="宋体" w:cs="宋体"/>
                <w:sz w:val="21"/>
                <w:szCs w:val="21"/>
              </w:rPr>
            </w:pPr>
          </w:p>
        </w:tc>
        <w:tc>
          <w:tcPr>
            <w:tcW w:w="113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8EBD903">
            <w:pPr>
              <w:spacing w:line="240" w:lineRule="auto"/>
              <w:ind w:firstLine="420"/>
              <w:jc w:val="center"/>
              <w:rPr>
                <w:rFonts w:hint="eastAsia" w:ascii="宋体" w:hAnsi="宋体" w:eastAsia="宋体" w:cs="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0F499">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满意度</w:t>
            </w:r>
          </w:p>
        </w:tc>
        <w:tc>
          <w:tcPr>
            <w:tcW w:w="39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E4675F">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社会公众或服务对象满意度</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A6E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bl>
    <w:p w14:paraId="3E7AC9C3">
      <w:pPr>
        <w:ind w:firstLine="560"/>
        <w:rPr>
          <w:rFonts w:hint="eastAsia" w:ascii="楷体" w:hAnsi="楷体" w:eastAsia="楷体" w:cs="楷体"/>
          <w:color w:val="FF0000"/>
          <w:sz w:val="28"/>
          <w:szCs w:val="28"/>
        </w:rPr>
      </w:pPr>
      <w:bookmarkStart w:id="16" w:name="_Toc502134853"/>
      <w:r>
        <w:rPr>
          <w:rFonts w:hint="eastAsia" w:ascii="楷体" w:hAnsi="楷体" w:eastAsia="楷体" w:cs="楷体"/>
          <w:sz w:val="28"/>
          <w:szCs w:val="28"/>
        </w:rPr>
        <w:t>(五)组织管理情况</w:t>
      </w:r>
      <w:bookmarkEnd w:id="16"/>
    </w:p>
    <w:p w14:paraId="14622D8A">
      <w:pPr>
        <w:ind w:firstLine="560"/>
        <w:rPr>
          <w:rFonts w:hint="eastAsia"/>
          <w:sz w:val="28"/>
          <w:szCs w:val="28"/>
        </w:rPr>
      </w:pPr>
      <w:r>
        <w:rPr>
          <w:rFonts w:hint="eastAsia"/>
          <w:sz w:val="28"/>
          <w:szCs w:val="28"/>
        </w:rPr>
        <w:t>1.项目实施主体。为保证项目的顺利实施，达到预期目标，成立由教体局等部门主要领导为成员的“领导小组”,负责项目建设的组织领导、协调服务和监督检查工作。领导小组成员由抽调熟悉项目管理、懂工程的技术人员和财务人员组成。职责主要是实施项目的具体事务。</w:t>
      </w:r>
    </w:p>
    <w:p w14:paraId="1579D656">
      <w:pPr>
        <w:ind w:firstLine="560"/>
        <w:rPr>
          <w:rFonts w:hint="eastAsia"/>
          <w:sz w:val="28"/>
          <w:szCs w:val="28"/>
        </w:rPr>
      </w:pPr>
      <w:r>
        <w:rPr>
          <w:rFonts w:hint="eastAsia"/>
          <w:sz w:val="28"/>
          <w:szCs w:val="28"/>
        </w:rPr>
        <w:t>2.保障措施。</w:t>
      </w:r>
    </w:p>
    <w:p w14:paraId="7E20547D">
      <w:pPr>
        <w:ind w:firstLine="560"/>
        <w:rPr>
          <w:rFonts w:hint="eastAsia"/>
          <w:sz w:val="28"/>
          <w:szCs w:val="28"/>
        </w:rPr>
      </w:pPr>
      <w:r>
        <w:rPr>
          <w:rFonts w:hint="eastAsia"/>
          <w:sz w:val="28"/>
          <w:szCs w:val="28"/>
        </w:rPr>
        <w:t>(1)严格按基本建设程序进行管理，实行项目法人责任制、招投标、监理制和工程承包合同制。</w:t>
      </w:r>
    </w:p>
    <w:p w14:paraId="395648E8">
      <w:pPr>
        <w:ind w:firstLine="560"/>
        <w:rPr>
          <w:rFonts w:hint="eastAsia"/>
          <w:sz w:val="28"/>
          <w:szCs w:val="28"/>
        </w:rPr>
      </w:pPr>
      <w:r>
        <w:rPr>
          <w:rFonts w:hint="eastAsia"/>
          <w:sz w:val="28"/>
          <w:szCs w:val="28"/>
        </w:rPr>
        <w:t>(2)项目法人责任制。以各项目点为项目法人，全面负责实施，确保建设工期、质量和资金的合理使用，对工程建设质量终身负责。</w:t>
      </w:r>
    </w:p>
    <w:p w14:paraId="3E37ABBF">
      <w:pPr>
        <w:ind w:firstLine="560"/>
        <w:rPr>
          <w:rFonts w:hint="eastAsia"/>
          <w:sz w:val="28"/>
          <w:szCs w:val="28"/>
        </w:rPr>
      </w:pPr>
      <w:r>
        <w:rPr>
          <w:rFonts w:hint="eastAsia"/>
          <w:sz w:val="28"/>
          <w:szCs w:val="28"/>
        </w:rPr>
        <w:t>(3)招投标管理。勘察、设计、施工、监理、物资采购等环节均须按照招投标法进行招标，择优选择承包方。</w:t>
      </w:r>
    </w:p>
    <w:p w14:paraId="78C49274">
      <w:pPr>
        <w:ind w:firstLine="560"/>
        <w:rPr>
          <w:rFonts w:hint="eastAsia"/>
          <w:sz w:val="28"/>
          <w:szCs w:val="28"/>
        </w:rPr>
      </w:pPr>
      <w:r>
        <w:rPr>
          <w:rFonts w:hint="eastAsia"/>
          <w:sz w:val="28"/>
          <w:szCs w:val="28"/>
        </w:rPr>
        <w:t>(4)合同管理。按工程合同制管理，严格按批准的建设规模、设计方案、质量要求和进度计划组织施工。</w:t>
      </w:r>
    </w:p>
    <w:p w14:paraId="283364B4">
      <w:pPr>
        <w:ind w:firstLine="560"/>
        <w:rPr>
          <w:rFonts w:hint="eastAsia"/>
          <w:sz w:val="28"/>
          <w:szCs w:val="28"/>
        </w:rPr>
      </w:pPr>
      <w:r>
        <w:rPr>
          <w:rFonts w:hint="eastAsia"/>
          <w:sz w:val="28"/>
          <w:szCs w:val="28"/>
        </w:rPr>
        <w:t>(5)项目监理制。聘请具有相应资质的监理单位负责施工监理。监理工程师采用旁站、巡视、现场监督检查等多种形式，对工程技术、原材料、质量、进度等进行全面控制，确保工程质量达到设计标准。</w:t>
      </w:r>
    </w:p>
    <w:p w14:paraId="56AB0AE8">
      <w:pPr>
        <w:ind w:firstLine="560"/>
        <w:rPr>
          <w:rFonts w:hint="eastAsia"/>
          <w:sz w:val="28"/>
          <w:szCs w:val="28"/>
        </w:rPr>
      </w:pPr>
      <w:r>
        <w:rPr>
          <w:rFonts w:hint="eastAsia"/>
          <w:sz w:val="28"/>
          <w:szCs w:val="28"/>
        </w:rPr>
        <w:t>3.资金安排程序。由教体局进行项目经费的测算，测算完后及时将所需资金报县人民政府，通过会议讨论决定最终项目经费。</w:t>
      </w:r>
    </w:p>
    <w:p w14:paraId="7ACE44FD">
      <w:pPr>
        <w:ind w:firstLine="560"/>
        <w:rPr>
          <w:rFonts w:hint="eastAsia"/>
          <w:sz w:val="28"/>
          <w:szCs w:val="28"/>
        </w:rPr>
      </w:pPr>
      <w:r>
        <w:rPr>
          <w:rFonts w:hint="eastAsia"/>
          <w:sz w:val="28"/>
          <w:szCs w:val="28"/>
        </w:rPr>
        <w:t>4.资金安排标准或依据。</w:t>
      </w:r>
    </w:p>
    <w:p w14:paraId="56398E87">
      <w:pPr>
        <w:ind w:firstLine="560"/>
        <w:rPr>
          <w:rFonts w:hint="eastAsia"/>
          <w:sz w:val="28"/>
          <w:szCs w:val="28"/>
        </w:rPr>
      </w:pPr>
      <w:r>
        <w:rPr>
          <w:rFonts w:hint="eastAsia"/>
          <w:sz w:val="28"/>
          <w:szCs w:val="28"/>
        </w:rPr>
        <w:t>《寻甸回族彝族自治县财政局关于批复2023年部门预算的通知》（寻财预〔2023〕1号）、《寻甸回族彝族自治县财政局关于下达七运会场馆能力提升追加项目建设资金的通知》（寻财综〔2023〕35 号）等。</w:t>
      </w:r>
    </w:p>
    <w:p w14:paraId="791DAB2E">
      <w:pPr>
        <w:ind w:firstLine="560"/>
        <w:rPr>
          <w:rFonts w:hint="eastAsia"/>
          <w:sz w:val="28"/>
          <w:szCs w:val="28"/>
        </w:rPr>
      </w:pPr>
      <w:r>
        <w:rPr>
          <w:rFonts w:hint="eastAsia"/>
          <w:sz w:val="28"/>
          <w:szCs w:val="28"/>
        </w:rPr>
        <w:t>5.财务管理。</w:t>
      </w:r>
    </w:p>
    <w:p w14:paraId="023CF143">
      <w:pPr>
        <w:ind w:firstLine="560"/>
        <w:rPr>
          <w:rFonts w:hint="eastAsia"/>
          <w:sz w:val="28"/>
          <w:szCs w:val="28"/>
        </w:rPr>
      </w:pPr>
      <w:r>
        <w:rPr>
          <w:rFonts w:hint="eastAsia"/>
          <w:sz w:val="28"/>
          <w:szCs w:val="28"/>
        </w:rPr>
        <w:t>教体局按照《寻甸回族彝族自治县人民政府办公室关于印发寻甸回族彝族自治县教育系统建设项目管理办法（试行）的通知》（寻政办发[2017]7号）、寻甸回族彝族自治县教育体育局关于印发《寻甸回族彝族自治县教育体育系统小型建设项目管理实施细则（试行）》的通知（寻教体发[2021]24号）、寻甸回族彝族自治县教育体育局关于印发《寻甸回族彝族自治县教育体育部门建设（维修改造）项目工程资金支付流程》的通知（寻教体发[2021]25号）及《寻甸回族彝族自治县财政局关于工程质量保证金业务处理的有关通知》（寻财[2022]37号）等相关执行。明确开支标准，规定了严格的审批制度。加强专项资金管理，严格执行财务管理制度，切实提高财政资金的使用效率。</w:t>
      </w:r>
    </w:p>
    <w:p w14:paraId="29269821">
      <w:pPr>
        <w:ind w:firstLine="560"/>
        <w:rPr>
          <w:rFonts w:hint="eastAsia"/>
          <w:sz w:val="28"/>
          <w:szCs w:val="28"/>
        </w:rPr>
      </w:pPr>
      <w:r>
        <w:rPr>
          <w:rFonts w:hint="eastAsia"/>
          <w:sz w:val="28"/>
          <w:szCs w:val="28"/>
        </w:rPr>
        <w:t>资金管理及核算主要执行《政府会计制度》。</w:t>
      </w:r>
    </w:p>
    <w:p w14:paraId="48A6E5DB">
      <w:pPr>
        <w:ind w:firstLine="560"/>
        <w:rPr>
          <w:rFonts w:hint="eastAsia" w:ascii="黑体" w:hAnsi="黑体" w:eastAsia="黑体" w:cs="黑体"/>
          <w:sz w:val="28"/>
          <w:szCs w:val="28"/>
        </w:rPr>
      </w:pPr>
      <w:bookmarkStart w:id="17" w:name="_Toc502134854"/>
      <w:r>
        <w:rPr>
          <w:rFonts w:hint="eastAsia" w:ascii="黑体" w:hAnsi="黑体" w:eastAsia="黑体" w:cs="黑体"/>
          <w:sz w:val="28"/>
          <w:szCs w:val="28"/>
        </w:rPr>
        <w:t>二、绩效自评情况</w:t>
      </w:r>
      <w:bookmarkEnd w:id="17"/>
    </w:p>
    <w:p w14:paraId="45CCE16B">
      <w:pPr>
        <w:ind w:firstLine="560"/>
        <w:rPr>
          <w:rFonts w:hint="eastAsia" w:ascii="楷体" w:hAnsi="楷体" w:eastAsia="楷体" w:cs="楷体"/>
          <w:sz w:val="28"/>
          <w:szCs w:val="28"/>
        </w:rPr>
      </w:pPr>
      <w:bookmarkStart w:id="18" w:name="_Toc498009772"/>
      <w:bookmarkStart w:id="19" w:name="_Toc502134855"/>
      <w:r>
        <w:rPr>
          <w:rFonts w:hint="eastAsia" w:ascii="楷体" w:hAnsi="楷体" w:eastAsia="楷体" w:cs="楷体"/>
          <w:sz w:val="28"/>
          <w:szCs w:val="28"/>
        </w:rPr>
        <w:t>(一)绩效自评概述</w:t>
      </w:r>
      <w:bookmarkEnd w:id="18"/>
      <w:bookmarkEnd w:id="19"/>
    </w:p>
    <w:p w14:paraId="4DA6A77C">
      <w:pPr>
        <w:ind w:firstLine="560"/>
        <w:rPr>
          <w:rFonts w:hint="eastAsia"/>
          <w:sz w:val="28"/>
          <w:szCs w:val="28"/>
        </w:rPr>
      </w:pPr>
      <w:bookmarkStart w:id="20" w:name="_Toc498009773"/>
      <w:bookmarkStart w:id="21" w:name="_Toc502134856"/>
      <w:r>
        <w:rPr>
          <w:rFonts w:hint="eastAsia"/>
          <w:sz w:val="28"/>
          <w:szCs w:val="28"/>
        </w:rPr>
        <w:t>根据《寻甸县财政局关于印发&lt;寻甸县本级部门预算绩效自评管理暂行办法&gt;的通知》（寻财绩〔2018〕9号）等文件的规定，成立项目绩效评价小组实施绩效自评，并编制了《寻甸回族彝族自治县教育体育局寻甸县承办市七运会场馆能力提升建设经费支出绩效自评报告》。</w:t>
      </w:r>
    </w:p>
    <w:p w14:paraId="2CEC9DA3">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20"/>
      <w:bookmarkEnd w:id="21"/>
    </w:p>
    <w:p w14:paraId="0C68372E">
      <w:pPr>
        <w:ind w:firstLine="560"/>
        <w:rPr>
          <w:rFonts w:hint="eastAsia" w:cs="仿宋"/>
          <w:sz w:val="28"/>
          <w:szCs w:val="28"/>
        </w:rPr>
      </w:pPr>
      <w:r>
        <w:rPr>
          <w:rFonts w:hint="eastAsia" w:cs="仿宋"/>
          <w:sz w:val="28"/>
          <w:szCs w:val="28"/>
        </w:rPr>
        <w:t>根据</w:t>
      </w:r>
      <w:r>
        <w:rPr>
          <w:rFonts w:hint="eastAsia"/>
          <w:sz w:val="28"/>
          <w:szCs w:val="28"/>
        </w:rPr>
        <w:t>《</w:t>
      </w:r>
      <w:bookmarkStart w:id="22" w:name="_Hlk177399405"/>
      <w:r>
        <w:rPr>
          <w:rFonts w:hint="eastAsia"/>
          <w:sz w:val="28"/>
          <w:szCs w:val="28"/>
        </w:rPr>
        <w:t>寻甸回族彝族自治县教育体育局寻甸县承办市七运会场馆能力提升建设经费支出绩效自评报告</w:t>
      </w:r>
      <w:bookmarkEnd w:id="22"/>
      <w:r>
        <w:rPr>
          <w:rFonts w:hint="eastAsia"/>
          <w:sz w:val="28"/>
          <w:szCs w:val="28"/>
        </w:rPr>
        <w:t>》</w:t>
      </w:r>
      <w:r>
        <w:rPr>
          <w:rFonts w:hint="eastAsia" w:cs="仿宋"/>
          <w:sz w:val="28"/>
          <w:szCs w:val="28"/>
        </w:rPr>
        <w:t>，教体局本项目自评得分为100分，自评等级为“优”。</w:t>
      </w:r>
    </w:p>
    <w:p w14:paraId="1519A5B2">
      <w:pPr>
        <w:ind w:firstLine="560"/>
        <w:rPr>
          <w:rFonts w:hint="eastAsia" w:ascii="黑体" w:hAnsi="黑体" w:eastAsia="黑体" w:cs="黑体"/>
          <w:sz w:val="28"/>
          <w:szCs w:val="28"/>
        </w:rPr>
      </w:pPr>
      <w:bookmarkStart w:id="23" w:name="_Toc502134857"/>
      <w:r>
        <w:rPr>
          <w:rFonts w:hint="eastAsia" w:ascii="黑体" w:hAnsi="黑体" w:eastAsia="黑体" w:cs="黑体"/>
          <w:sz w:val="28"/>
          <w:szCs w:val="28"/>
        </w:rPr>
        <w:t>三、绩效评价组织情况</w:t>
      </w:r>
      <w:bookmarkEnd w:id="23"/>
    </w:p>
    <w:p w14:paraId="13F66A2B">
      <w:pPr>
        <w:ind w:firstLine="560"/>
        <w:rPr>
          <w:rFonts w:hint="eastAsia" w:ascii="楷体" w:hAnsi="楷体" w:eastAsia="楷体" w:cs="楷体"/>
          <w:sz w:val="28"/>
          <w:szCs w:val="28"/>
        </w:rPr>
      </w:pPr>
      <w:bookmarkStart w:id="24" w:name="_Toc502134858"/>
      <w:r>
        <w:rPr>
          <w:rFonts w:hint="eastAsia" w:ascii="楷体" w:hAnsi="楷体" w:eastAsia="楷体" w:cs="楷体"/>
          <w:sz w:val="28"/>
          <w:szCs w:val="28"/>
        </w:rPr>
        <w:t>(一)绩效评价依据</w:t>
      </w:r>
      <w:bookmarkEnd w:id="24"/>
    </w:p>
    <w:p w14:paraId="6F53B88D">
      <w:pPr>
        <w:ind w:firstLine="560"/>
        <w:rPr>
          <w:rFonts w:hint="eastAsia" w:cs="仿宋"/>
          <w:sz w:val="28"/>
          <w:szCs w:val="28"/>
        </w:rPr>
      </w:pPr>
      <w:r>
        <w:rPr>
          <w:rFonts w:hint="eastAsia" w:cs="仿宋"/>
          <w:sz w:val="28"/>
          <w:szCs w:val="28"/>
        </w:rPr>
        <w:t>1.《中华人民共和国预算法》（201</w:t>
      </w:r>
      <w:r>
        <w:rPr>
          <w:rFonts w:cs="仿宋"/>
          <w:sz w:val="28"/>
          <w:szCs w:val="28"/>
        </w:rPr>
        <w:t>8</w:t>
      </w:r>
      <w:r>
        <w:rPr>
          <w:rFonts w:hint="eastAsia" w:cs="仿宋"/>
          <w:sz w:val="28"/>
          <w:szCs w:val="28"/>
        </w:rPr>
        <w:t>年修订）；</w:t>
      </w:r>
    </w:p>
    <w:p w14:paraId="79DBFD9E">
      <w:pPr>
        <w:ind w:firstLine="560"/>
        <w:rPr>
          <w:rFonts w:hint="eastAsia" w:cs="仿宋"/>
          <w:sz w:val="28"/>
          <w:szCs w:val="28"/>
        </w:rPr>
      </w:pPr>
      <w:r>
        <w:rPr>
          <w:rFonts w:hint="eastAsia" w:cs="仿宋"/>
          <w:sz w:val="28"/>
          <w:szCs w:val="28"/>
        </w:rPr>
        <w:t>2.《项目支出绩效评价管理办法》（财预〔2020〕10号）；</w:t>
      </w:r>
    </w:p>
    <w:p w14:paraId="079D951B">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436DE647">
      <w:pPr>
        <w:ind w:firstLine="560"/>
        <w:rPr>
          <w:rFonts w:hint="eastAsia" w:cs="仿宋"/>
          <w:sz w:val="28"/>
          <w:szCs w:val="28"/>
        </w:rPr>
      </w:pPr>
      <w:r>
        <w:rPr>
          <w:rFonts w:hint="eastAsia" w:cs="仿宋"/>
          <w:sz w:val="28"/>
          <w:szCs w:val="28"/>
        </w:rPr>
        <w:t>4.《云南省省级财政预算绩效管理暂行办法》（云财预〔2015〕295号）；</w:t>
      </w:r>
    </w:p>
    <w:p w14:paraId="6A2817D8">
      <w:pPr>
        <w:ind w:firstLine="560"/>
        <w:rPr>
          <w:rFonts w:hint="eastAsia" w:cs="仿宋"/>
          <w:sz w:val="28"/>
          <w:szCs w:val="28"/>
        </w:rPr>
      </w:pPr>
      <w:r>
        <w:rPr>
          <w:rFonts w:hint="eastAsia" w:cs="仿宋"/>
          <w:sz w:val="28"/>
          <w:szCs w:val="28"/>
        </w:rPr>
        <w:t>5.</w:t>
      </w:r>
      <w:bookmarkStart w:id="25"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1F27A272">
      <w:pPr>
        <w:ind w:firstLine="560"/>
        <w:rPr>
          <w:rFonts w:hint="eastAsia" w:cs="仿宋"/>
          <w:sz w:val="28"/>
          <w:szCs w:val="28"/>
        </w:rPr>
      </w:pPr>
      <w:r>
        <w:rPr>
          <w:rFonts w:cs="仿宋"/>
          <w:sz w:val="28"/>
          <w:szCs w:val="28"/>
        </w:rPr>
        <w:t>6.</w:t>
      </w:r>
      <w:r>
        <w:rPr>
          <w:rFonts w:hint="eastAsia" w:cs="仿宋"/>
          <w:sz w:val="28"/>
          <w:szCs w:val="28"/>
        </w:rPr>
        <w:t>《关于开展</w:t>
      </w:r>
      <w:r>
        <w:rPr>
          <w:rFonts w:cs="仿宋"/>
          <w:sz w:val="28"/>
          <w:szCs w:val="28"/>
        </w:rPr>
        <w:t>202</w:t>
      </w:r>
      <w:r>
        <w:rPr>
          <w:rFonts w:hint="eastAsia" w:cs="仿宋"/>
          <w:sz w:val="28"/>
          <w:szCs w:val="28"/>
        </w:rPr>
        <w:t>3</w:t>
      </w:r>
      <w:r>
        <w:rPr>
          <w:rFonts w:cs="仿宋"/>
          <w:sz w:val="28"/>
          <w:szCs w:val="28"/>
        </w:rPr>
        <w:t>年度部门整体支出、重大项目支出和地方政府债券项目支出绩效再评价的通知》（寻财绩〔202</w:t>
      </w:r>
      <w:r>
        <w:rPr>
          <w:rFonts w:hint="eastAsia" w:cs="仿宋"/>
          <w:sz w:val="28"/>
          <w:szCs w:val="28"/>
        </w:rPr>
        <w:t>4</w:t>
      </w:r>
      <w:r>
        <w:rPr>
          <w:rFonts w:cs="仿宋"/>
          <w:sz w:val="28"/>
          <w:szCs w:val="28"/>
        </w:rPr>
        <w:t>〕</w:t>
      </w:r>
      <w:r>
        <w:rPr>
          <w:rFonts w:hint="eastAsia" w:cs="仿宋"/>
          <w:sz w:val="28"/>
          <w:szCs w:val="28"/>
        </w:rPr>
        <w:t>4</w:t>
      </w:r>
      <w:r>
        <w:rPr>
          <w:rFonts w:cs="仿宋"/>
          <w:sz w:val="28"/>
          <w:szCs w:val="28"/>
        </w:rPr>
        <w:t>号）</w:t>
      </w:r>
      <w:r>
        <w:rPr>
          <w:rFonts w:hint="eastAsia" w:cs="仿宋"/>
          <w:sz w:val="28"/>
          <w:szCs w:val="28"/>
        </w:rPr>
        <w:t>；</w:t>
      </w:r>
    </w:p>
    <w:p w14:paraId="4E8FB53F">
      <w:pPr>
        <w:ind w:firstLine="560"/>
        <w:rPr>
          <w:rFonts w:hint="eastAsia" w:cs="仿宋"/>
          <w:sz w:val="28"/>
          <w:szCs w:val="28"/>
        </w:rPr>
      </w:pPr>
      <w:r>
        <w:rPr>
          <w:rFonts w:cs="仿宋"/>
          <w:sz w:val="28"/>
          <w:szCs w:val="28"/>
        </w:rPr>
        <w:t>7</w:t>
      </w:r>
      <w:r>
        <w:rPr>
          <w:rFonts w:hint="eastAsia" w:cs="仿宋"/>
          <w:sz w:val="28"/>
          <w:szCs w:val="28"/>
        </w:rPr>
        <w:t>.其他相关依据文件</w:t>
      </w:r>
      <w:bookmarkEnd w:id="25"/>
      <w:r>
        <w:rPr>
          <w:rFonts w:hint="eastAsia" w:cs="仿宋"/>
          <w:sz w:val="28"/>
          <w:szCs w:val="28"/>
        </w:rPr>
        <w:t>。</w:t>
      </w:r>
    </w:p>
    <w:p w14:paraId="7A2916D0">
      <w:pPr>
        <w:ind w:firstLine="560"/>
        <w:rPr>
          <w:rFonts w:hint="eastAsia" w:ascii="楷体" w:hAnsi="楷体" w:eastAsia="楷体" w:cs="楷体"/>
          <w:sz w:val="28"/>
          <w:szCs w:val="28"/>
        </w:rPr>
      </w:pPr>
      <w:bookmarkStart w:id="26" w:name="_Toc502134859"/>
      <w:r>
        <w:rPr>
          <w:rFonts w:hint="eastAsia" w:ascii="楷体" w:hAnsi="楷体" w:eastAsia="楷体" w:cs="楷体"/>
          <w:sz w:val="28"/>
          <w:szCs w:val="28"/>
        </w:rPr>
        <w:t>(二)绩效评价方法</w:t>
      </w:r>
      <w:bookmarkEnd w:id="26"/>
    </w:p>
    <w:p w14:paraId="155D1D1B">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2023年本项目相关档案资料进行查阅，结合现场核实情况和资金到位使用及结余情况的分析，进行数据分析和取证。</w:t>
      </w:r>
    </w:p>
    <w:p w14:paraId="30324BE2">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1495E3FD">
      <w:pPr>
        <w:ind w:firstLine="560"/>
        <w:rPr>
          <w:rFonts w:hint="eastAsia" w:ascii="楷体" w:hAnsi="楷体" w:eastAsia="楷体" w:cs="楷体"/>
          <w:sz w:val="28"/>
          <w:szCs w:val="28"/>
        </w:rPr>
      </w:pPr>
      <w:bookmarkStart w:id="27" w:name="_Toc502134860"/>
      <w:r>
        <w:rPr>
          <w:rFonts w:hint="eastAsia" w:ascii="楷体" w:hAnsi="楷体" w:eastAsia="楷体" w:cs="楷体"/>
          <w:sz w:val="28"/>
          <w:szCs w:val="28"/>
        </w:rPr>
        <w:t>(三)绩效评价指标体系</w:t>
      </w:r>
      <w:bookmarkEnd w:id="27"/>
    </w:p>
    <w:p w14:paraId="55580DF1">
      <w:pPr>
        <w:ind w:firstLine="560"/>
        <w:rPr>
          <w:rFonts w:hint="eastAsia" w:cs="仿宋"/>
          <w:sz w:val="28"/>
          <w:szCs w:val="28"/>
        </w:rPr>
      </w:pPr>
      <w:r>
        <w:rPr>
          <w:rFonts w:hint="eastAsia" w:cs="仿宋"/>
          <w:sz w:val="28"/>
          <w:szCs w:val="28"/>
        </w:rPr>
        <w:t>1.绩效评价指标</w:t>
      </w:r>
    </w:p>
    <w:p w14:paraId="2E1BB6C3">
      <w:pPr>
        <w:ind w:firstLine="560"/>
        <w:rPr>
          <w:rFonts w:hint="eastAsia" w:cs="仿宋"/>
          <w:sz w:val="28"/>
          <w:szCs w:val="28"/>
        </w:rPr>
      </w:pPr>
      <w:bookmarkStart w:id="28" w:name="_Toc502134861"/>
      <w:r>
        <w:rPr>
          <w:rFonts w:hint="eastAsia" w:cs="仿宋"/>
          <w:sz w:val="28"/>
          <w:szCs w:val="28"/>
        </w:rPr>
        <w:t>本项目绩效评价以100分计，设项目决策、项目执行过程、项目产出、项目效益4个一级指标，权重分别为：1</w:t>
      </w:r>
      <w:r>
        <w:rPr>
          <w:rFonts w:cs="仿宋"/>
          <w:sz w:val="28"/>
          <w:szCs w:val="28"/>
        </w:rPr>
        <w:t>6</w:t>
      </w:r>
      <w:r>
        <w:rPr>
          <w:rFonts w:hint="eastAsia" w:cs="仿宋"/>
          <w:sz w:val="28"/>
          <w:szCs w:val="28"/>
        </w:rPr>
        <w:t>%、2</w:t>
      </w:r>
      <w:r>
        <w:rPr>
          <w:rFonts w:cs="仿宋"/>
          <w:sz w:val="28"/>
          <w:szCs w:val="28"/>
        </w:rPr>
        <w:t>2</w:t>
      </w:r>
      <w:r>
        <w:rPr>
          <w:rFonts w:hint="eastAsia" w:cs="仿宋"/>
          <w:sz w:val="28"/>
          <w:szCs w:val="28"/>
        </w:rPr>
        <w:t>%、3</w:t>
      </w:r>
      <w:r>
        <w:rPr>
          <w:rFonts w:cs="仿宋"/>
          <w:sz w:val="28"/>
          <w:szCs w:val="28"/>
        </w:rPr>
        <w:t>2</w:t>
      </w:r>
      <w:r>
        <w:rPr>
          <w:rFonts w:hint="eastAsia" w:cs="仿宋"/>
          <w:sz w:val="28"/>
          <w:szCs w:val="28"/>
        </w:rPr>
        <w:t>%、30%。在此基础上设定13个二级指标（项目立项、绩效目标、资金投入、资金管理、组织实施、产出数量、产出质量、产出时效、产出成本、社会效益、生态效益、可持续性、满意度），设25个三级指标</w:t>
      </w:r>
      <w:bookmarkStart w:id="29" w:name="_Hlk143856496"/>
      <w:r>
        <w:rPr>
          <w:rFonts w:hint="eastAsia" w:cs="仿宋"/>
          <w:sz w:val="28"/>
          <w:szCs w:val="28"/>
        </w:rPr>
        <w:t>（详见后附“ 寻甸县教育体育局2023年寻甸县承办市七运会场馆能力提升建设经费项目支出绩效评价指标体系及评分表”）</w:t>
      </w:r>
      <w:bookmarkEnd w:id="29"/>
      <w:r>
        <w:rPr>
          <w:rFonts w:hint="eastAsia" w:cs="仿宋"/>
          <w:sz w:val="28"/>
          <w:szCs w:val="28"/>
        </w:rPr>
        <w:t>。</w:t>
      </w:r>
    </w:p>
    <w:p w14:paraId="783F1301">
      <w:pPr>
        <w:ind w:firstLine="560"/>
        <w:rPr>
          <w:rFonts w:hint="eastAsia" w:cs="仿宋"/>
          <w:sz w:val="28"/>
          <w:szCs w:val="28"/>
        </w:rPr>
      </w:pPr>
      <w:r>
        <w:rPr>
          <w:rFonts w:hint="eastAsia" w:cs="仿宋"/>
          <w:sz w:val="28"/>
          <w:szCs w:val="28"/>
        </w:rPr>
        <w:t>2.评价标准</w:t>
      </w:r>
    </w:p>
    <w:p w14:paraId="26C90819">
      <w:pPr>
        <w:ind w:firstLine="560"/>
        <w:rPr>
          <w:rFonts w:hint="eastAsia" w:cs="仿宋"/>
          <w:sz w:val="28"/>
          <w:szCs w:val="28"/>
        </w:rPr>
      </w:pPr>
      <w:r>
        <w:rPr>
          <w:rFonts w:hint="eastAsia" w:cs="仿宋"/>
          <w:sz w:val="28"/>
          <w:szCs w:val="28"/>
        </w:rPr>
        <w:t>(1)项目支出评价得分满分为100分。</w:t>
      </w:r>
    </w:p>
    <w:p w14:paraId="09486EF1">
      <w:pPr>
        <w:ind w:firstLine="560"/>
        <w:rPr>
          <w:rFonts w:hint="eastAsia" w:cs="仿宋"/>
          <w:sz w:val="28"/>
          <w:szCs w:val="28"/>
        </w:rPr>
      </w:pPr>
      <w:r>
        <w:rPr>
          <w:rFonts w:hint="eastAsia" w:cs="仿宋"/>
          <w:sz w:val="28"/>
          <w:szCs w:val="28"/>
        </w:rPr>
        <w:t>(2)由审计评价组根据评价情况，对各单项指标分别进行独立打分。</w:t>
      </w:r>
    </w:p>
    <w:p w14:paraId="3AD4CE72">
      <w:pPr>
        <w:ind w:firstLine="560"/>
        <w:rPr>
          <w:rFonts w:hint="eastAsia" w:cs="仿宋"/>
          <w:sz w:val="28"/>
          <w:szCs w:val="28"/>
        </w:rPr>
      </w:pPr>
      <w:r>
        <w:rPr>
          <w:rFonts w:hint="eastAsia" w:cs="仿宋"/>
          <w:sz w:val="28"/>
          <w:szCs w:val="28"/>
        </w:rPr>
        <w:t>(3)总评价分为各单项指标得分总和。</w:t>
      </w:r>
    </w:p>
    <w:p w14:paraId="1100BC6A">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6448EF8B">
      <w:pPr>
        <w:ind w:firstLine="560"/>
        <w:rPr>
          <w:rFonts w:hint="eastAsia" w:cs="仿宋"/>
          <w:sz w:val="28"/>
          <w:szCs w:val="28"/>
        </w:rPr>
      </w:pPr>
      <w:bookmarkStart w:id="30" w:name="_Toc25624"/>
      <w:bookmarkStart w:id="31" w:name="_Toc7874"/>
      <w:r>
        <w:rPr>
          <w:rFonts w:hint="eastAsia" w:cs="仿宋"/>
          <w:sz w:val="28"/>
          <w:szCs w:val="28"/>
        </w:rPr>
        <w:t>3.数据来源</w:t>
      </w:r>
      <w:bookmarkEnd w:id="30"/>
      <w:bookmarkEnd w:id="31"/>
    </w:p>
    <w:p w14:paraId="5D1A9ACF">
      <w:pPr>
        <w:ind w:firstLine="560"/>
        <w:rPr>
          <w:rFonts w:hint="eastAsia" w:cs="仿宋"/>
          <w:color w:val="FF0000"/>
          <w:sz w:val="28"/>
          <w:szCs w:val="28"/>
        </w:rPr>
      </w:pPr>
      <w:r>
        <w:rPr>
          <w:rFonts w:hint="eastAsia" w:cs="仿宋"/>
          <w:sz w:val="28"/>
          <w:szCs w:val="28"/>
        </w:rPr>
        <w:t>绩效评价数据由教体局提供。</w:t>
      </w:r>
    </w:p>
    <w:bookmarkEnd w:id="28"/>
    <w:p w14:paraId="60B1E5F1">
      <w:pPr>
        <w:ind w:firstLine="560"/>
        <w:rPr>
          <w:rFonts w:hint="eastAsia" w:ascii="黑体" w:hAnsi="黑体" w:eastAsia="黑体" w:cs="黑体"/>
          <w:sz w:val="28"/>
          <w:szCs w:val="28"/>
        </w:rPr>
      </w:pPr>
      <w:bookmarkStart w:id="32" w:name="_Toc502134862"/>
      <w:r>
        <w:rPr>
          <w:rFonts w:hint="eastAsia" w:ascii="黑体" w:hAnsi="黑体" w:eastAsia="黑体" w:cs="黑体"/>
          <w:sz w:val="28"/>
          <w:szCs w:val="28"/>
        </w:rPr>
        <w:t>四、</w:t>
      </w:r>
      <w:bookmarkEnd w:id="32"/>
      <w:r>
        <w:rPr>
          <w:rFonts w:hint="eastAsia" w:ascii="黑体" w:hAnsi="黑体" w:eastAsia="黑体" w:cs="黑体"/>
          <w:sz w:val="28"/>
          <w:szCs w:val="28"/>
        </w:rPr>
        <w:t>综合评价情况及评价结论</w:t>
      </w:r>
    </w:p>
    <w:p w14:paraId="23CF3A3A">
      <w:pPr>
        <w:ind w:firstLine="560"/>
        <w:rPr>
          <w:rFonts w:hint="eastAsia" w:cs="仿宋"/>
          <w:sz w:val="28"/>
          <w:szCs w:val="28"/>
        </w:rPr>
      </w:pPr>
      <w:bookmarkStart w:id="33" w:name="_Toc498009781"/>
      <w:r>
        <w:rPr>
          <w:rFonts w:hint="eastAsia" w:cs="仿宋"/>
          <w:sz w:val="28"/>
          <w:szCs w:val="28"/>
        </w:rPr>
        <w:t>教体局寻甸县承办市第七届运动会专项经费项目绩效评价综合评分90.17分，评价等级“优”（详见后附“寻甸县教育体育局2023年寻甸县承办市七运会场馆能力提升建设经费项目支出绩效评价指标体系及评分表”）。</w:t>
      </w:r>
    </w:p>
    <w:p w14:paraId="5FF97738">
      <w:pPr>
        <w:ind w:firstLine="560"/>
        <w:rPr>
          <w:rFonts w:hint="eastAsia" w:ascii="仿宋_GB2312" w:eastAsia="仿宋_GB2312" w:cs="仿宋"/>
          <w:sz w:val="28"/>
          <w:szCs w:val="28"/>
        </w:rPr>
      </w:pPr>
      <w:r>
        <w:rPr>
          <w:rFonts w:hint="eastAsia" w:cs="仿宋"/>
          <w:sz w:val="28"/>
          <w:szCs w:val="28"/>
        </w:rPr>
        <w:t>综合评价结论：</w:t>
      </w:r>
      <w:bookmarkStart w:id="34" w:name="_Toc502134864"/>
      <w:r>
        <w:rPr>
          <w:rFonts w:hint="eastAsia" w:cs="仿宋"/>
          <w:sz w:val="28"/>
          <w:szCs w:val="28"/>
        </w:rPr>
        <w:t>教体局完成仁德一小室内篮球馆楼地面、墙体、门窗、卫生间提升改造，外墙面清洗、水电改造等场馆能力提升建设，为市第七届运会顺利进行提供了有力的条件保障，取得了良好的产出和效益。</w:t>
      </w:r>
    </w:p>
    <w:bookmarkEnd w:id="33"/>
    <w:bookmarkEnd w:id="34"/>
    <w:p w14:paraId="005F895F">
      <w:pPr>
        <w:ind w:firstLine="560"/>
        <w:rPr>
          <w:rFonts w:hint="eastAsia" w:ascii="黑体" w:hAnsi="黑体" w:eastAsia="黑体" w:cs="黑体"/>
          <w:sz w:val="28"/>
          <w:szCs w:val="28"/>
        </w:rPr>
      </w:pPr>
      <w:bookmarkStart w:id="35" w:name="_Toc502134866"/>
      <w:bookmarkStart w:id="36" w:name="_Toc498009783"/>
      <w:r>
        <w:rPr>
          <w:rFonts w:hint="eastAsia" w:ascii="黑体" w:hAnsi="黑体" w:eastAsia="黑体" w:cs="黑体"/>
          <w:sz w:val="28"/>
          <w:szCs w:val="28"/>
        </w:rPr>
        <w:t>五、绩效评价情况分析</w:t>
      </w:r>
      <w:bookmarkEnd w:id="35"/>
      <w:bookmarkEnd w:id="36"/>
    </w:p>
    <w:p w14:paraId="6C25B5CF">
      <w:pPr>
        <w:ind w:firstLine="560"/>
        <w:rPr>
          <w:rFonts w:hint="eastAsia" w:ascii="楷体" w:hAnsi="楷体" w:eastAsia="楷体" w:cs="楷体"/>
          <w:sz w:val="28"/>
          <w:szCs w:val="28"/>
        </w:rPr>
      </w:pPr>
      <w:bookmarkStart w:id="37" w:name="_Toc498009784"/>
      <w:bookmarkStart w:id="38" w:name="_Toc502134867"/>
      <w:r>
        <w:rPr>
          <w:rFonts w:hint="eastAsia" w:ascii="楷体" w:hAnsi="楷体" w:eastAsia="楷体" w:cs="楷体"/>
          <w:sz w:val="28"/>
          <w:szCs w:val="28"/>
        </w:rPr>
        <w:t>(一)项目决策分析</w:t>
      </w:r>
      <w:bookmarkEnd w:id="37"/>
      <w:bookmarkEnd w:id="38"/>
    </w:p>
    <w:p w14:paraId="7DBCBE28">
      <w:pPr>
        <w:ind w:firstLine="560"/>
        <w:rPr>
          <w:rFonts w:hint="eastAsia" w:cs="仿宋"/>
          <w:sz w:val="28"/>
          <w:szCs w:val="28"/>
        </w:rPr>
      </w:pPr>
      <w:r>
        <w:rPr>
          <w:rFonts w:hint="eastAsia" w:cs="仿宋"/>
          <w:sz w:val="28"/>
          <w:szCs w:val="28"/>
        </w:rPr>
        <w:t>项目决策满分16.00分，评价综合评分13.00分（占该项满分值的81.25%），具体情况如下：</w:t>
      </w:r>
      <w:bookmarkStart w:id="39" w:name="_Toc502134868"/>
    </w:p>
    <w:p w14:paraId="4CD80BC7">
      <w:pPr>
        <w:ind w:firstLine="560"/>
        <w:rPr>
          <w:rFonts w:hint="eastAsia" w:cs="仿宋"/>
          <w:sz w:val="28"/>
          <w:szCs w:val="28"/>
        </w:rPr>
      </w:pPr>
      <w:r>
        <w:rPr>
          <w:rFonts w:hint="eastAsia" w:cs="仿宋"/>
          <w:sz w:val="28"/>
          <w:szCs w:val="28"/>
        </w:rPr>
        <w:t>1.项目立项依据充分，项目立项符合国家法律法规、国民经济发展规划、行业发展规划和相关政策要求，与《寻甸县国民经济和社会发展第十四个五年规划》及部门职能职责等相匹配，属于公共财政支持范围，未与相关部门同类项目或部门内部相关项目重复。</w:t>
      </w:r>
    </w:p>
    <w:p w14:paraId="1748A5E4">
      <w:pPr>
        <w:ind w:firstLine="560"/>
        <w:rPr>
          <w:rFonts w:hint="eastAsia" w:cs="仿宋"/>
          <w:sz w:val="28"/>
          <w:szCs w:val="28"/>
        </w:rPr>
      </w:pPr>
      <w:r>
        <w:rPr>
          <w:rFonts w:hint="eastAsia" w:cs="仿宋"/>
          <w:sz w:val="28"/>
          <w:szCs w:val="28"/>
        </w:rPr>
        <w:t>项目立项程序基本规范，教体局编报《寻甸县承办市七运会原有场馆能力提升建设项目可行性研究报告》并获批</w:t>
      </w:r>
      <w:bookmarkStart w:id="40" w:name="_Hlk177407189"/>
      <w:r>
        <w:rPr>
          <w:rFonts w:hint="eastAsia" w:cs="仿宋"/>
          <w:sz w:val="28"/>
          <w:szCs w:val="28"/>
        </w:rPr>
        <w:t>《关于寻甸县承办市七运会原有场馆能力提升建设项目的批复》（寻发改投资[2022]70号）</w:t>
      </w:r>
      <w:bookmarkEnd w:id="40"/>
      <w:r>
        <w:rPr>
          <w:rFonts w:hint="eastAsia" w:cs="仿宋"/>
          <w:sz w:val="28"/>
          <w:szCs w:val="28"/>
        </w:rPr>
        <w:t>等项目立项资料。项目已按照规定的程序进行申请设立，项目立项程序规范。</w:t>
      </w:r>
    </w:p>
    <w:p w14:paraId="5910D213">
      <w:pPr>
        <w:ind w:firstLine="560"/>
        <w:rPr>
          <w:rFonts w:hint="eastAsia" w:cs="仿宋"/>
          <w:sz w:val="28"/>
          <w:szCs w:val="28"/>
        </w:rPr>
      </w:pPr>
      <w:r>
        <w:rPr>
          <w:rFonts w:hint="eastAsia" w:cs="仿宋"/>
          <w:sz w:val="28"/>
          <w:szCs w:val="28"/>
        </w:rPr>
        <w:t>2.项目绩效目标合理，项目所设定的绩效目标与实际工作内容具有相关性，与预算确定的项目投资额或资金量相匹配，符合客观实际、国家相关法律法规、国民经济发展规划和党委政府决策等。符合正常的业绩水平，项目预算内容与项目实际实施内容相符。</w:t>
      </w:r>
    </w:p>
    <w:p w14:paraId="75581038">
      <w:pPr>
        <w:ind w:firstLine="560"/>
        <w:rPr>
          <w:rFonts w:hint="eastAsia" w:cs="仿宋"/>
          <w:sz w:val="28"/>
          <w:szCs w:val="28"/>
        </w:rPr>
      </w:pPr>
      <w:r>
        <w:rPr>
          <w:rFonts w:hint="eastAsia" w:cs="仿宋"/>
          <w:sz w:val="28"/>
          <w:szCs w:val="28"/>
        </w:rPr>
        <w:t>绩效指标比较科学明确，与“十四五”发展规划、县政府中长期规划及部门职能和年度工作目标等相适应，符合部门“三定”方案确定的职责，符合县政府制定的中长期实施规划。但编报的2023年度项目支出绩效指标不充分全面，虽然设定了部分最能体现总体目标实现程度的关键指标并明确了具体指标值，但基本未将项目支出的绩效目标细化、量化分解为具体的工作任务、未通过清晰、可衡量的指标及指标值予以体现。</w:t>
      </w:r>
    </w:p>
    <w:p w14:paraId="34C7CFC7">
      <w:pPr>
        <w:ind w:firstLine="560"/>
        <w:rPr>
          <w:rFonts w:hint="eastAsia" w:cs="仿宋"/>
          <w:sz w:val="28"/>
          <w:szCs w:val="28"/>
        </w:rPr>
      </w:pPr>
      <w:r>
        <w:rPr>
          <w:rFonts w:hint="eastAsia" w:cs="仿宋"/>
          <w:sz w:val="28"/>
          <w:szCs w:val="28"/>
        </w:rPr>
        <w:t>3.预算编制基本科学，资金分配基本合理，项目资金由教体局按实际情况进行测算，并报预算审批，预算编制科学、合理。预算资金由财政根据项目情况进行分配，资金分配合理。</w:t>
      </w:r>
    </w:p>
    <w:p w14:paraId="707ACFC5">
      <w:pPr>
        <w:ind w:firstLine="560"/>
        <w:rPr>
          <w:rFonts w:hint="eastAsia" w:ascii="楷体" w:hAnsi="楷体" w:eastAsia="楷体" w:cs="楷体"/>
          <w:sz w:val="28"/>
          <w:szCs w:val="28"/>
        </w:rPr>
      </w:pPr>
      <w:r>
        <w:rPr>
          <w:rFonts w:hint="eastAsia" w:ascii="楷体" w:hAnsi="楷体" w:eastAsia="楷体" w:cs="楷体"/>
          <w:sz w:val="28"/>
          <w:szCs w:val="28"/>
        </w:rPr>
        <w:t>(二</w:t>
      </w:r>
      <w:bookmarkStart w:id="41" w:name="_Toc498009785"/>
      <w:r>
        <w:rPr>
          <w:rFonts w:hint="eastAsia" w:ascii="楷体" w:hAnsi="楷体" w:eastAsia="楷体" w:cs="楷体"/>
          <w:sz w:val="28"/>
          <w:szCs w:val="28"/>
        </w:rPr>
        <w:t>)项目过程管理情况分析</w:t>
      </w:r>
      <w:bookmarkEnd w:id="39"/>
      <w:bookmarkEnd w:id="41"/>
    </w:p>
    <w:p w14:paraId="3281A789">
      <w:pPr>
        <w:ind w:firstLine="560"/>
        <w:rPr>
          <w:rFonts w:hint="eastAsia" w:cs="仿宋"/>
          <w:sz w:val="28"/>
          <w:szCs w:val="28"/>
        </w:rPr>
      </w:pPr>
      <w:r>
        <w:rPr>
          <w:rFonts w:hint="eastAsia" w:cs="仿宋"/>
          <w:sz w:val="28"/>
          <w:szCs w:val="28"/>
        </w:rPr>
        <w:t>项目过程管理满分22.00分，评价综合评分19.00分（占该项满分值的86.36%），具体情况如下：</w:t>
      </w:r>
      <w:bookmarkStart w:id="42" w:name="_Toc498009786"/>
      <w:bookmarkStart w:id="43" w:name="_Toc502134869"/>
    </w:p>
    <w:p w14:paraId="33050D0F">
      <w:pPr>
        <w:ind w:firstLine="560"/>
        <w:rPr>
          <w:rFonts w:hint="eastAsia" w:cs="仿宋"/>
          <w:sz w:val="28"/>
          <w:szCs w:val="28"/>
        </w:rPr>
      </w:pPr>
      <w:r>
        <w:rPr>
          <w:rFonts w:hint="eastAsia" w:cs="仿宋"/>
          <w:sz w:val="28"/>
          <w:szCs w:val="28"/>
        </w:rPr>
        <w:t>1.2023年度，县级安排项目资金4,000,000.00元，分别是《寻甸回族彝族自治县财政局关于批复2023年部门预算的通知》（寻财预〔2023〕1号）安排项目资金3,000,000.00元、《寻甸回族彝族自治县财政局关于下达七运会场馆能力提升追加项目建设资金的通知》（寻财综〔2023〕35 号）安排项目资金</w:t>
      </w:r>
      <w:bookmarkStart w:id="44" w:name="_Hlk177405752"/>
      <w:r>
        <w:rPr>
          <w:rFonts w:hint="eastAsia" w:cs="仿宋"/>
          <w:sz w:val="28"/>
          <w:szCs w:val="28"/>
        </w:rPr>
        <w:t>1,000,000.00</w:t>
      </w:r>
      <w:bookmarkEnd w:id="44"/>
      <w:r>
        <w:rPr>
          <w:rFonts w:hint="eastAsia" w:cs="仿宋"/>
          <w:sz w:val="28"/>
          <w:szCs w:val="28"/>
        </w:rPr>
        <w:t>元，截至2023年12月31日，资金到位共计</w:t>
      </w:r>
      <w:bookmarkStart w:id="45" w:name="_Hlk177405972"/>
      <w:r>
        <w:rPr>
          <w:rFonts w:hint="eastAsia" w:cs="仿宋"/>
          <w:sz w:val="28"/>
          <w:szCs w:val="28"/>
        </w:rPr>
        <w:t>4,000,000.00元</w:t>
      </w:r>
      <w:bookmarkEnd w:id="45"/>
      <w:r>
        <w:rPr>
          <w:rFonts w:hint="eastAsia" w:cs="仿宋"/>
          <w:sz w:val="28"/>
          <w:szCs w:val="28"/>
        </w:rPr>
        <w:t>，资金到位率100%。</w:t>
      </w:r>
    </w:p>
    <w:p w14:paraId="63D2CD91">
      <w:pPr>
        <w:ind w:firstLine="560"/>
        <w:rPr>
          <w:rFonts w:hint="eastAsia" w:cs="仿宋"/>
          <w:sz w:val="28"/>
          <w:szCs w:val="28"/>
        </w:rPr>
      </w:pPr>
      <w:r>
        <w:rPr>
          <w:rFonts w:hint="eastAsia" w:cs="仿宋"/>
          <w:sz w:val="28"/>
          <w:szCs w:val="28"/>
        </w:rPr>
        <w:t>2.根据项目资金台账，项目到位资金4,000,000.00元（不含昆明市发展和改革委拨付的项目前期费用1,000,000.00元），实际支出4,000,000.00元,预算执行率100%。</w:t>
      </w:r>
    </w:p>
    <w:p w14:paraId="29251AB4">
      <w:pPr>
        <w:ind w:firstLine="560"/>
        <w:rPr>
          <w:rFonts w:hint="eastAsia" w:cs="仿宋"/>
          <w:sz w:val="28"/>
          <w:szCs w:val="28"/>
        </w:rPr>
      </w:pPr>
      <w:r>
        <w:rPr>
          <w:rFonts w:hint="eastAsia" w:cs="仿宋"/>
          <w:sz w:val="28"/>
          <w:szCs w:val="28"/>
        </w:rPr>
        <w:t>3.项目资金的使用基本符合国家财经法规和财务管理制度以及有关专项资金管理办法的规定，资金的拨付基本有完整的审批程序和手续，项目支出基本符合预算规定的用途，但检查发现，存在资本性支出费用化等情况。</w:t>
      </w:r>
    </w:p>
    <w:p w14:paraId="0F7E3BDE">
      <w:pPr>
        <w:ind w:firstLine="560"/>
        <w:rPr>
          <w:rFonts w:hint="eastAsia" w:cs="仿宋"/>
          <w:sz w:val="28"/>
          <w:szCs w:val="28"/>
        </w:rPr>
      </w:pPr>
      <w:r>
        <w:rPr>
          <w:rFonts w:hint="eastAsia" w:cs="仿宋"/>
          <w:sz w:val="28"/>
          <w:szCs w:val="28"/>
        </w:rPr>
        <w:t>4.教体局制定或具有《寻甸回族彝族自治县人民政府办公室关于印发寻甸回族彝族自治县教育系统建设项目管理办法（试行）的通知》（寻政办发[2017]7号）、《寻甸回族彝族自治县教育体育系统小型建设项目管理实施细则（试行）》的通知（寻教体发[2021]24号）、《寻甸回族彝族自治县教育体育部门建设（维修改造）项目工程资金支付流程》的通知（寻教体发[2021]25号）及《寻甸回族彝族自治县财政局关于工程质量保证金业务处理的有关通知》（寻财[2022]37号）等相关内控制度，管理制度合法、合规、完整。</w:t>
      </w:r>
    </w:p>
    <w:p w14:paraId="78CB6A45">
      <w:pPr>
        <w:ind w:firstLine="560"/>
        <w:rPr>
          <w:rFonts w:hint="eastAsia" w:cs="仿宋"/>
          <w:sz w:val="28"/>
          <w:szCs w:val="28"/>
        </w:rPr>
      </w:pPr>
      <w:r>
        <w:rPr>
          <w:rFonts w:hint="eastAsia" w:cs="仿宋"/>
          <w:sz w:val="28"/>
          <w:szCs w:val="28"/>
        </w:rPr>
        <w:t>5.教体局已按照管理制度对施工方采用招投标方式进行采购，并已对项目验收，项目管理基本符合相关法律法规和管理制度规定，项目按原申报进行，项目资料齐全，但存在绩效目标管理履职不到位、基建项目未按规定执行竣工决算程序等情况。</w:t>
      </w:r>
    </w:p>
    <w:p w14:paraId="2EB8C2DE">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01188469">
      <w:pPr>
        <w:ind w:firstLine="560"/>
        <w:rPr>
          <w:rFonts w:hint="eastAsia" w:cs="仿宋"/>
          <w:sz w:val="28"/>
          <w:szCs w:val="28"/>
        </w:rPr>
      </w:pPr>
      <w:r>
        <w:rPr>
          <w:rFonts w:hint="eastAsia" w:cs="仿宋"/>
          <w:sz w:val="28"/>
          <w:szCs w:val="28"/>
        </w:rPr>
        <w:t>项目产出满分32.00分，评价综合评分30.00分（占该项满分值的93.75%），具体情况如下：</w:t>
      </w:r>
    </w:p>
    <w:p w14:paraId="249C67BE">
      <w:pPr>
        <w:ind w:firstLine="560"/>
        <w:rPr>
          <w:rFonts w:hint="eastAsia" w:cs="仿宋"/>
          <w:sz w:val="28"/>
          <w:szCs w:val="28"/>
        </w:rPr>
      </w:pPr>
      <w:r>
        <w:rPr>
          <w:rFonts w:hint="eastAsia" w:cs="仿宋"/>
          <w:sz w:val="28"/>
          <w:szCs w:val="28"/>
        </w:rPr>
        <w:t>1.实际完成率：根据《寻甸县承办市七运会原有场馆能力提升建设项目工程施工管理及验收文件》，项目改造体育场馆6项，已按计划完成</w:t>
      </w:r>
      <w:bookmarkStart w:id="46" w:name="_Hlk177407344"/>
      <w:r>
        <w:rPr>
          <w:rFonts w:hint="eastAsia" w:cs="仿宋"/>
          <w:sz w:val="28"/>
          <w:szCs w:val="28"/>
        </w:rPr>
        <w:t>《关于寻甸县承办市七运会原有场馆能力提升建设项目的批复》（寻发改投资[2022]70号）批复</w:t>
      </w:r>
      <w:bookmarkEnd w:id="46"/>
      <w:r>
        <w:rPr>
          <w:rFonts w:hint="eastAsia" w:cs="仿宋"/>
          <w:sz w:val="28"/>
          <w:szCs w:val="28"/>
        </w:rPr>
        <w:t>建设内容，实际完成率100%。</w:t>
      </w:r>
    </w:p>
    <w:p w14:paraId="1F44B553">
      <w:pPr>
        <w:ind w:firstLine="560"/>
        <w:rPr>
          <w:rFonts w:hint="eastAsia" w:cs="仿宋"/>
          <w:sz w:val="28"/>
          <w:szCs w:val="28"/>
        </w:rPr>
      </w:pPr>
      <w:r>
        <w:rPr>
          <w:rFonts w:hint="eastAsia" w:cs="仿宋"/>
          <w:sz w:val="28"/>
          <w:szCs w:val="28"/>
        </w:rPr>
        <w:t>2.质量达标率：根据《寻甸县承办市七运会原有场馆能力提升建设项目工程施工管理及验收文件》，项目已经验收合格投入使用，质量达标率100%。</w:t>
      </w:r>
    </w:p>
    <w:p w14:paraId="29ECF334">
      <w:pPr>
        <w:ind w:firstLine="560"/>
        <w:rPr>
          <w:rFonts w:hint="eastAsia"/>
          <w:sz w:val="28"/>
          <w:szCs w:val="28"/>
        </w:rPr>
      </w:pPr>
      <w:r>
        <w:rPr>
          <w:rFonts w:hint="eastAsia"/>
          <w:sz w:val="28"/>
          <w:szCs w:val="28"/>
        </w:rPr>
        <w:t>3.完成及时性：项目于2022年12月20日开工，于2023年4月19日竣工，于2023年6月7日竣工验收，完成及时率100%。</w:t>
      </w:r>
    </w:p>
    <w:p w14:paraId="023ADD03">
      <w:pPr>
        <w:ind w:firstLine="560"/>
        <w:rPr>
          <w:rFonts w:hint="eastAsia"/>
          <w:sz w:val="28"/>
          <w:szCs w:val="28"/>
        </w:rPr>
      </w:pPr>
      <w:r>
        <w:rPr>
          <w:rFonts w:hint="eastAsia"/>
          <w:sz w:val="28"/>
          <w:szCs w:val="28"/>
        </w:rPr>
        <w:t>4.成本节约率：</w:t>
      </w:r>
      <w:bookmarkStart w:id="47" w:name="_Hlk177457133"/>
      <w:r>
        <w:rPr>
          <w:rFonts w:hint="eastAsia"/>
          <w:sz w:val="28"/>
          <w:szCs w:val="28"/>
        </w:rPr>
        <w:t>《关于寻甸县承办市七运会原有场馆能力提升建设项目的批复》（寻发改投资[2022]70号）</w:t>
      </w:r>
      <w:bookmarkEnd w:id="47"/>
      <w:r>
        <w:rPr>
          <w:rFonts w:hint="eastAsia"/>
          <w:sz w:val="28"/>
          <w:szCs w:val="28"/>
        </w:rPr>
        <w:t>批复项目预算总投资1213.09万元，《竣工结算审核报告》（KH-2022-284-1号）审定项目工程造价总额为12,351,815.45元，该建安投资已超批复概算总投资金额，且不包括项目已经发生的设计费、监理费等待摊投资金额，但教体局尚未办理项目竣工财务决算手续，无法准确分析项目建设成本节约情况。</w:t>
      </w:r>
    </w:p>
    <w:p w14:paraId="273D6005">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42"/>
      <w:bookmarkEnd w:id="43"/>
      <w:bookmarkStart w:id="48" w:name="_Toc502134870"/>
      <w:bookmarkStart w:id="49" w:name="_Toc498009787"/>
    </w:p>
    <w:p w14:paraId="78996A2F">
      <w:pPr>
        <w:ind w:firstLine="560"/>
        <w:rPr>
          <w:rFonts w:hint="eastAsia" w:cs="仿宋"/>
          <w:sz w:val="28"/>
          <w:szCs w:val="28"/>
        </w:rPr>
      </w:pPr>
      <w:r>
        <w:rPr>
          <w:rFonts w:hint="eastAsia" w:cs="仿宋"/>
          <w:sz w:val="28"/>
          <w:szCs w:val="28"/>
        </w:rPr>
        <w:t>项目绩效指标满分30.00分，评价综合评分28.17分（占该项满分值的93.90%），具体情况如下：</w:t>
      </w:r>
    </w:p>
    <w:bookmarkEnd w:id="48"/>
    <w:bookmarkEnd w:id="49"/>
    <w:p w14:paraId="4C9C1A1D">
      <w:pPr>
        <w:ind w:firstLine="560"/>
        <w:rPr>
          <w:rFonts w:hint="eastAsia"/>
          <w:sz w:val="28"/>
          <w:szCs w:val="28"/>
        </w:rPr>
      </w:pPr>
      <w:bookmarkStart w:id="50" w:name="_Toc498009788"/>
      <w:bookmarkStart w:id="51" w:name="_Toc502134871"/>
      <w:r>
        <w:rPr>
          <w:rFonts w:hint="eastAsia"/>
          <w:sz w:val="28"/>
          <w:szCs w:val="28"/>
        </w:rPr>
        <w:t>1.社会效益</w:t>
      </w:r>
    </w:p>
    <w:p w14:paraId="6638FC57">
      <w:pPr>
        <w:ind w:firstLine="560"/>
        <w:rPr>
          <w:rFonts w:hint="eastAsia"/>
          <w:sz w:val="28"/>
          <w:szCs w:val="28"/>
        </w:rPr>
      </w:pPr>
      <w:bookmarkStart w:id="52" w:name="_Hlk177457213"/>
      <w:r>
        <w:rPr>
          <w:rFonts w:hint="eastAsia"/>
          <w:sz w:val="28"/>
          <w:szCs w:val="28"/>
        </w:rPr>
        <w:t>(1)</w:t>
      </w:r>
      <w:bookmarkEnd w:id="52"/>
      <w:r>
        <w:rPr>
          <w:rFonts w:hint="eastAsia"/>
          <w:sz w:val="28"/>
          <w:szCs w:val="28"/>
        </w:rPr>
        <w:t>基本建设程序合规率：项目获批《关于寻甸县承办市七运会原有场馆能力提升建设项目的批复》（寻发改投资[2022]70号），根据可行性研究报告、施工合同、监理合同、设计合同、竣工验收、工程审核报告，项目基本建设程序基本合规。</w:t>
      </w:r>
    </w:p>
    <w:p w14:paraId="68EF1558">
      <w:pPr>
        <w:ind w:firstLine="560"/>
        <w:rPr>
          <w:rFonts w:hint="eastAsia"/>
          <w:sz w:val="28"/>
          <w:szCs w:val="28"/>
        </w:rPr>
      </w:pPr>
      <w:r>
        <w:rPr>
          <w:rFonts w:hint="eastAsia"/>
          <w:sz w:val="28"/>
          <w:szCs w:val="28"/>
        </w:rPr>
        <w:t>(2)基建项目“四制”执行合规率：根据教体局提供的相关资料显示，该项目建设主体为“寻甸县回族彝族自治县教育体育局”，经过公开招投标，施工方中标单位为云南齐鹏建设工程有限公司，监理中标单位为福建泉宏工程管理有限公司，建设单位均已和施工、监理、设计等单位签订合同，并明确相关合同条款，项目基建“四制”执行合规。</w:t>
      </w:r>
    </w:p>
    <w:p w14:paraId="511C1B79">
      <w:pPr>
        <w:ind w:firstLine="560"/>
        <w:rPr>
          <w:rFonts w:hint="eastAsia"/>
          <w:sz w:val="28"/>
          <w:szCs w:val="28"/>
        </w:rPr>
      </w:pPr>
      <w:r>
        <w:rPr>
          <w:rFonts w:hint="eastAsia"/>
          <w:sz w:val="28"/>
          <w:szCs w:val="28"/>
        </w:rPr>
        <w:t>(3)安全事件处理及时率：该项目实施过程中未发生重大安全事故和应急事件，也无公开媒介报道安全事故的发生，安全事件处理及时率100%。</w:t>
      </w:r>
    </w:p>
    <w:p w14:paraId="457DA995">
      <w:pPr>
        <w:ind w:firstLine="560"/>
        <w:rPr>
          <w:rFonts w:hint="eastAsia"/>
          <w:sz w:val="28"/>
          <w:szCs w:val="28"/>
        </w:rPr>
      </w:pPr>
      <w:r>
        <w:rPr>
          <w:rFonts w:hint="eastAsia"/>
          <w:sz w:val="28"/>
          <w:szCs w:val="28"/>
        </w:rPr>
        <w:t>(4)设计功能实现率：所有场馆建设、维修改造均达到设计要求，成功举办昆明市第七届运动会，完全满足市七运会举办要求，使用过程中未反映出功能设计不达标、不合理的情况，设计功能实现率100%。</w:t>
      </w:r>
    </w:p>
    <w:p w14:paraId="6C069FE1">
      <w:pPr>
        <w:ind w:firstLine="560"/>
        <w:rPr>
          <w:rFonts w:hint="eastAsia"/>
          <w:sz w:val="28"/>
          <w:szCs w:val="28"/>
        </w:rPr>
      </w:pPr>
      <w:bookmarkStart w:id="53" w:name="_Hlk177457899"/>
      <w:r>
        <w:rPr>
          <w:rFonts w:hint="eastAsia"/>
          <w:sz w:val="28"/>
          <w:szCs w:val="28"/>
        </w:rPr>
        <w:t>(5)</w:t>
      </w:r>
      <w:bookmarkEnd w:id="53"/>
      <w:r>
        <w:rPr>
          <w:rFonts w:hint="eastAsia"/>
          <w:sz w:val="28"/>
          <w:szCs w:val="28"/>
        </w:rPr>
        <w:t>政府采购执行率：除项目设计、造价咨询采用直接委托的方式采购外，项目施工、监理等都按寻甸县招投标管理规定执行公开招投标，并签订合同，政府采购执行率100%。</w:t>
      </w:r>
    </w:p>
    <w:p w14:paraId="180177C1">
      <w:pPr>
        <w:ind w:firstLine="560"/>
        <w:rPr>
          <w:rFonts w:hint="eastAsia"/>
          <w:sz w:val="28"/>
          <w:szCs w:val="28"/>
        </w:rPr>
      </w:pPr>
      <w:r>
        <w:rPr>
          <w:rFonts w:hint="eastAsia"/>
          <w:sz w:val="28"/>
          <w:szCs w:val="28"/>
        </w:rPr>
        <w:t>(6)设施、设备利用率:项目所有设施、设备都是为了保障举办昆明市第七届运动会，昆明市第七届运动会已成功举办，且项目多数设施、设备均由仁德一中等中小学控制，并用于教学，设施、设备利用率100%。</w:t>
      </w:r>
    </w:p>
    <w:p w14:paraId="0B5BD832">
      <w:pPr>
        <w:ind w:firstLine="560"/>
        <w:rPr>
          <w:rFonts w:hint="eastAsia"/>
          <w:sz w:val="28"/>
          <w:szCs w:val="28"/>
        </w:rPr>
      </w:pPr>
      <w:r>
        <w:rPr>
          <w:rFonts w:hint="eastAsia"/>
          <w:sz w:val="28"/>
          <w:szCs w:val="28"/>
        </w:rPr>
        <w:t>(7)公示公告率:教体局已对相关招投标中标单位进行公示公告，公示公告率100%。</w:t>
      </w:r>
    </w:p>
    <w:p w14:paraId="1A39D7EA">
      <w:pPr>
        <w:ind w:firstLine="560"/>
        <w:rPr>
          <w:rFonts w:hint="eastAsia"/>
          <w:sz w:val="28"/>
          <w:szCs w:val="28"/>
        </w:rPr>
      </w:pPr>
      <w:r>
        <w:rPr>
          <w:rFonts w:hint="eastAsia"/>
          <w:sz w:val="28"/>
          <w:szCs w:val="28"/>
        </w:rPr>
        <w:t>2.生态效益</w:t>
      </w:r>
    </w:p>
    <w:p w14:paraId="52306BEE">
      <w:pPr>
        <w:ind w:firstLine="560"/>
        <w:rPr>
          <w:rFonts w:hint="eastAsia"/>
        </w:rPr>
      </w:pPr>
      <w:r>
        <w:rPr>
          <w:rFonts w:hint="eastAsia"/>
          <w:sz w:val="28"/>
          <w:szCs w:val="28"/>
        </w:rPr>
        <w:t>项目实施对生态环境发展未造成直接或间接破坏，项目完成后，改善了寻甸县教学设施、设备质量，提高了设施、设备的使用性能和使用寿命，对涉及片区、学校环境卫生改善产生积极影响。</w:t>
      </w:r>
    </w:p>
    <w:p w14:paraId="32C5D9CB">
      <w:pPr>
        <w:ind w:firstLine="560"/>
        <w:rPr>
          <w:rFonts w:hint="eastAsia"/>
          <w:sz w:val="28"/>
          <w:szCs w:val="28"/>
        </w:rPr>
      </w:pPr>
      <w:r>
        <w:rPr>
          <w:rFonts w:hint="eastAsia"/>
          <w:sz w:val="28"/>
          <w:szCs w:val="28"/>
        </w:rPr>
        <w:t>3.满意度</w:t>
      </w:r>
    </w:p>
    <w:p w14:paraId="75BB7EA8">
      <w:pPr>
        <w:ind w:firstLine="560"/>
        <w:rPr>
          <w:rFonts w:hint="eastAsia"/>
          <w:sz w:val="28"/>
          <w:szCs w:val="28"/>
        </w:rPr>
      </w:pPr>
      <w:r>
        <w:rPr>
          <w:rFonts w:hint="eastAsia"/>
          <w:sz w:val="28"/>
          <w:szCs w:val="28"/>
        </w:rPr>
        <w:t>根据回收的30份调查问卷统计，“寻甸县承办市七运会场馆能力提升建设”项目实施区的群众对该项目的反馈情况比较好，认为项目实施后对可持续发挥效益方面较为满意，寻甸县教体局七运会场馆能力提升项目支出绩效情况评价满意度为84.50%。</w:t>
      </w:r>
    </w:p>
    <w:p w14:paraId="6B410C0C">
      <w:pPr>
        <w:ind w:firstLine="560"/>
        <w:rPr>
          <w:rFonts w:hint="eastAsia"/>
          <w:sz w:val="28"/>
          <w:szCs w:val="28"/>
        </w:rPr>
      </w:pPr>
      <w:r>
        <w:rPr>
          <w:rFonts w:hint="eastAsia"/>
          <w:sz w:val="28"/>
          <w:szCs w:val="28"/>
        </w:rPr>
        <w:t>本项目的建设是一项民政工程、民心工程，该项目的实施将更加深入的贯彻落实国家人居环境提升政策，更好的满足人民群众对优美生活环境和空间的需求，为七运会开展提供硬件保障，对提升寻甸县竞技体育实力提升有可持续影响。</w:t>
      </w:r>
    </w:p>
    <w:p w14:paraId="39781741">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50"/>
      <w:bookmarkEnd w:id="51"/>
      <w:bookmarkStart w:id="54" w:name="_Toc502134872"/>
      <w:bookmarkStart w:id="55" w:name="_Toc498009789"/>
    </w:p>
    <w:p w14:paraId="4F20EBDC">
      <w:pPr>
        <w:ind w:firstLine="560"/>
        <w:rPr>
          <w:rFonts w:hint="eastAsia" w:cs="仿宋"/>
          <w:sz w:val="28"/>
          <w:szCs w:val="28"/>
        </w:rPr>
      </w:pPr>
      <w:r>
        <w:rPr>
          <w:rFonts w:hint="eastAsia" w:cs="仿宋"/>
          <w:sz w:val="28"/>
          <w:szCs w:val="28"/>
        </w:rPr>
        <w:t>严格执行项目管理制度、资金管理办法，提高预算执行率及资金的使用效益，加强项目实施过程及资金支付流程的审批监管，确保项目顺利实施，资金使用安全、高效。</w:t>
      </w:r>
    </w:p>
    <w:p w14:paraId="3D052932">
      <w:pPr>
        <w:ind w:firstLine="560"/>
        <w:rPr>
          <w:rFonts w:hint="eastAsia" w:cs="仿宋"/>
          <w:sz w:val="28"/>
          <w:szCs w:val="28"/>
        </w:rPr>
      </w:pPr>
      <w:r>
        <w:rPr>
          <w:rFonts w:hint="eastAsia" w:cs="仿宋"/>
          <w:sz w:val="28"/>
          <w:szCs w:val="28"/>
        </w:rPr>
        <w:t>根据年初工作目标，长效有序开展各项业务工作。多次专题会议研究项目推进及资金拨付事宜，制定合理的审批流程，现场督导项目实施，保证项目快速推进，监督项目资金流向，确保专项债券资金专款专用。</w:t>
      </w:r>
    </w:p>
    <w:p w14:paraId="0A0A2794">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54"/>
      <w:bookmarkEnd w:id="55"/>
    </w:p>
    <w:p w14:paraId="1CFCE2EF">
      <w:pPr>
        <w:ind w:firstLine="560"/>
        <w:rPr>
          <w:rFonts w:hint="eastAsia" w:ascii="楷体" w:hAnsi="楷体" w:eastAsia="楷体" w:cs="楷体"/>
          <w:bCs/>
          <w:sz w:val="28"/>
          <w:szCs w:val="28"/>
        </w:rPr>
      </w:pPr>
      <w:bookmarkStart w:id="56" w:name="_Toc500589022"/>
      <w:bookmarkStart w:id="57" w:name="_Toc500364179"/>
      <w:bookmarkStart w:id="58" w:name="_Toc500202563"/>
      <w:bookmarkStart w:id="59" w:name="_Toc500440025"/>
      <w:bookmarkStart w:id="60" w:name="_Toc500849310"/>
      <w:bookmarkStart w:id="61" w:name="_Toc502134873"/>
      <w:r>
        <w:rPr>
          <w:rFonts w:hint="eastAsia" w:ascii="楷体" w:hAnsi="楷体" w:eastAsia="楷体" w:cs="楷体"/>
          <w:bCs/>
          <w:sz w:val="28"/>
          <w:szCs w:val="28"/>
        </w:rPr>
        <w:t>(一)</w:t>
      </w:r>
      <w:bookmarkStart w:id="62" w:name="_Hlk143876546"/>
      <w:r>
        <w:rPr>
          <w:rFonts w:hint="eastAsia" w:ascii="楷体" w:hAnsi="楷体" w:eastAsia="楷体" w:cs="楷体"/>
          <w:bCs/>
          <w:sz w:val="28"/>
          <w:szCs w:val="28"/>
        </w:rPr>
        <w:t>绩效目标管理履职不到位</w:t>
      </w:r>
    </w:p>
    <w:p w14:paraId="2C9A9AA1">
      <w:pPr>
        <w:ind w:firstLine="560"/>
        <w:rPr>
          <w:rFonts w:hint="eastAsia" w:cs="楷体"/>
          <w:bCs/>
          <w:sz w:val="28"/>
          <w:szCs w:val="28"/>
        </w:rPr>
      </w:pPr>
      <w:r>
        <w:rPr>
          <w:rFonts w:hint="eastAsia" w:cs="楷体"/>
          <w:bCs/>
          <w:sz w:val="28"/>
          <w:szCs w:val="28"/>
        </w:rPr>
        <w:t>2023年教体局根据资金安排，填报了</w:t>
      </w:r>
      <w:bookmarkStart w:id="63" w:name="_Hlk174891143"/>
      <w:r>
        <w:rPr>
          <w:rFonts w:hint="eastAsia" w:cs="楷体"/>
          <w:bCs/>
          <w:sz w:val="28"/>
          <w:szCs w:val="28"/>
        </w:rPr>
        <w:t>《项目绩效目标申报表》</w:t>
      </w:r>
      <w:bookmarkEnd w:id="63"/>
      <w:r>
        <w:rPr>
          <w:rFonts w:hint="eastAsia" w:cs="楷体"/>
          <w:bCs/>
          <w:sz w:val="28"/>
          <w:szCs w:val="28"/>
        </w:rPr>
        <w:t>并设定7个二级指标7个三级指标。申报的2023年度项目支出绩效指标不充分全面，虽然设定了部分</w:t>
      </w:r>
      <w:bookmarkStart w:id="64" w:name="_Hlk177458748"/>
      <w:r>
        <w:rPr>
          <w:rFonts w:hint="eastAsia" w:cs="楷体"/>
          <w:bCs/>
          <w:sz w:val="28"/>
          <w:szCs w:val="28"/>
        </w:rPr>
        <w:t>最能体现总体目标实现程度的关键指标</w:t>
      </w:r>
      <w:bookmarkEnd w:id="64"/>
      <w:r>
        <w:rPr>
          <w:rFonts w:hint="eastAsia" w:cs="楷体"/>
          <w:bCs/>
          <w:sz w:val="28"/>
          <w:szCs w:val="28"/>
        </w:rPr>
        <w:t>并明确了具体指标值，但基本未将项目支出的绩效目标细化、量化分解为具体的工作任务、未通过清晰、可衡量的指标及指标值予以体现，如：(1)仅设定“体育场馆改造项目数=6个”1个产出数量指标，未就项目建设具体任务内容和数量设定充分、全面的数量指标；(2)仅设定“</w:t>
      </w:r>
      <w:bookmarkStart w:id="65" w:name="_Hlk177458590"/>
      <w:r>
        <w:rPr>
          <w:rFonts w:hint="eastAsia" w:cs="楷体"/>
          <w:bCs/>
          <w:sz w:val="28"/>
          <w:szCs w:val="28"/>
        </w:rPr>
        <w:t>市七运会顺利举办，圆满成功</w:t>
      </w:r>
      <w:bookmarkEnd w:id="65"/>
      <w:r>
        <w:rPr>
          <w:rFonts w:hint="eastAsia" w:cs="楷体"/>
          <w:bCs/>
          <w:sz w:val="28"/>
          <w:szCs w:val="28"/>
        </w:rPr>
        <w:t>=100%”1个社会效益指标，未就“市七运会圆满成功”所带来的社会影响，包括但不限于建设程序、施工和赛事安全、设施设备利用、公示公告等方面设定最能体现总体目标实现程度的关键指标。</w:t>
      </w:r>
    </w:p>
    <w:p w14:paraId="422AE7FB">
      <w:pPr>
        <w:ind w:firstLine="560"/>
        <w:rPr>
          <w:rFonts w:hint="eastAsia" w:cs="楷体"/>
          <w:bCs/>
          <w:sz w:val="28"/>
          <w:szCs w:val="28"/>
        </w:rPr>
      </w:pPr>
      <w:r>
        <w:rPr>
          <w:rFonts w:hint="eastAsia" w:cs="楷体"/>
          <w:bCs/>
          <w:sz w:val="28"/>
          <w:szCs w:val="28"/>
        </w:rPr>
        <w:t>上述情况不符合《中华人民共和国预算法》第三十二条“……各部门、各单位应当按照……以及绩效目标管理等预算编制规定，……编制本部门、本单位预算草案。”、《中共中央、国务院关于全面实施预算绩效管理的意见》（中发〔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的规定。</w:t>
      </w:r>
    </w:p>
    <w:p w14:paraId="03126BB1">
      <w:pPr>
        <w:ind w:firstLine="560"/>
        <w:rPr>
          <w:rFonts w:hint="eastAsia" w:ascii="楷体" w:hAnsi="楷体" w:eastAsia="楷体"/>
          <w:sz w:val="28"/>
          <w:szCs w:val="28"/>
        </w:rPr>
      </w:pPr>
      <w:r>
        <w:rPr>
          <w:rFonts w:hint="eastAsia" w:ascii="楷体" w:hAnsi="楷体" w:eastAsia="楷体"/>
          <w:sz w:val="28"/>
          <w:szCs w:val="28"/>
        </w:rPr>
        <w:t>(二)</w:t>
      </w:r>
      <w:bookmarkStart w:id="66" w:name="_Hlk177406739"/>
      <w:r>
        <w:rPr>
          <w:rFonts w:hint="eastAsia" w:ascii="楷体" w:hAnsi="楷体" w:eastAsia="楷体"/>
          <w:sz w:val="28"/>
          <w:szCs w:val="28"/>
        </w:rPr>
        <w:t>基建项目未按规定执行竣工决算程序</w:t>
      </w:r>
      <w:bookmarkEnd w:id="66"/>
    </w:p>
    <w:p w14:paraId="23974D7C">
      <w:pPr>
        <w:ind w:firstLine="560"/>
        <w:rPr>
          <w:rFonts w:hint="eastAsia"/>
          <w:sz w:val="28"/>
          <w:szCs w:val="28"/>
        </w:rPr>
      </w:pPr>
      <w:r>
        <w:rPr>
          <w:rFonts w:hint="eastAsia"/>
          <w:sz w:val="28"/>
          <w:szCs w:val="28"/>
        </w:rPr>
        <w:t>截止绩效评价现场结束日，项目仅执行了第三方工程竣工结算审核程序，未执行独立第三方工程竣工财务决算审计程序，不符合《基本建设财务规则》（财政部令第81号）第三十一条“项目竣工财务决算是正确核定项目资产价值、反映竣工项目建设成果的文件，是办理资产移交和产权登记的依据，包括竣工财务决算报表、竣工财务决算说明书以及相关材料。”和《基本建设项目竣工财务决算管理暂行办法》（财建〔2016〕503号）第十三条“财政部门和项目主管部门对项目竣工财务决算实行先审核、后批复的办法，可以委托预算评审机构或者有专业能力的社会中介机构进行审核。”的规定。</w:t>
      </w:r>
    </w:p>
    <w:p w14:paraId="66026DB3">
      <w:pPr>
        <w:ind w:firstLine="560"/>
        <w:rPr>
          <w:rFonts w:hint="eastAsia" w:ascii="楷体" w:hAnsi="楷体" w:eastAsia="楷体"/>
          <w:sz w:val="28"/>
          <w:szCs w:val="28"/>
        </w:rPr>
      </w:pPr>
      <w:r>
        <w:rPr>
          <w:rFonts w:hint="eastAsia" w:ascii="楷体" w:hAnsi="楷体" w:eastAsia="楷体"/>
          <w:sz w:val="28"/>
          <w:szCs w:val="28"/>
        </w:rPr>
        <w:t>(三)</w:t>
      </w:r>
      <w:bookmarkStart w:id="67" w:name="_Hlk177406298"/>
      <w:r>
        <w:rPr>
          <w:rFonts w:hint="eastAsia" w:ascii="楷体" w:hAnsi="楷体" w:eastAsia="楷体"/>
          <w:sz w:val="28"/>
          <w:szCs w:val="28"/>
        </w:rPr>
        <w:t>资本性支出费用化</w:t>
      </w:r>
      <w:bookmarkEnd w:id="67"/>
    </w:p>
    <w:p w14:paraId="1088075B">
      <w:pPr>
        <w:ind w:firstLine="560"/>
        <w:rPr>
          <w:rFonts w:hint="eastAsia"/>
          <w:sz w:val="28"/>
          <w:szCs w:val="28"/>
        </w:rPr>
      </w:pPr>
      <w:r>
        <w:rPr>
          <w:rFonts w:hint="eastAsia"/>
          <w:sz w:val="28"/>
          <w:szCs w:val="28"/>
        </w:rPr>
        <w:t>为承办市七运会赛事，对包括学校在内的体育设施等进行改扩建，提高了体育设施、设备的使用性能和寿命，因此，相关投资成本均应资本化计入资产账面价值中，但抽查发现，项目存在部分支出费用化的情况，如：2022年9月记账20号凭证“寻甸县羽毛球馆土地不动产权证办理费”86,018.28元，财务会计借记“业务活动费用”、预算会计借记“行政支出”，未计入资产价值，不符合《国务院关于进一步深化预算管理制度改革的意见》（国发〔2021〕5号）第二条第（六）项“……严格各类资产登记和核算，所有资本性支出应当形成资产并予以全程登记。……。”和《政府会计准则第４号——无形资产》（财会[2016]12号）第十条“政府会计主体外购的无形资产，其成本包括购买价款、相关税费以及可归属于该项资产达到预定用途前所发生的其他支出。”的规定。</w:t>
      </w:r>
    </w:p>
    <w:bookmarkEnd w:id="56"/>
    <w:bookmarkEnd w:id="57"/>
    <w:bookmarkEnd w:id="58"/>
    <w:bookmarkEnd w:id="59"/>
    <w:bookmarkEnd w:id="60"/>
    <w:bookmarkEnd w:id="61"/>
    <w:bookmarkEnd w:id="62"/>
    <w:p w14:paraId="7E8456F3">
      <w:pPr>
        <w:ind w:firstLine="560"/>
        <w:rPr>
          <w:rFonts w:hint="eastAsia" w:ascii="黑体" w:hAnsi="黑体" w:eastAsia="黑体" w:cs="黑体"/>
          <w:sz w:val="28"/>
          <w:szCs w:val="28"/>
        </w:rPr>
      </w:pPr>
      <w:bookmarkStart w:id="68" w:name="_Toc502134879"/>
      <w:bookmarkStart w:id="69" w:name="_Toc498009790"/>
      <w:r>
        <w:rPr>
          <w:rFonts w:hint="eastAsia" w:ascii="黑体" w:hAnsi="黑体" w:eastAsia="黑体" w:cs="黑体"/>
          <w:sz w:val="28"/>
          <w:szCs w:val="28"/>
        </w:rPr>
        <w:t>八、建议</w:t>
      </w:r>
      <w:bookmarkEnd w:id="68"/>
      <w:bookmarkEnd w:id="69"/>
      <w:bookmarkStart w:id="70" w:name="_Toc500202569"/>
      <w:bookmarkStart w:id="71" w:name="_Toc500440031"/>
      <w:bookmarkStart w:id="72" w:name="_Toc500849317"/>
      <w:bookmarkStart w:id="73" w:name="_Toc500364185"/>
      <w:bookmarkStart w:id="74" w:name="_Toc498009791"/>
      <w:bookmarkStart w:id="75" w:name="_Toc502134880"/>
      <w:bookmarkStart w:id="76" w:name="_Toc500589028"/>
    </w:p>
    <w:bookmarkEnd w:id="70"/>
    <w:bookmarkEnd w:id="71"/>
    <w:bookmarkEnd w:id="72"/>
    <w:bookmarkEnd w:id="73"/>
    <w:bookmarkEnd w:id="74"/>
    <w:bookmarkEnd w:id="75"/>
    <w:bookmarkEnd w:id="76"/>
    <w:p w14:paraId="6AC6ADD4">
      <w:pPr>
        <w:ind w:firstLine="495" w:firstLineChars="177"/>
        <w:rPr>
          <w:rFonts w:hint="eastAsia" w:ascii="楷体" w:hAnsi="楷体" w:eastAsia="楷体" w:cs="仿宋"/>
          <w:sz w:val="28"/>
          <w:szCs w:val="28"/>
        </w:rPr>
      </w:pPr>
      <w:r>
        <w:rPr>
          <w:rFonts w:hint="eastAsia" w:ascii="楷体" w:hAnsi="楷体" w:eastAsia="楷体" w:cs="仿宋"/>
          <w:sz w:val="28"/>
          <w:szCs w:val="28"/>
        </w:rPr>
        <w:t>(一)加强绩效评价结果应用</w:t>
      </w:r>
    </w:p>
    <w:p w14:paraId="6307A123">
      <w:pPr>
        <w:ind w:firstLine="495" w:firstLineChars="177"/>
        <w:rPr>
          <w:rFonts w:hint="eastAsia"/>
          <w:sz w:val="28"/>
          <w:szCs w:val="28"/>
        </w:rPr>
      </w:pPr>
      <w:r>
        <w:rPr>
          <w:rFonts w:hint="eastAsia"/>
          <w:sz w:val="28"/>
          <w:szCs w:val="28"/>
        </w:rPr>
        <w:t>1.切实加强绩效评价结果运用</w:t>
      </w:r>
    </w:p>
    <w:p w14:paraId="36BDB71F">
      <w:pPr>
        <w:ind w:firstLine="495" w:firstLineChars="177"/>
        <w:rPr>
          <w:rFonts w:hint="eastAsia"/>
          <w:sz w:val="28"/>
          <w:szCs w:val="28"/>
        </w:rPr>
      </w:pPr>
      <w:r>
        <w:rPr>
          <w:rFonts w:hint="eastAsia"/>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201</w:t>
      </w:r>
      <w:r>
        <w:rPr>
          <w:sz w:val="28"/>
          <w:szCs w:val="28"/>
        </w:rPr>
        <w:t>8</w:t>
      </w:r>
      <w:r>
        <w:rPr>
          <w:rFonts w:hint="eastAsia"/>
          <w:sz w:val="28"/>
          <w:szCs w:val="28"/>
        </w:rPr>
        <w:t>〕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w:t>
      </w:r>
    </w:p>
    <w:p w14:paraId="27270052">
      <w:pPr>
        <w:ind w:firstLine="495" w:firstLineChars="177"/>
        <w:rPr>
          <w:rFonts w:hint="eastAsia"/>
          <w:sz w:val="28"/>
          <w:szCs w:val="28"/>
        </w:rPr>
      </w:pPr>
      <w:r>
        <w:rPr>
          <w:sz w:val="28"/>
          <w:szCs w:val="28"/>
        </w:rPr>
        <w:t>2.</w:t>
      </w:r>
      <w:r>
        <w:rPr>
          <w:rFonts w:hint="eastAsia"/>
          <w:sz w:val="28"/>
          <w:szCs w:val="28"/>
        </w:rPr>
        <w:t>提高对绩效评价及评价结果应用重要性的认识</w:t>
      </w:r>
    </w:p>
    <w:p w14:paraId="1E441E63">
      <w:pPr>
        <w:ind w:firstLine="495" w:firstLineChars="177"/>
        <w:rPr>
          <w:rFonts w:hint="eastAsia"/>
          <w:sz w:val="28"/>
          <w:szCs w:val="28"/>
        </w:rPr>
      </w:pPr>
      <w:r>
        <w:rPr>
          <w:rFonts w:hint="eastAsia"/>
          <w:sz w:val="28"/>
          <w:szCs w:val="28"/>
        </w:rPr>
        <w:t>高度重视绩效评价及评价结果的应用工作，充分发挥绩效评价“以评促管”效能，积极探索和建立一套与预算管理相结合、多渠道应用评价结果的有效机制，努力提高绩效意识和财政资金使用效益。充分认识到进一步深化预算管理制度改革的重要意义。</w:t>
      </w:r>
    </w:p>
    <w:p w14:paraId="364E7237">
      <w:pPr>
        <w:ind w:firstLine="495" w:firstLineChars="177"/>
        <w:rPr>
          <w:rFonts w:hint="eastAsia"/>
          <w:sz w:val="28"/>
          <w:szCs w:val="28"/>
        </w:rPr>
      </w:pPr>
      <w:r>
        <w:rPr>
          <w:sz w:val="28"/>
          <w:szCs w:val="28"/>
        </w:rPr>
        <w:t>3.</w:t>
      </w:r>
      <w:r>
        <w:rPr>
          <w:rFonts w:hint="eastAsia"/>
          <w:sz w:val="28"/>
          <w:szCs w:val="28"/>
        </w:rPr>
        <w:t>建立评价结果反馈与整改机制</w:t>
      </w:r>
    </w:p>
    <w:p w14:paraId="7A806EEF">
      <w:pPr>
        <w:ind w:firstLine="495" w:firstLineChars="177"/>
        <w:rPr>
          <w:rFonts w:hint="eastAsia"/>
          <w:sz w:val="28"/>
          <w:szCs w:val="28"/>
        </w:rPr>
      </w:pPr>
      <w:r>
        <w:rPr>
          <w:rFonts w:hint="eastAsia"/>
          <w:sz w:val="28"/>
          <w:szCs w:val="28"/>
        </w:rPr>
        <w:t>评价结果反馈与整改是绩效评价工作的重要内容和组成部分。财政主管部门要在评价工作结束后，以正式文件或反馈书的形式，将评价项目绩效情况、存在的问题及相关建议反馈给被评价单位，并督促其落实整改，以增强绩效评价工作的约束力。被评价单位要针对项目实施中存在的问题和建议进行认真整改，并将落实整改情况以整改报告书的形式反馈财政主管部门。</w:t>
      </w:r>
    </w:p>
    <w:p w14:paraId="2C2CC78D">
      <w:pPr>
        <w:ind w:firstLine="495" w:firstLineChars="177"/>
        <w:rPr>
          <w:rFonts w:hint="eastAsia" w:ascii="楷体" w:hAnsi="楷体" w:eastAsia="楷体" w:cs="仿宋"/>
          <w:sz w:val="28"/>
          <w:szCs w:val="28"/>
        </w:rPr>
      </w:pPr>
      <w:r>
        <w:rPr>
          <w:rFonts w:hint="eastAsia" w:ascii="楷体" w:hAnsi="楷体" w:eastAsia="楷体" w:cs="仿宋"/>
          <w:sz w:val="28"/>
          <w:szCs w:val="28"/>
        </w:rPr>
        <w:t>(二</w:t>
      </w:r>
      <w:r>
        <w:rPr>
          <w:rFonts w:ascii="楷体" w:hAnsi="楷体" w:eastAsia="楷体" w:cs="仿宋"/>
          <w:sz w:val="28"/>
          <w:szCs w:val="28"/>
        </w:rPr>
        <w:t>)</w:t>
      </w:r>
      <w:r>
        <w:rPr>
          <w:rFonts w:hint="eastAsia" w:ascii="楷体" w:hAnsi="楷体" w:eastAsia="楷体" w:cs="仿宋"/>
          <w:sz w:val="28"/>
          <w:szCs w:val="28"/>
        </w:rPr>
        <w:t>强化预算绩效目标管理主体责任</w:t>
      </w:r>
    </w:p>
    <w:p w14:paraId="4CF04875">
      <w:pPr>
        <w:ind w:firstLine="495" w:firstLineChars="177"/>
        <w:rPr>
          <w:rFonts w:hint="eastAsia"/>
          <w:sz w:val="28"/>
          <w:szCs w:val="28"/>
        </w:rPr>
      </w:pPr>
      <w:r>
        <w:rPr>
          <w:rFonts w:hint="eastAsia"/>
          <w:sz w:val="28"/>
          <w:szCs w:val="28"/>
        </w:rPr>
        <w:t>1</w:t>
      </w:r>
      <w:r>
        <w:rPr>
          <w:sz w:val="28"/>
          <w:szCs w:val="28"/>
        </w:rPr>
        <w:t>.</w:t>
      </w:r>
      <w:r>
        <w:rPr>
          <w:rFonts w:hint="eastAsia"/>
          <w:sz w:val="28"/>
          <w:szCs w:val="28"/>
        </w:rPr>
        <w:t>强化绩效目标管理主体责任</w:t>
      </w:r>
    </w:p>
    <w:p w14:paraId="3918A159">
      <w:pPr>
        <w:ind w:firstLine="495" w:firstLineChars="177"/>
        <w:rPr>
          <w:rFonts w:hint="eastAsia"/>
          <w:sz w:val="28"/>
          <w:szCs w:val="28"/>
        </w:rPr>
      </w:pPr>
      <w:r>
        <w:rPr>
          <w:rFonts w:hint="eastAsia"/>
          <w:sz w:val="28"/>
          <w:szCs w:val="28"/>
        </w:rPr>
        <w:t>各部门、各单位在编制年度绩效目标时，应切实履行绩效目标管理主体责任，结合部门中长期规划、部门职能职责及年度的主要工作任务，梳理完善部门总体绩效目标和年度绩效目标，根据绩效目标确定具体的绩效指标，并设定清晰明确、规范完整、充分全面、最能体现总体目标实现程度的关键性、最具代表性、最能直接反映产出和效益的核心指标并明确具体指标值。</w:t>
      </w:r>
    </w:p>
    <w:p w14:paraId="00F29BF1">
      <w:pPr>
        <w:ind w:firstLine="495" w:firstLineChars="177"/>
        <w:rPr>
          <w:rFonts w:hint="eastAsia"/>
          <w:sz w:val="28"/>
          <w:szCs w:val="28"/>
        </w:rPr>
      </w:pPr>
      <w:r>
        <w:rPr>
          <w:rFonts w:hint="eastAsia"/>
          <w:sz w:val="28"/>
          <w:szCs w:val="28"/>
        </w:rPr>
        <w:t>2</w:t>
      </w:r>
      <w:r>
        <w:rPr>
          <w:sz w:val="28"/>
          <w:szCs w:val="28"/>
        </w:rPr>
        <w:t>.</w:t>
      </w:r>
      <w:r>
        <w:rPr>
          <w:rFonts w:hint="eastAsia"/>
          <w:sz w:val="28"/>
          <w:szCs w:val="28"/>
        </w:rPr>
        <w:t>强化绩效运行跟踪监控主体责任</w:t>
      </w:r>
    </w:p>
    <w:p w14:paraId="76552066">
      <w:pPr>
        <w:ind w:firstLine="495" w:firstLineChars="177"/>
        <w:rPr>
          <w:rFonts w:hint="eastAsia"/>
          <w:sz w:val="28"/>
          <w:szCs w:val="28"/>
        </w:rPr>
      </w:pPr>
      <w:r>
        <w:rPr>
          <w:rFonts w:hint="eastAsia"/>
          <w:sz w:val="28"/>
          <w:szCs w:val="28"/>
        </w:rPr>
        <w:t>各单位、各部门应建立并执行项目支出绩效运行跟踪监控机制，切实履行绩效跟踪监控主体责任，预算执行过程中及时对项目支出的绩效目标运行情况进行全覆盖跟踪监控管理，形成绩效跟踪监控报告或类似资料，定期采集绩效运行信息并汇总分析，对绩效目标运行情况进行跟踪管理和督促检查、纠偏扬长，发现绩效运行目标与预期绩效目标发生偏离时，要及时采取措施予以纠正。</w:t>
      </w:r>
    </w:p>
    <w:p w14:paraId="3AC8DD92">
      <w:pPr>
        <w:ind w:firstLine="495" w:firstLineChars="177"/>
        <w:rPr>
          <w:rFonts w:hint="eastAsia"/>
          <w:sz w:val="28"/>
          <w:szCs w:val="28"/>
        </w:rPr>
      </w:pPr>
      <w:r>
        <w:rPr>
          <w:sz w:val="28"/>
          <w:szCs w:val="28"/>
        </w:rPr>
        <w:t>3.</w:t>
      </w:r>
      <w:r>
        <w:rPr>
          <w:rFonts w:hint="eastAsia"/>
          <w:sz w:val="28"/>
          <w:szCs w:val="28"/>
        </w:rPr>
        <w:t>加强绩效评价指标体系建设</w:t>
      </w:r>
    </w:p>
    <w:p w14:paraId="46E8FA70">
      <w:pPr>
        <w:ind w:firstLine="495" w:firstLineChars="177"/>
        <w:rPr>
          <w:rFonts w:hint="eastAsia"/>
          <w:sz w:val="28"/>
          <w:szCs w:val="28"/>
        </w:rPr>
      </w:pPr>
      <w:r>
        <w:rPr>
          <w:rFonts w:hint="eastAsia"/>
          <w:sz w:val="28"/>
          <w:szCs w:val="28"/>
        </w:rPr>
        <w:t>进一步加大绩效评价制度建设和完善</w:t>
      </w:r>
      <w:bookmarkStart w:id="77" w:name="_Hlk138864084"/>
      <w:r>
        <w:rPr>
          <w:rFonts w:hint="eastAsia"/>
          <w:sz w:val="28"/>
          <w:szCs w:val="28"/>
        </w:rPr>
        <w:t>绩效评价指标体系建设</w:t>
      </w:r>
      <w:bookmarkEnd w:id="77"/>
      <w:r>
        <w:rPr>
          <w:rFonts w:hint="eastAsia"/>
          <w:sz w:val="28"/>
          <w:szCs w:val="28"/>
        </w:rPr>
        <w:t>，在制度上加强规范管理，在执行中加大督促力度，让绩效评价工作真正走上制度化、规范化、标准化的新台阶，加强领导、统一思想、明确责任，制定由相关部门牵头、各部门参与的绩效评价管理制度和绩效评价指标体系建设。</w:t>
      </w:r>
    </w:p>
    <w:p w14:paraId="72DC70B4">
      <w:pPr>
        <w:ind w:firstLine="495" w:firstLineChars="177"/>
        <w:rPr>
          <w:rFonts w:hint="eastAsia" w:ascii="楷体" w:hAnsi="楷体" w:eastAsia="楷体" w:cs="仿宋"/>
          <w:sz w:val="28"/>
          <w:szCs w:val="28"/>
        </w:rPr>
      </w:pPr>
      <w:r>
        <w:rPr>
          <w:rFonts w:hint="eastAsia" w:ascii="楷体" w:hAnsi="楷体" w:eastAsia="楷体" w:cs="仿宋"/>
          <w:sz w:val="28"/>
          <w:szCs w:val="28"/>
        </w:rPr>
        <w:t>(三)加强学习，提高认识</w:t>
      </w:r>
    </w:p>
    <w:p w14:paraId="0DDC9750">
      <w:pPr>
        <w:ind w:firstLine="495" w:firstLineChars="177"/>
        <w:rPr>
          <w:rFonts w:hint="eastAsia"/>
          <w:sz w:val="28"/>
          <w:szCs w:val="28"/>
        </w:rPr>
      </w:pPr>
      <w:r>
        <w:rPr>
          <w:rFonts w:hint="eastAsia"/>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p>
    <w:p w14:paraId="62A59D85">
      <w:pPr>
        <w:ind w:firstLine="560"/>
        <w:rPr>
          <w:rFonts w:hint="eastAsia" w:cs="仿宋"/>
          <w:sz w:val="28"/>
          <w:szCs w:val="28"/>
        </w:rPr>
      </w:pPr>
      <w:r>
        <w:rPr>
          <w:rFonts w:hint="eastAsia" w:cs="仿宋"/>
          <w:sz w:val="28"/>
          <w:szCs w:val="28"/>
        </w:rPr>
        <w:t>切实转变思想观念，牢固树立绩效意识，深入贯彻落实科学发展观，完善公共财政体系，推进财政科学化精细化管理，强化预算支出的责任和效率，提高财政资金使用效益。</w:t>
      </w:r>
    </w:p>
    <w:p w14:paraId="0698DFC5">
      <w:pPr>
        <w:ind w:firstLine="560"/>
        <w:rPr>
          <w:rFonts w:hint="eastAsia" w:ascii="楷体" w:hAnsi="楷体" w:eastAsia="楷体" w:cs="仿宋"/>
          <w:sz w:val="28"/>
          <w:szCs w:val="28"/>
        </w:rPr>
      </w:pPr>
      <w:r>
        <w:rPr>
          <w:rFonts w:hint="eastAsia" w:ascii="楷体" w:hAnsi="楷体" w:eastAsia="楷体" w:cs="仿宋"/>
          <w:sz w:val="28"/>
          <w:szCs w:val="28"/>
        </w:rPr>
        <w:t>(四)关于绩效管理的建议</w:t>
      </w:r>
    </w:p>
    <w:p w14:paraId="31CD43FC">
      <w:pPr>
        <w:ind w:firstLine="560"/>
        <w:rPr>
          <w:rFonts w:hint="eastAsia" w:cs="仿宋"/>
          <w:sz w:val="28"/>
          <w:szCs w:val="28"/>
        </w:rPr>
      </w:pPr>
      <w:r>
        <w:rPr>
          <w:rFonts w:hint="eastAsia" w:cs="仿宋"/>
          <w:sz w:val="28"/>
          <w:szCs w:val="28"/>
        </w:rPr>
        <w:t>1.绩效目标管理</w:t>
      </w:r>
    </w:p>
    <w:p w14:paraId="2AB5F5F6">
      <w:pPr>
        <w:ind w:firstLine="560"/>
        <w:rPr>
          <w:rFonts w:hint="eastAsia" w:cs="仿宋"/>
          <w:sz w:val="28"/>
          <w:szCs w:val="28"/>
        </w:rPr>
      </w:pPr>
      <w:r>
        <w:rPr>
          <w:rFonts w:hint="eastAsia" w:cs="仿宋"/>
          <w:sz w:val="28"/>
          <w:szCs w:val="28"/>
        </w:rPr>
        <w:t>按照“谁申报预算谁设定”的原则，预算单位在绩效目标管理方面的职责，主要是绩效目标的设定。建议按以下方法设定项目绩效目标：</w:t>
      </w:r>
    </w:p>
    <w:p w14:paraId="21A9A8EC">
      <w:pPr>
        <w:ind w:firstLine="560"/>
        <w:rPr>
          <w:rFonts w:hint="eastAsia" w:cs="仿宋"/>
          <w:sz w:val="28"/>
          <w:szCs w:val="28"/>
        </w:rPr>
      </w:pPr>
      <w:r>
        <w:rPr>
          <w:rFonts w:hint="eastAsia" w:cs="仿宋"/>
          <w:sz w:val="28"/>
          <w:szCs w:val="28"/>
        </w:rPr>
        <w:t>(1)梳理项目功能：对项目的功能进行梳理，包括资金性质、预期投入、支出范围、实施内容、工作任务、受益对象等，明确项目的功能特性。尤其是产出数量指标的设定，须根据项目实施内容和工作任务数量，充分、全面设定数量指标。</w:t>
      </w:r>
    </w:p>
    <w:p w14:paraId="04C23550">
      <w:pPr>
        <w:ind w:firstLine="560"/>
        <w:rPr>
          <w:rFonts w:hint="eastAsia" w:cs="仿宋"/>
          <w:sz w:val="28"/>
          <w:szCs w:val="28"/>
        </w:rPr>
      </w:pPr>
      <w:r>
        <w:rPr>
          <w:rFonts w:hint="eastAsia" w:cs="仿宋"/>
          <w:sz w:val="28"/>
          <w:szCs w:val="28"/>
        </w:rPr>
        <w:t>(2)确定总体目标：依据项目的功能特性，预计项目实施在一定时期内所要达到的总体产出和效果，确定项目所要实现的总体目标，并以定量和定性相结合的方式进行表述。</w:t>
      </w:r>
    </w:p>
    <w:p w14:paraId="2983EDCB">
      <w:pPr>
        <w:ind w:firstLine="560"/>
        <w:rPr>
          <w:rFonts w:hint="eastAsia" w:cs="仿宋"/>
          <w:sz w:val="28"/>
          <w:szCs w:val="28"/>
        </w:rPr>
      </w:pPr>
      <w:r>
        <w:rPr>
          <w:rFonts w:hint="eastAsia" w:cs="仿宋"/>
          <w:sz w:val="28"/>
          <w:szCs w:val="28"/>
        </w:rPr>
        <w:t>(3)确定绩效指标：对项目支出总体目标进行细化分解，从中概括、提炼出最能反映总体目标预期实现程度的关键性指标，并将其确定为相应的绩效指标。</w:t>
      </w:r>
    </w:p>
    <w:p w14:paraId="45465345">
      <w:pPr>
        <w:ind w:firstLine="560"/>
        <w:rPr>
          <w:rFonts w:hint="eastAsia" w:cs="仿宋"/>
          <w:sz w:val="28"/>
          <w:szCs w:val="28"/>
        </w:rPr>
      </w:pPr>
      <w:r>
        <w:rPr>
          <w:rFonts w:hint="eastAsia" w:cs="仿宋"/>
          <w:sz w:val="28"/>
          <w:szCs w:val="28"/>
        </w:rPr>
        <w:t>(4)确定指标值：通过收集相关基准数据，确定绩效标准，并结合项目预期进展、预计投入等情况，确定绩效指标的具体数值。</w:t>
      </w:r>
    </w:p>
    <w:p w14:paraId="35F565B1">
      <w:pPr>
        <w:ind w:firstLine="560"/>
        <w:rPr>
          <w:rFonts w:hint="eastAsia" w:cs="仿宋"/>
          <w:sz w:val="28"/>
          <w:szCs w:val="28"/>
        </w:rPr>
      </w:pPr>
      <w:r>
        <w:rPr>
          <w:rFonts w:hint="eastAsia" w:cs="仿宋"/>
          <w:sz w:val="28"/>
          <w:szCs w:val="28"/>
        </w:rPr>
        <w:t>2.绩效自评</w:t>
      </w:r>
    </w:p>
    <w:p w14:paraId="224B1929">
      <w:pPr>
        <w:ind w:firstLine="560"/>
        <w:rPr>
          <w:rFonts w:hint="eastAsia" w:cs="仿宋"/>
          <w:sz w:val="28"/>
          <w:szCs w:val="28"/>
        </w:rPr>
      </w:pPr>
      <w:r>
        <w:rPr>
          <w:rFonts w:hint="eastAsia" w:cs="仿宋"/>
          <w:sz w:val="28"/>
          <w:szCs w:val="28"/>
        </w:rPr>
        <w:t>绩效自评是预算单位主体责任之一，按照绩效评价管理原则，须先有项目产出和效果的绩效自评结果，才有预算主管部门的绩效评价基础。自评程序及方法建议如下：</w:t>
      </w:r>
    </w:p>
    <w:p w14:paraId="3610F5EA">
      <w:pPr>
        <w:ind w:firstLine="560"/>
        <w:rPr>
          <w:rFonts w:hint="eastAsia" w:cs="仿宋"/>
          <w:sz w:val="28"/>
          <w:szCs w:val="28"/>
        </w:rPr>
      </w:pPr>
      <w:r>
        <w:rPr>
          <w:rFonts w:hint="eastAsia" w:cs="仿宋"/>
          <w:sz w:val="28"/>
          <w:szCs w:val="28"/>
        </w:rPr>
        <w:t>(1)遵循“目标引领、科学规范、客观公正、结果导向”的原则。</w:t>
      </w:r>
    </w:p>
    <w:p w14:paraId="43B6D871">
      <w:pPr>
        <w:ind w:firstLine="560"/>
        <w:rPr>
          <w:rFonts w:hint="eastAsia" w:cs="仿宋"/>
          <w:sz w:val="28"/>
          <w:szCs w:val="28"/>
        </w:rPr>
      </w:pPr>
      <w:r>
        <w:rPr>
          <w:rFonts w:hint="eastAsia" w:cs="仿宋"/>
          <w:sz w:val="28"/>
          <w:szCs w:val="28"/>
        </w:rPr>
        <w:t>(2)拟定评价计划。明确评价组织实施方式，确定评价目的、内容、任务、依据、评价时间及要求等方面的情况。</w:t>
      </w:r>
    </w:p>
    <w:p w14:paraId="589A3700">
      <w:pPr>
        <w:ind w:firstLine="560"/>
        <w:rPr>
          <w:rFonts w:hint="eastAsia" w:cs="仿宋"/>
          <w:sz w:val="28"/>
          <w:szCs w:val="28"/>
        </w:rPr>
      </w:pPr>
      <w:r>
        <w:rPr>
          <w:rFonts w:hint="eastAsia" w:cs="仿宋"/>
          <w:sz w:val="28"/>
          <w:szCs w:val="28"/>
        </w:rPr>
        <w:t>(3)根据评价计划拟定组织实施方案、评价指标体系等具体评价方案。</w:t>
      </w:r>
    </w:p>
    <w:p w14:paraId="2F3CCD93">
      <w:pPr>
        <w:ind w:firstLine="560"/>
        <w:rPr>
          <w:rFonts w:hint="eastAsia" w:cs="仿宋"/>
          <w:sz w:val="28"/>
          <w:szCs w:val="28"/>
        </w:rPr>
      </w:pPr>
      <w:r>
        <w:rPr>
          <w:rFonts w:hint="eastAsia" w:cs="仿宋"/>
          <w:sz w:val="28"/>
          <w:szCs w:val="28"/>
        </w:rPr>
        <w:t>(4)收集项目资料，采集项目数据，形成评价底稿。</w:t>
      </w:r>
    </w:p>
    <w:p w14:paraId="4AA73A52">
      <w:pPr>
        <w:ind w:firstLine="560"/>
        <w:rPr>
          <w:rFonts w:hint="eastAsia" w:cs="仿宋"/>
          <w:sz w:val="28"/>
          <w:szCs w:val="28"/>
        </w:rPr>
      </w:pPr>
      <w:r>
        <w:rPr>
          <w:rFonts w:hint="eastAsia" w:cs="仿宋"/>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0C75454B">
      <w:pPr>
        <w:ind w:firstLine="560"/>
        <w:rPr>
          <w:rFonts w:hint="eastAsia" w:cs="仿宋"/>
          <w:sz w:val="28"/>
          <w:szCs w:val="28"/>
        </w:rPr>
      </w:pPr>
      <w:r>
        <w:rPr>
          <w:rFonts w:hint="eastAsia" w:cs="仿宋"/>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09EFF822">
      <w:pPr>
        <w:ind w:firstLine="560"/>
        <w:rPr>
          <w:rFonts w:hint="eastAsia" w:cs="仿宋"/>
          <w:sz w:val="28"/>
          <w:szCs w:val="28"/>
        </w:rPr>
      </w:pPr>
      <w:r>
        <w:rPr>
          <w:rFonts w:hint="eastAsia" w:cs="仿宋"/>
          <w:sz w:val="28"/>
          <w:szCs w:val="28"/>
        </w:rPr>
        <w:t>(5)编制绩效自评报告。绩效自评报告的参考格式参照《项目支出绩效评价管理办法》（财预〔2020〕10 号）附件。</w:t>
      </w:r>
    </w:p>
    <w:p w14:paraId="560EF86E">
      <w:pPr>
        <w:ind w:firstLine="560"/>
        <w:rPr>
          <w:rFonts w:hint="eastAsia" w:cs="仿宋"/>
          <w:sz w:val="28"/>
          <w:szCs w:val="28"/>
        </w:rPr>
      </w:pPr>
      <w:r>
        <w:rPr>
          <w:rFonts w:hint="eastAsia" w:cs="仿宋"/>
          <w:sz w:val="28"/>
          <w:szCs w:val="28"/>
        </w:rPr>
        <w:t>3.绩效运行跟踪监控</w:t>
      </w:r>
    </w:p>
    <w:p w14:paraId="175D8A20">
      <w:pPr>
        <w:ind w:firstLine="560"/>
        <w:rPr>
          <w:rFonts w:hint="eastAsia" w:cs="仿宋"/>
          <w:sz w:val="28"/>
          <w:szCs w:val="28"/>
        </w:rPr>
      </w:pPr>
      <w:r>
        <w:rPr>
          <w:rFonts w:hint="eastAsia" w:cs="仿宋"/>
          <w:sz w:val="28"/>
          <w:szCs w:val="28"/>
        </w:rPr>
        <w:t>在项目执行过程中，单位应采取绩效跟踪、数据核查和实地调研等动态监控方式，及时掌控项目的进展和资金使用情况，及时纠正偏离预算绩效目标的行为。</w:t>
      </w:r>
    </w:p>
    <w:p w14:paraId="009E73E0">
      <w:pPr>
        <w:ind w:firstLine="495" w:firstLineChars="177"/>
        <w:rPr>
          <w:rFonts w:hint="eastAsia"/>
          <w:sz w:val="28"/>
          <w:szCs w:val="28"/>
        </w:rPr>
      </w:pPr>
      <w:r>
        <w:rPr>
          <w:rFonts w:hint="eastAsia" w:cs="仿宋"/>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59D0125E">
      <w:pPr>
        <w:ind w:firstLine="495" w:firstLineChars="177"/>
        <w:rPr>
          <w:rFonts w:hint="eastAsia"/>
          <w:sz w:val="28"/>
          <w:szCs w:val="28"/>
        </w:rPr>
      </w:pPr>
      <w:r>
        <w:rPr>
          <w:rFonts w:hint="eastAsia" w:ascii="楷体" w:hAnsi="楷体" w:eastAsia="楷体" w:cs="仿宋"/>
          <w:sz w:val="28"/>
          <w:szCs w:val="28"/>
        </w:rPr>
        <w:t>(五</w:t>
      </w:r>
      <w:r>
        <w:rPr>
          <w:rFonts w:ascii="楷体" w:hAnsi="楷体" w:eastAsia="楷体" w:cs="仿宋"/>
          <w:sz w:val="28"/>
          <w:szCs w:val="28"/>
        </w:rPr>
        <w:t>)</w:t>
      </w:r>
      <w:r>
        <w:rPr>
          <w:rFonts w:hint="eastAsia" w:ascii="楷体" w:hAnsi="楷体" w:eastAsia="楷体" w:cs="仿宋"/>
          <w:sz w:val="28"/>
          <w:szCs w:val="28"/>
        </w:rPr>
        <w:t>具体问题处理建议</w:t>
      </w:r>
    </w:p>
    <w:p w14:paraId="1E5D909F">
      <w:pPr>
        <w:ind w:firstLine="495" w:firstLineChars="177"/>
        <w:rPr>
          <w:rFonts w:hint="eastAsia"/>
          <w:sz w:val="28"/>
          <w:szCs w:val="28"/>
        </w:rPr>
      </w:pPr>
      <w:r>
        <w:rPr>
          <w:rFonts w:hint="eastAsia" w:cs="仿宋"/>
          <w:sz w:val="28"/>
          <w:szCs w:val="28"/>
        </w:rPr>
        <w:t>1.针对上述“项目未按规定执行竣工决算程序”的问题，</w:t>
      </w:r>
      <w:r>
        <w:rPr>
          <w:rFonts w:hint="eastAsia"/>
          <w:sz w:val="28"/>
          <w:szCs w:val="28"/>
        </w:rPr>
        <w:t>建议教体局按规定程序报请政府审计或公允采购社会中介执行财务竣工决算程序，按最终审计金额办理资产权属确权并移交，确保政府投资资产的安全、完整。</w:t>
      </w:r>
    </w:p>
    <w:p w14:paraId="0681D4FE">
      <w:pPr>
        <w:ind w:firstLine="560"/>
        <w:rPr>
          <w:rFonts w:hint="eastAsia" w:cs="仿宋"/>
          <w:sz w:val="28"/>
          <w:szCs w:val="28"/>
        </w:rPr>
      </w:pPr>
      <w:r>
        <w:rPr>
          <w:rFonts w:hint="eastAsia" w:cs="仿宋"/>
          <w:sz w:val="28"/>
          <w:szCs w:val="28"/>
        </w:rPr>
        <w:t>2.针对上述“资本性支出费用化”的问题，建议教体局及时、规范调整账务，按《基本建设财务规则》、《政府会计准则》及其解释和应用指南、《政府会计制度》规范、准确、明细核算项目投资成本。</w:t>
      </w:r>
    </w:p>
    <w:p w14:paraId="60D75E9A">
      <w:pPr>
        <w:ind w:firstLine="560"/>
        <w:rPr>
          <w:rFonts w:hint="eastAsia" w:cs="仿宋"/>
          <w:sz w:val="28"/>
          <w:szCs w:val="28"/>
        </w:rPr>
      </w:pPr>
    </w:p>
    <w:p w14:paraId="7BF28900">
      <w:pPr>
        <w:ind w:firstLine="560"/>
        <w:rPr>
          <w:rFonts w:hint="eastAsia" w:cs="仿宋"/>
          <w:sz w:val="28"/>
          <w:szCs w:val="28"/>
        </w:rPr>
      </w:pPr>
    </w:p>
    <w:p w14:paraId="3DD4D4B6">
      <w:pPr>
        <w:ind w:firstLine="560"/>
        <w:rPr>
          <w:rFonts w:hint="eastAsia" w:cs="仿宋"/>
          <w:sz w:val="28"/>
          <w:szCs w:val="28"/>
        </w:rPr>
      </w:pPr>
      <w:r>
        <w:rPr>
          <w:rFonts w:hint="eastAsia" w:cs="仿宋"/>
          <w:sz w:val="28"/>
          <w:szCs w:val="28"/>
        </w:rPr>
        <w:t>附件：寻甸县教育体育局2023年寻甸县承办市七运会场馆能力提升建设经费项目支出绩效评价指标体系及评分表</w:t>
      </w:r>
    </w:p>
    <w:p w14:paraId="28F12C0D">
      <w:pPr>
        <w:ind w:firstLine="560"/>
        <w:rPr>
          <w:rFonts w:hint="eastAsia" w:cs="仿宋"/>
          <w:sz w:val="28"/>
          <w:szCs w:val="28"/>
        </w:rPr>
      </w:pPr>
    </w:p>
    <w:p w14:paraId="4733B1B5">
      <w:pPr>
        <w:ind w:firstLine="560"/>
        <w:rPr>
          <w:rFonts w:hint="eastAsia" w:cs="仿宋"/>
          <w:sz w:val="28"/>
          <w:szCs w:val="28"/>
        </w:rPr>
      </w:pPr>
      <w:r>
        <w:rPr>
          <w:rFonts w:hint="eastAsia" w:cs="仿宋"/>
          <w:sz w:val="28"/>
          <w:szCs w:val="28"/>
        </w:rPr>
        <w:t xml:space="preserve">                           </w:t>
      </w:r>
    </w:p>
    <w:p w14:paraId="2535556E">
      <w:pPr>
        <w:ind w:firstLine="0" w:firstLineChars="0"/>
        <w:rPr>
          <w:rFonts w:hint="eastAsia" w:cs="仿宋"/>
          <w:sz w:val="28"/>
          <w:szCs w:val="28"/>
        </w:rPr>
      </w:pPr>
      <w:r>
        <w:rPr>
          <w:rFonts w:hint="eastAsia" w:cs="仿宋"/>
          <w:sz w:val="28"/>
          <w:szCs w:val="28"/>
        </w:rPr>
        <w:t>云南京健会计师事务所（普通合伙）   中国注册会计师：</w:t>
      </w:r>
    </w:p>
    <w:p w14:paraId="0A1B2D4A">
      <w:pPr>
        <w:spacing w:line="240" w:lineRule="auto"/>
        <w:ind w:firstLine="5040" w:firstLineChars="2100"/>
        <w:rPr>
          <w:rFonts w:hint="eastAsia" w:cs="仿宋"/>
          <w:szCs w:val="24"/>
        </w:rPr>
      </w:pPr>
    </w:p>
    <w:p w14:paraId="4FA51891">
      <w:pPr>
        <w:spacing w:line="240" w:lineRule="auto"/>
        <w:ind w:firstLine="5040" w:firstLineChars="2100"/>
        <w:rPr>
          <w:rFonts w:hint="eastAsia" w:cs="仿宋"/>
          <w:szCs w:val="24"/>
        </w:rPr>
      </w:pPr>
    </w:p>
    <w:p w14:paraId="0BAC64B8">
      <w:pPr>
        <w:spacing w:line="240" w:lineRule="auto"/>
        <w:ind w:firstLine="1400" w:firstLineChars="500"/>
        <w:rPr>
          <w:rFonts w:hint="eastAsia" w:cs="仿宋"/>
          <w:sz w:val="28"/>
          <w:szCs w:val="28"/>
        </w:rPr>
      </w:pPr>
      <w:r>
        <w:rPr>
          <w:rFonts w:hint="eastAsia" w:cs="仿宋"/>
          <w:sz w:val="28"/>
          <w:szCs w:val="28"/>
        </w:rPr>
        <w:t>中国•昆明                中国注册会计师：</w:t>
      </w:r>
    </w:p>
    <w:p w14:paraId="6FA0ABDA">
      <w:pPr>
        <w:pStyle w:val="4"/>
        <w:spacing w:line="240" w:lineRule="auto"/>
        <w:ind w:firstLine="300"/>
        <w:rPr>
          <w:rFonts w:hint="eastAsia"/>
          <w:sz w:val="15"/>
          <w:szCs w:val="15"/>
        </w:rPr>
      </w:pPr>
    </w:p>
    <w:p w14:paraId="01EDAF34">
      <w:pPr>
        <w:spacing w:line="240" w:lineRule="auto"/>
        <w:ind w:firstLine="560"/>
        <w:rPr>
          <w:rFonts w:hint="eastAsia" w:ascii="仿宋_GB2312" w:hAnsi="仿宋_GB2312" w:eastAsia="仿宋_GB2312" w:cs="仿宋_GB2312"/>
          <w:sz w:val="28"/>
          <w:szCs w:val="28"/>
        </w:rPr>
      </w:pPr>
      <w:r>
        <w:rPr>
          <w:rFonts w:hint="eastAsia" w:cs="仿宋"/>
          <w:sz w:val="28"/>
          <w:szCs w:val="28"/>
        </w:rPr>
        <w:t xml:space="preserve">                          二〇二四年九月二十五日</w:t>
      </w:r>
      <w:bookmarkStart w:id="78" w:name="_GoBack"/>
      <w:bookmarkEnd w:id="78"/>
    </w:p>
    <w:sectPr>
      <w:footerReference r:id="rId11" w:type="default"/>
      <w:pgSz w:w="11906" w:h="16838"/>
      <w:pgMar w:top="1440" w:right="1803" w:bottom="1440" w:left="1803" w:header="1020" w:footer="992" w:gutter="0"/>
      <w:pgBorders>
        <w:top w:val="single" w:color="auto" w:sz="4" w:space="1"/>
        <w:bottom w:val="single" w:color="auto" w:sz="4"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C7EA">
    <w:pPr>
      <w:ind w:firstLine="360"/>
      <w:jc w:val="distribute"/>
      <w:rPr>
        <w:rFonts w:hint="eastAsia" w:ascii="宋体" w:hAnsi="宋体" w:eastAsia="宋体" w:cs="宋体"/>
        <w:szCs w:val="21"/>
      </w:rPr>
    </w:pPr>
    <w:r>
      <w:rPr>
        <w:rFonts w:hint="eastAsia" w:ascii="宋体" w:hAnsi="宋体" w:eastAsia="宋体" w:cs="宋体"/>
        <w:sz w:val="18"/>
        <w:szCs w:val="18"/>
      </w:rPr>
      <w:t>地址（Add）：云南省昆明市滇池旅游度假区广福路中天融域24幢2单元1001号</w: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215F374C">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0288;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nMlddoAAAAJAQAADwAAAAAAAAABACAAAAAiAAAAZHJzL2Rvd25yZXYueG1s&#10;UEsBAhQAFAAAAAgAh07iQE6geIovAgAAUwQAAA4AAAAAAAAAAQAgAAAAKQEAAGRycy9lMm9Eb2Mu&#10;eG1sUEsFBgAAAAAGAAYAWQEAAMoFAAAAAA==&#10;">
              <v:fill on="f" focussize="0,0"/>
              <v:stroke on="f" weight="0.5pt"/>
              <v:imagedata o:title=""/>
              <o:lock v:ext="edit" aspectratio="f"/>
              <v:textbox inset="0mm,0mm,0mm,0mm">
                <w:txbxContent>
                  <w:p w14:paraId="215F374C">
                    <w:pPr>
                      <w:pStyle w:val="5"/>
                      <w:ind w:firstLine="360"/>
                      <w:rPr>
                        <w:rFonts w:hint="eastAsia"/>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3" name="文本框 3"/>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13C4CC0C">
                          <w:pPr>
                            <w:pStyle w:val="5"/>
                            <w:ind w:firstLine="36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1312;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CnNspjxAEAAIkDAAAOAAAAAAAAAAEAIAAAACYBAABkcnMvZTJv&#10;RG9jLnhtbFBLBQYAAAAABgAGAFkBAABcBQAAAAA=&#10;">
              <v:fill on="f" focussize="0,0"/>
              <v:stroke on="f"/>
              <v:imagedata o:title=""/>
              <o:lock v:ext="edit" aspectratio="f"/>
              <v:textbox inset="0mm,0mm,0mm,0mm">
                <w:txbxContent>
                  <w:p w14:paraId="13C4CC0C">
                    <w:pPr>
                      <w:pStyle w:val="5"/>
                      <w:ind w:firstLine="36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B5D4">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20F8">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D760">
    <w:pPr>
      <w:spacing w:line="240" w:lineRule="auto"/>
      <w:ind w:firstLine="0" w:firstLineChars="0"/>
      <w:rPr>
        <w:rFonts w:hint="eastAsia" w:ascii="宋体" w:hAnsi="宋体" w:eastAsia="宋体" w:cs="宋体"/>
        <w:sz w:val="18"/>
        <w:szCs w:val="18"/>
      </w:rPr>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2074545</wp:posOffset>
              </wp:positionH>
              <wp:positionV relativeFrom="paragraph">
                <wp:posOffset>635</wp:posOffset>
              </wp:positionV>
              <wp:extent cx="1473200" cy="279400"/>
              <wp:effectExtent l="0" t="0" r="12700" b="6350"/>
              <wp:wrapNone/>
              <wp:docPr id="5" name="文本框 5"/>
              <wp:cNvGraphicFramePr/>
              <a:graphic xmlns:a="http://schemas.openxmlformats.org/drawingml/2006/main">
                <a:graphicData uri="http://schemas.microsoft.com/office/word/2010/wordprocessingShape">
                  <wps:wsp>
                    <wps:cNvSpPr txBox="1"/>
                    <wps:spPr>
                      <a:xfrm>
                        <a:off x="0" y="0"/>
                        <a:ext cx="147320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A3382">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3.35pt;margin-top:0.05pt;height:22pt;width:116pt;mso-position-horizontal-relative:margin;z-index:251664384;mso-width-relative:page;mso-height-relative:page;" filled="f" stroked="f" coordsize="21600,21600" o:gfxdata="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s0XzNUAAAAHAQAADwAAAAAAAAABACAAAAAiAAAAZHJzL2Rvd25yZXYueG1sUEsB&#10;AhQAFAAAAAgAh07iQBCBNIoxAgAAVgQAAA4AAAAAAAAAAQAgAAAAJAEAAGRycy9lMm9Eb2MueG1s&#10;UEsFBgAAAAAGAAYAWQEAAMcFAAAAAA==&#10;">
              <v:fill on="f" focussize="0,0"/>
              <v:stroke on="f" weight="0.5pt"/>
              <v:imagedata o:title=""/>
              <o:lock v:ext="edit" aspectratio="f"/>
              <v:textbox inset="0mm,0mm,0mm,0mm">
                <w:txbxContent>
                  <w:p w14:paraId="1D1A3382">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页</w:t>
                    </w:r>
                  </w:p>
                </w:txbxContent>
              </v:textbox>
            </v:shape>
          </w:pict>
        </mc:Fallback>
      </mc:AlternateContent>
    </w:r>
  </w:p>
  <w:p w14:paraId="55E829C8">
    <w:pPr>
      <w:spacing w:line="240" w:lineRule="auto"/>
      <w:ind w:firstLine="0" w:firstLineChars="0"/>
      <w:jc w:val="distribute"/>
      <w:rPr>
        <w:rFonts w:ascii="Calibri" w:hAnsi="Calibri" w:cs="Calibri"/>
        <w:sz w:val="18"/>
        <w:szCs w:val="18"/>
      </w:rPr>
    </w:pPr>
    <w:r>
      <w:rPr>
        <w:rFonts w:hint="eastAsia" w:ascii="宋体" w:hAnsi="宋体" w:eastAsia="宋体" w:cs="宋体"/>
        <w:sz w:val="18"/>
        <w:szCs w:val="18"/>
      </w:rPr>
      <w:t>地址（Add）：云南省昆明市滇池旅游度假区广福路中天融域24幢2单元1001号</w:t>
    </w:r>
    <w:r>
      <w:rPr>
        <w:rFonts w:hint="eastAsia"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7CB7371C">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2336;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zJXXaAAAACQEAAA8AAAAAAAAAAQAgAAAAIgAAAGRycy9kb3ducmV2Lnht&#10;bFBLAQIUABQAAAAIAIdO4kABWAd4MAIAAFMEAAAOAAAAAAAAAAEAIAAAACkBAABkcnMvZTJvRG9j&#10;LnhtbFBLBQYAAAAABgAGAFkBAADLBQAAAAA=&#10;">
              <v:fill on="f" focussize="0,0"/>
              <v:stroke on="f" weight="0.5pt"/>
              <v:imagedata o:title=""/>
              <o:lock v:ext="edit" aspectratio="f"/>
              <v:textbox inset="0mm,0mm,0mm,0mm">
                <w:txbxContent>
                  <w:p w14:paraId="7CB7371C">
                    <w:pPr>
                      <w:pStyle w:val="5"/>
                      <w:ind w:firstLine="360"/>
                      <w:rPr>
                        <w:rFonts w:hint="eastAsia"/>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33DA290A">
                          <w:pPr>
                            <w:pStyle w:val="5"/>
                            <w:ind w:firstLine="36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3360;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BhtChnxAEAAIkDAAAOAAAAAAAAAAEAIAAAACYBAABkcnMvZTJv&#10;RG9jLnhtbFBLBQYAAAAABgAGAFkBAABcBQAAAAA=&#10;">
              <v:fill on="f" focussize="0,0"/>
              <v:stroke on="f"/>
              <v:imagedata o:title=""/>
              <o:lock v:ext="edit" aspectratio="f"/>
              <v:textbox inset="0mm,0mm,0mm,0mm">
                <w:txbxContent>
                  <w:p w14:paraId="33DA290A">
                    <w:pPr>
                      <w:pStyle w:val="5"/>
                      <w:ind w:firstLine="360"/>
                      <w:rPr>
                        <w:rFonts w:hint="eastAsia"/>
                      </w:rPr>
                    </w:pPr>
                  </w:p>
                </w:txbxContent>
              </v:textbox>
            </v:shape>
          </w:pict>
        </mc:Fallback>
      </mc:AlternateContent>
    </w:r>
    <w:r>
      <w:rPr>
        <w:rFonts w:ascii="Calibri" w:hAnsi="Calibri" w:cs="Calibri"/>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71D60">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C71D60">
                    <w:pPr>
                      <w:pStyle w:val="5"/>
                      <w:ind w:firstLine="36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D1FA">
    <w:pPr>
      <w:pStyle w:val="6"/>
      <w:spacing w:line="240" w:lineRule="auto"/>
      <w:ind w:firstLine="0" w:firstLineChars="0"/>
      <w:jc w:val="right"/>
      <w:rPr>
        <w:rFonts w:hint="eastAsia" w:ascii="隶书" w:eastAsia="隶书"/>
        <w:sz w:val="21"/>
        <w:szCs w:val="21"/>
      </w:rPr>
    </w:pPr>
    <w:r>
      <w:rPr>
        <w:rFonts w:hint="eastAsia" w:ascii="隶书" w:eastAsia="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2AB4">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203F">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AE6716"/>
    <w:rsid w:val="00015509"/>
    <w:rsid w:val="00024B3C"/>
    <w:rsid w:val="00044A09"/>
    <w:rsid w:val="00072D53"/>
    <w:rsid w:val="00084424"/>
    <w:rsid w:val="0009447D"/>
    <w:rsid w:val="000A11AC"/>
    <w:rsid w:val="000A5F28"/>
    <w:rsid w:val="000D1D34"/>
    <w:rsid w:val="000E2072"/>
    <w:rsid w:val="000E2CD2"/>
    <w:rsid w:val="000F3900"/>
    <w:rsid w:val="001239EA"/>
    <w:rsid w:val="001A6F17"/>
    <w:rsid w:val="001B0A62"/>
    <w:rsid w:val="001D58E7"/>
    <w:rsid w:val="001E2978"/>
    <w:rsid w:val="001E531F"/>
    <w:rsid w:val="001E5BB7"/>
    <w:rsid w:val="00203F32"/>
    <w:rsid w:val="00214176"/>
    <w:rsid w:val="002415BB"/>
    <w:rsid w:val="002715D8"/>
    <w:rsid w:val="00275F57"/>
    <w:rsid w:val="002A7DDA"/>
    <w:rsid w:val="002C2048"/>
    <w:rsid w:val="002E6145"/>
    <w:rsid w:val="002F42E5"/>
    <w:rsid w:val="00306B3F"/>
    <w:rsid w:val="0032506B"/>
    <w:rsid w:val="00370D57"/>
    <w:rsid w:val="003712D1"/>
    <w:rsid w:val="00374C05"/>
    <w:rsid w:val="003935FA"/>
    <w:rsid w:val="003A1E68"/>
    <w:rsid w:val="003A2646"/>
    <w:rsid w:val="003A27F7"/>
    <w:rsid w:val="003C273F"/>
    <w:rsid w:val="003C6FD3"/>
    <w:rsid w:val="003D4214"/>
    <w:rsid w:val="003D4925"/>
    <w:rsid w:val="00404A39"/>
    <w:rsid w:val="0041733B"/>
    <w:rsid w:val="00422D75"/>
    <w:rsid w:val="00431574"/>
    <w:rsid w:val="004329B0"/>
    <w:rsid w:val="00443D9D"/>
    <w:rsid w:val="00496EB2"/>
    <w:rsid w:val="004A457C"/>
    <w:rsid w:val="004B663B"/>
    <w:rsid w:val="004C613D"/>
    <w:rsid w:val="004D23FD"/>
    <w:rsid w:val="004D6964"/>
    <w:rsid w:val="004E4EB7"/>
    <w:rsid w:val="004F54B5"/>
    <w:rsid w:val="00511D5C"/>
    <w:rsid w:val="00514775"/>
    <w:rsid w:val="00514EE6"/>
    <w:rsid w:val="00535B87"/>
    <w:rsid w:val="005525AA"/>
    <w:rsid w:val="005611B2"/>
    <w:rsid w:val="00566750"/>
    <w:rsid w:val="00571DF9"/>
    <w:rsid w:val="005727DD"/>
    <w:rsid w:val="00586C37"/>
    <w:rsid w:val="005B7FB7"/>
    <w:rsid w:val="005C2951"/>
    <w:rsid w:val="005C573E"/>
    <w:rsid w:val="005E6414"/>
    <w:rsid w:val="006011C0"/>
    <w:rsid w:val="00610BF1"/>
    <w:rsid w:val="00611E60"/>
    <w:rsid w:val="006149C5"/>
    <w:rsid w:val="00660567"/>
    <w:rsid w:val="00662030"/>
    <w:rsid w:val="0066613F"/>
    <w:rsid w:val="006703CD"/>
    <w:rsid w:val="00677396"/>
    <w:rsid w:val="00684DAC"/>
    <w:rsid w:val="0068706F"/>
    <w:rsid w:val="006B193F"/>
    <w:rsid w:val="006B4261"/>
    <w:rsid w:val="006C2ED0"/>
    <w:rsid w:val="006C5BA8"/>
    <w:rsid w:val="006C798D"/>
    <w:rsid w:val="006D7512"/>
    <w:rsid w:val="006E1538"/>
    <w:rsid w:val="006E5D1A"/>
    <w:rsid w:val="006F40FD"/>
    <w:rsid w:val="00706862"/>
    <w:rsid w:val="00710420"/>
    <w:rsid w:val="00731649"/>
    <w:rsid w:val="00746A87"/>
    <w:rsid w:val="00754A4A"/>
    <w:rsid w:val="00755A36"/>
    <w:rsid w:val="0076291C"/>
    <w:rsid w:val="007716F2"/>
    <w:rsid w:val="0077314F"/>
    <w:rsid w:val="007926C2"/>
    <w:rsid w:val="007B2524"/>
    <w:rsid w:val="007D06F9"/>
    <w:rsid w:val="007E3680"/>
    <w:rsid w:val="007F4386"/>
    <w:rsid w:val="008071AD"/>
    <w:rsid w:val="008445D5"/>
    <w:rsid w:val="00861AF7"/>
    <w:rsid w:val="00864C20"/>
    <w:rsid w:val="008758D4"/>
    <w:rsid w:val="008858AF"/>
    <w:rsid w:val="008975E0"/>
    <w:rsid w:val="008A63C1"/>
    <w:rsid w:val="008B0C94"/>
    <w:rsid w:val="008D6179"/>
    <w:rsid w:val="008D6685"/>
    <w:rsid w:val="008F605A"/>
    <w:rsid w:val="00907CD9"/>
    <w:rsid w:val="00913BC2"/>
    <w:rsid w:val="00913D9D"/>
    <w:rsid w:val="00917FCA"/>
    <w:rsid w:val="00927F40"/>
    <w:rsid w:val="00932D0E"/>
    <w:rsid w:val="009444DF"/>
    <w:rsid w:val="00946B34"/>
    <w:rsid w:val="00976639"/>
    <w:rsid w:val="009850B8"/>
    <w:rsid w:val="00986B14"/>
    <w:rsid w:val="009B15DF"/>
    <w:rsid w:val="009B5809"/>
    <w:rsid w:val="00A03A36"/>
    <w:rsid w:val="00A10757"/>
    <w:rsid w:val="00A13752"/>
    <w:rsid w:val="00A31687"/>
    <w:rsid w:val="00A417E5"/>
    <w:rsid w:val="00A41D18"/>
    <w:rsid w:val="00A4267B"/>
    <w:rsid w:val="00A46FBA"/>
    <w:rsid w:val="00A5068E"/>
    <w:rsid w:val="00A53BC4"/>
    <w:rsid w:val="00A67C71"/>
    <w:rsid w:val="00A76E76"/>
    <w:rsid w:val="00A93F09"/>
    <w:rsid w:val="00A975BA"/>
    <w:rsid w:val="00A978AE"/>
    <w:rsid w:val="00AA11B3"/>
    <w:rsid w:val="00AE3791"/>
    <w:rsid w:val="00AE4EA4"/>
    <w:rsid w:val="00AE6716"/>
    <w:rsid w:val="00AE7FDF"/>
    <w:rsid w:val="00B01956"/>
    <w:rsid w:val="00B22112"/>
    <w:rsid w:val="00B5171E"/>
    <w:rsid w:val="00B539D6"/>
    <w:rsid w:val="00B709E3"/>
    <w:rsid w:val="00B71E1A"/>
    <w:rsid w:val="00B82FB0"/>
    <w:rsid w:val="00B95EE7"/>
    <w:rsid w:val="00BA0CAD"/>
    <w:rsid w:val="00BA7942"/>
    <w:rsid w:val="00BA7A3B"/>
    <w:rsid w:val="00BC4075"/>
    <w:rsid w:val="00BD2F72"/>
    <w:rsid w:val="00BE0942"/>
    <w:rsid w:val="00BF04C3"/>
    <w:rsid w:val="00BF6340"/>
    <w:rsid w:val="00C072FF"/>
    <w:rsid w:val="00C36906"/>
    <w:rsid w:val="00C3762A"/>
    <w:rsid w:val="00C413D1"/>
    <w:rsid w:val="00C56F4D"/>
    <w:rsid w:val="00C75453"/>
    <w:rsid w:val="00C91185"/>
    <w:rsid w:val="00CF1ACB"/>
    <w:rsid w:val="00D10B47"/>
    <w:rsid w:val="00D10C8C"/>
    <w:rsid w:val="00D15250"/>
    <w:rsid w:val="00D161F4"/>
    <w:rsid w:val="00D1717B"/>
    <w:rsid w:val="00D22844"/>
    <w:rsid w:val="00D359FA"/>
    <w:rsid w:val="00D96E32"/>
    <w:rsid w:val="00DB3691"/>
    <w:rsid w:val="00DB458C"/>
    <w:rsid w:val="00DB612D"/>
    <w:rsid w:val="00DC665C"/>
    <w:rsid w:val="00DE1BE7"/>
    <w:rsid w:val="00DE7A9A"/>
    <w:rsid w:val="00E14FDA"/>
    <w:rsid w:val="00E347F1"/>
    <w:rsid w:val="00E42ADD"/>
    <w:rsid w:val="00E44E2E"/>
    <w:rsid w:val="00E5225A"/>
    <w:rsid w:val="00E55D71"/>
    <w:rsid w:val="00E6785B"/>
    <w:rsid w:val="00E77937"/>
    <w:rsid w:val="00E8619D"/>
    <w:rsid w:val="00EA399B"/>
    <w:rsid w:val="00EB559B"/>
    <w:rsid w:val="00EB637E"/>
    <w:rsid w:val="00EC1613"/>
    <w:rsid w:val="00EC490D"/>
    <w:rsid w:val="00ED25C7"/>
    <w:rsid w:val="00F048D4"/>
    <w:rsid w:val="00F15522"/>
    <w:rsid w:val="00F523CD"/>
    <w:rsid w:val="00F67974"/>
    <w:rsid w:val="00F950DC"/>
    <w:rsid w:val="00FB1D37"/>
    <w:rsid w:val="00FB218F"/>
    <w:rsid w:val="00FB51E7"/>
    <w:rsid w:val="00FE4897"/>
    <w:rsid w:val="00FF214A"/>
    <w:rsid w:val="00FF2222"/>
    <w:rsid w:val="010C6983"/>
    <w:rsid w:val="012C7DC0"/>
    <w:rsid w:val="012F3B23"/>
    <w:rsid w:val="01432CF3"/>
    <w:rsid w:val="01436F9F"/>
    <w:rsid w:val="017240DE"/>
    <w:rsid w:val="01880A19"/>
    <w:rsid w:val="018C388B"/>
    <w:rsid w:val="01973B44"/>
    <w:rsid w:val="01B65C30"/>
    <w:rsid w:val="01C64855"/>
    <w:rsid w:val="01E26F97"/>
    <w:rsid w:val="01E50D53"/>
    <w:rsid w:val="01F66ABD"/>
    <w:rsid w:val="01FB40D3"/>
    <w:rsid w:val="02151E80"/>
    <w:rsid w:val="022E0963"/>
    <w:rsid w:val="0257031E"/>
    <w:rsid w:val="02684EB4"/>
    <w:rsid w:val="026D72F2"/>
    <w:rsid w:val="029015C2"/>
    <w:rsid w:val="02A02758"/>
    <w:rsid w:val="02A3463C"/>
    <w:rsid w:val="02A70805"/>
    <w:rsid w:val="02BC2BBA"/>
    <w:rsid w:val="02EA73E1"/>
    <w:rsid w:val="0307577D"/>
    <w:rsid w:val="030E7E36"/>
    <w:rsid w:val="03127926"/>
    <w:rsid w:val="0365214C"/>
    <w:rsid w:val="03BD28D6"/>
    <w:rsid w:val="03CF5817"/>
    <w:rsid w:val="04077CBC"/>
    <w:rsid w:val="045521C0"/>
    <w:rsid w:val="045C346D"/>
    <w:rsid w:val="0475016D"/>
    <w:rsid w:val="048A2A24"/>
    <w:rsid w:val="049401D8"/>
    <w:rsid w:val="04AC5FBE"/>
    <w:rsid w:val="04E77027"/>
    <w:rsid w:val="05145211"/>
    <w:rsid w:val="0521507F"/>
    <w:rsid w:val="055C6AE7"/>
    <w:rsid w:val="05634866"/>
    <w:rsid w:val="057F1E81"/>
    <w:rsid w:val="05FB5DC4"/>
    <w:rsid w:val="06186903"/>
    <w:rsid w:val="062A6E20"/>
    <w:rsid w:val="06404308"/>
    <w:rsid w:val="06790629"/>
    <w:rsid w:val="068428E9"/>
    <w:rsid w:val="06A96071"/>
    <w:rsid w:val="06B036DE"/>
    <w:rsid w:val="06BD18CD"/>
    <w:rsid w:val="06BD5DFB"/>
    <w:rsid w:val="06DD1B0A"/>
    <w:rsid w:val="06DE5211"/>
    <w:rsid w:val="06EB0BBA"/>
    <w:rsid w:val="070077AC"/>
    <w:rsid w:val="07014EC2"/>
    <w:rsid w:val="070E48A8"/>
    <w:rsid w:val="071F2612"/>
    <w:rsid w:val="074107DA"/>
    <w:rsid w:val="074C6A10"/>
    <w:rsid w:val="075C167D"/>
    <w:rsid w:val="076444C8"/>
    <w:rsid w:val="076F3599"/>
    <w:rsid w:val="07CD6512"/>
    <w:rsid w:val="07D475CA"/>
    <w:rsid w:val="07F53CEB"/>
    <w:rsid w:val="08000695"/>
    <w:rsid w:val="080C5426"/>
    <w:rsid w:val="081D15C4"/>
    <w:rsid w:val="08281E83"/>
    <w:rsid w:val="08310243"/>
    <w:rsid w:val="083D71F3"/>
    <w:rsid w:val="086E55FF"/>
    <w:rsid w:val="08932548"/>
    <w:rsid w:val="08BE1A5F"/>
    <w:rsid w:val="08E46646"/>
    <w:rsid w:val="08F17FDE"/>
    <w:rsid w:val="09137F54"/>
    <w:rsid w:val="091837BC"/>
    <w:rsid w:val="095D5673"/>
    <w:rsid w:val="095F41FF"/>
    <w:rsid w:val="09644C54"/>
    <w:rsid w:val="09734E97"/>
    <w:rsid w:val="09790F31"/>
    <w:rsid w:val="097A7FD3"/>
    <w:rsid w:val="097C2206"/>
    <w:rsid w:val="09811723"/>
    <w:rsid w:val="09943BCA"/>
    <w:rsid w:val="09BE3873"/>
    <w:rsid w:val="09D516AE"/>
    <w:rsid w:val="09D850BF"/>
    <w:rsid w:val="0A177A6F"/>
    <w:rsid w:val="0A650C83"/>
    <w:rsid w:val="0A6B715B"/>
    <w:rsid w:val="0A6C2012"/>
    <w:rsid w:val="0A9F4057"/>
    <w:rsid w:val="0ABE7C42"/>
    <w:rsid w:val="0ACB31DC"/>
    <w:rsid w:val="0AD41505"/>
    <w:rsid w:val="0B114150"/>
    <w:rsid w:val="0B116715"/>
    <w:rsid w:val="0B2B5475"/>
    <w:rsid w:val="0B316DB7"/>
    <w:rsid w:val="0B45384A"/>
    <w:rsid w:val="0B8D2240"/>
    <w:rsid w:val="0BFF1C88"/>
    <w:rsid w:val="0C016446"/>
    <w:rsid w:val="0C1D7C13"/>
    <w:rsid w:val="0C230B9E"/>
    <w:rsid w:val="0C264442"/>
    <w:rsid w:val="0C45114E"/>
    <w:rsid w:val="0C4F19D8"/>
    <w:rsid w:val="0CAC4948"/>
    <w:rsid w:val="0CC071D9"/>
    <w:rsid w:val="0CD226F8"/>
    <w:rsid w:val="0CD33493"/>
    <w:rsid w:val="0CD36378"/>
    <w:rsid w:val="0CED7F3F"/>
    <w:rsid w:val="0D307327"/>
    <w:rsid w:val="0D42705A"/>
    <w:rsid w:val="0D4940A8"/>
    <w:rsid w:val="0D654235"/>
    <w:rsid w:val="0D724A70"/>
    <w:rsid w:val="0D831253"/>
    <w:rsid w:val="0DBA5E70"/>
    <w:rsid w:val="0DC61A39"/>
    <w:rsid w:val="0DCA5DE1"/>
    <w:rsid w:val="0DE47989"/>
    <w:rsid w:val="0DE545B5"/>
    <w:rsid w:val="0DF62D07"/>
    <w:rsid w:val="0DFA4270"/>
    <w:rsid w:val="0E4873B8"/>
    <w:rsid w:val="0E62232C"/>
    <w:rsid w:val="0E680D42"/>
    <w:rsid w:val="0E69015E"/>
    <w:rsid w:val="0E6C554A"/>
    <w:rsid w:val="0E732050"/>
    <w:rsid w:val="0EA96822"/>
    <w:rsid w:val="0F016733"/>
    <w:rsid w:val="0F201299"/>
    <w:rsid w:val="0F3026BC"/>
    <w:rsid w:val="0F4F24AB"/>
    <w:rsid w:val="0F6F0C3D"/>
    <w:rsid w:val="0FA554CA"/>
    <w:rsid w:val="0FC71A98"/>
    <w:rsid w:val="102D258D"/>
    <w:rsid w:val="106C2346"/>
    <w:rsid w:val="106C7654"/>
    <w:rsid w:val="10762E0B"/>
    <w:rsid w:val="10A3523B"/>
    <w:rsid w:val="10A41CED"/>
    <w:rsid w:val="10AD2C55"/>
    <w:rsid w:val="10BD6F98"/>
    <w:rsid w:val="10C43B87"/>
    <w:rsid w:val="10DC1574"/>
    <w:rsid w:val="11041BAB"/>
    <w:rsid w:val="110B1D5E"/>
    <w:rsid w:val="111D6972"/>
    <w:rsid w:val="11352493"/>
    <w:rsid w:val="11365128"/>
    <w:rsid w:val="11472E91"/>
    <w:rsid w:val="1150050C"/>
    <w:rsid w:val="11686341"/>
    <w:rsid w:val="11716160"/>
    <w:rsid w:val="11765524"/>
    <w:rsid w:val="11CA17ED"/>
    <w:rsid w:val="11DA58D8"/>
    <w:rsid w:val="11E920D6"/>
    <w:rsid w:val="11FA7F03"/>
    <w:rsid w:val="120A0F69"/>
    <w:rsid w:val="1225668C"/>
    <w:rsid w:val="122660D5"/>
    <w:rsid w:val="12320C01"/>
    <w:rsid w:val="1256332B"/>
    <w:rsid w:val="1283031A"/>
    <w:rsid w:val="128565DB"/>
    <w:rsid w:val="12DB208F"/>
    <w:rsid w:val="12ED67D7"/>
    <w:rsid w:val="12FC68FF"/>
    <w:rsid w:val="130C2193"/>
    <w:rsid w:val="130E3903"/>
    <w:rsid w:val="13166809"/>
    <w:rsid w:val="132922C3"/>
    <w:rsid w:val="13544641"/>
    <w:rsid w:val="13651CF4"/>
    <w:rsid w:val="13943B2C"/>
    <w:rsid w:val="13B81E24"/>
    <w:rsid w:val="13D5523A"/>
    <w:rsid w:val="13D656DB"/>
    <w:rsid w:val="13D7779C"/>
    <w:rsid w:val="13DF48A7"/>
    <w:rsid w:val="144D3492"/>
    <w:rsid w:val="144D747C"/>
    <w:rsid w:val="145A1383"/>
    <w:rsid w:val="147C10A3"/>
    <w:rsid w:val="14C842E9"/>
    <w:rsid w:val="14D5415A"/>
    <w:rsid w:val="14D9678B"/>
    <w:rsid w:val="14F7697C"/>
    <w:rsid w:val="14FC5A91"/>
    <w:rsid w:val="150C0679"/>
    <w:rsid w:val="156404B5"/>
    <w:rsid w:val="15AC577F"/>
    <w:rsid w:val="15C46ECC"/>
    <w:rsid w:val="15EE2E40"/>
    <w:rsid w:val="16446A3C"/>
    <w:rsid w:val="16481B85"/>
    <w:rsid w:val="16523EA2"/>
    <w:rsid w:val="16663DB9"/>
    <w:rsid w:val="16DD2D5E"/>
    <w:rsid w:val="16E01397"/>
    <w:rsid w:val="16EA3483"/>
    <w:rsid w:val="174C1CD5"/>
    <w:rsid w:val="1752026A"/>
    <w:rsid w:val="175207E1"/>
    <w:rsid w:val="175A563C"/>
    <w:rsid w:val="179C442C"/>
    <w:rsid w:val="17D26242"/>
    <w:rsid w:val="17D336D0"/>
    <w:rsid w:val="17D9680D"/>
    <w:rsid w:val="17EF24D2"/>
    <w:rsid w:val="18117D55"/>
    <w:rsid w:val="186561F9"/>
    <w:rsid w:val="18736211"/>
    <w:rsid w:val="18772165"/>
    <w:rsid w:val="188C387F"/>
    <w:rsid w:val="18B6616D"/>
    <w:rsid w:val="18E933C9"/>
    <w:rsid w:val="18FD2189"/>
    <w:rsid w:val="19094ED0"/>
    <w:rsid w:val="190F698A"/>
    <w:rsid w:val="19250992"/>
    <w:rsid w:val="195720DF"/>
    <w:rsid w:val="19BA7F53"/>
    <w:rsid w:val="19BE25D1"/>
    <w:rsid w:val="19EB2EA3"/>
    <w:rsid w:val="19F4792E"/>
    <w:rsid w:val="1A032ECE"/>
    <w:rsid w:val="1A17016E"/>
    <w:rsid w:val="1A1F29A8"/>
    <w:rsid w:val="1A3C7AF1"/>
    <w:rsid w:val="1A3D12CC"/>
    <w:rsid w:val="1A545436"/>
    <w:rsid w:val="1A6C6495"/>
    <w:rsid w:val="1A8B0292"/>
    <w:rsid w:val="1AD02149"/>
    <w:rsid w:val="1AE02712"/>
    <w:rsid w:val="1AE80A5A"/>
    <w:rsid w:val="1AEA56AB"/>
    <w:rsid w:val="1AEE25CF"/>
    <w:rsid w:val="1AF104DA"/>
    <w:rsid w:val="1AFF47DC"/>
    <w:rsid w:val="1B045886"/>
    <w:rsid w:val="1B067919"/>
    <w:rsid w:val="1B082591"/>
    <w:rsid w:val="1B3E28E5"/>
    <w:rsid w:val="1B552716"/>
    <w:rsid w:val="1B6D5FA5"/>
    <w:rsid w:val="1B6F0F2D"/>
    <w:rsid w:val="1B79551A"/>
    <w:rsid w:val="1BA928F0"/>
    <w:rsid w:val="1BF6798D"/>
    <w:rsid w:val="1BFB4FA4"/>
    <w:rsid w:val="1C183DA8"/>
    <w:rsid w:val="1C2D714A"/>
    <w:rsid w:val="1C6D0C27"/>
    <w:rsid w:val="1C6D274D"/>
    <w:rsid w:val="1C7707CD"/>
    <w:rsid w:val="1C906637"/>
    <w:rsid w:val="1C940F54"/>
    <w:rsid w:val="1C9629AB"/>
    <w:rsid w:val="1CC161ED"/>
    <w:rsid w:val="1CC9627E"/>
    <w:rsid w:val="1CD55A4A"/>
    <w:rsid w:val="1D0F7A8E"/>
    <w:rsid w:val="1D1B0AD1"/>
    <w:rsid w:val="1D221FDC"/>
    <w:rsid w:val="1D2F1285"/>
    <w:rsid w:val="1D3941A5"/>
    <w:rsid w:val="1D440BCC"/>
    <w:rsid w:val="1D4C7ED3"/>
    <w:rsid w:val="1D7736C9"/>
    <w:rsid w:val="1D831AE5"/>
    <w:rsid w:val="1D8D6A3B"/>
    <w:rsid w:val="1D904FA5"/>
    <w:rsid w:val="1DC03EC1"/>
    <w:rsid w:val="1DC835AB"/>
    <w:rsid w:val="1DD14027"/>
    <w:rsid w:val="1DE925A7"/>
    <w:rsid w:val="1E010BC0"/>
    <w:rsid w:val="1E222CBC"/>
    <w:rsid w:val="1E2C4E59"/>
    <w:rsid w:val="1E8E20FF"/>
    <w:rsid w:val="1EB01ACB"/>
    <w:rsid w:val="1EBD0C36"/>
    <w:rsid w:val="1ED05892"/>
    <w:rsid w:val="1ED53D73"/>
    <w:rsid w:val="1EE8779D"/>
    <w:rsid w:val="1F114ADE"/>
    <w:rsid w:val="1F4164DF"/>
    <w:rsid w:val="1F5673B8"/>
    <w:rsid w:val="1F591721"/>
    <w:rsid w:val="1F5F1CED"/>
    <w:rsid w:val="1F6F6360"/>
    <w:rsid w:val="1F811C64"/>
    <w:rsid w:val="1F8B1E2F"/>
    <w:rsid w:val="1F91086F"/>
    <w:rsid w:val="1FE2356A"/>
    <w:rsid w:val="200244D1"/>
    <w:rsid w:val="201E59ED"/>
    <w:rsid w:val="2025021C"/>
    <w:rsid w:val="20356024"/>
    <w:rsid w:val="20536DBE"/>
    <w:rsid w:val="20694D65"/>
    <w:rsid w:val="20745325"/>
    <w:rsid w:val="207D067D"/>
    <w:rsid w:val="20A14E27"/>
    <w:rsid w:val="20D109C9"/>
    <w:rsid w:val="20D30E0A"/>
    <w:rsid w:val="20D60287"/>
    <w:rsid w:val="20FC17FA"/>
    <w:rsid w:val="210C37AF"/>
    <w:rsid w:val="2114179F"/>
    <w:rsid w:val="21197B5A"/>
    <w:rsid w:val="216A2D40"/>
    <w:rsid w:val="21751354"/>
    <w:rsid w:val="2177331E"/>
    <w:rsid w:val="21A734D8"/>
    <w:rsid w:val="21AF0D0A"/>
    <w:rsid w:val="21B96FEE"/>
    <w:rsid w:val="21C127EB"/>
    <w:rsid w:val="21CB0D2F"/>
    <w:rsid w:val="21E17F5C"/>
    <w:rsid w:val="21E23314"/>
    <w:rsid w:val="21EC0A72"/>
    <w:rsid w:val="21EF780B"/>
    <w:rsid w:val="221055AD"/>
    <w:rsid w:val="223F479F"/>
    <w:rsid w:val="223F5AC1"/>
    <w:rsid w:val="22482F0D"/>
    <w:rsid w:val="224A0A33"/>
    <w:rsid w:val="22583D0D"/>
    <w:rsid w:val="225F634C"/>
    <w:rsid w:val="228C4BA7"/>
    <w:rsid w:val="229064AC"/>
    <w:rsid w:val="229677D4"/>
    <w:rsid w:val="22C67807"/>
    <w:rsid w:val="22C92735"/>
    <w:rsid w:val="22CB5EF7"/>
    <w:rsid w:val="22E86417"/>
    <w:rsid w:val="22F34C27"/>
    <w:rsid w:val="230C5D84"/>
    <w:rsid w:val="231435FF"/>
    <w:rsid w:val="232079E6"/>
    <w:rsid w:val="2325225E"/>
    <w:rsid w:val="23950F27"/>
    <w:rsid w:val="23B177E1"/>
    <w:rsid w:val="241E5CD3"/>
    <w:rsid w:val="24211347"/>
    <w:rsid w:val="24310DD4"/>
    <w:rsid w:val="244020ED"/>
    <w:rsid w:val="24455956"/>
    <w:rsid w:val="246D2625"/>
    <w:rsid w:val="247B4ED4"/>
    <w:rsid w:val="247C0C4C"/>
    <w:rsid w:val="248C6DDD"/>
    <w:rsid w:val="24900048"/>
    <w:rsid w:val="24A0493A"/>
    <w:rsid w:val="24BB522A"/>
    <w:rsid w:val="24F37529"/>
    <w:rsid w:val="24FF72D3"/>
    <w:rsid w:val="250F2C31"/>
    <w:rsid w:val="251E0472"/>
    <w:rsid w:val="2520642A"/>
    <w:rsid w:val="25286AA1"/>
    <w:rsid w:val="252B25EC"/>
    <w:rsid w:val="25357778"/>
    <w:rsid w:val="25364DC1"/>
    <w:rsid w:val="253C3631"/>
    <w:rsid w:val="253D4688"/>
    <w:rsid w:val="25462E4B"/>
    <w:rsid w:val="258309B4"/>
    <w:rsid w:val="25862011"/>
    <w:rsid w:val="258C0E52"/>
    <w:rsid w:val="25D32AED"/>
    <w:rsid w:val="25EB42DB"/>
    <w:rsid w:val="260D7D0C"/>
    <w:rsid w:val="26192BF6"/>
    <w:rsid w:val="261A1FEA"/>
    <w:rsid w:val="261C3DE4"/>
    <w:rsid w:val="26301CEE"/>
    <w:rsid w:val="263A71E2"/>
    <w:rsid w:val="264F486A"/>
    <w:rsid w:val="26690FCD"/>
    <w:rsid w:val="26963F27"/>
    <w:rsid w:val="269B1693"/>
    <w:rsid w:val="26B446CD"/>
    <w:rsid w:val="26DF0CD6"/>
    <w:rsid w:val="26EB3E67"/>
    <w:rsid w:val="26ED48AE"/>
    <w:rsid w:val="271B4099"/>
    <w:rsid w:val="273D2914"/>
    <w:rsid w:val="278F0C96"/>
    <w:rsid w:val="278F4F46"/>
    <w:rsid w:val="27A01740"/>
    <w:rsid w:val="27C416DF"/>
    <w:rsid w:val="27DF1C1D"/>
    <w:rsid w:val="27EF7121"/>
    <w:rsid w:val="28192057"/>
    <w:rsid w:val="281D28B1"/>
    <w:rsid w:val="283519AE"/>
    <w:rsid w:val="283C3A8D"/>
    <w:rsid w:val="287265EE"/>
    <w:rsid w:val="2884724B"/>
    <w:rsid w:val="28870583"/>
    <w:rsid w:val="28D97FCA"/>
    <w:rsid w:val="28E7113E"/>
    <w:rsid w:val="28F6721F"/>
    <w:rsid w:val="291B5803"/>
    <w:rsid w:val="292F68A9"/>
    <w:rsid w:val="29451F54"/>
    <w:rsid w:val="294D2F40"/>
    <w:rsid w:val="29733142"/>
    <w:rsid w:val="29A033E8"/>
    <w:rsid w:val="29BC365E"/>
    <w:rsid w:val="29CE5AA6"/>
    <w:rsid w:val="29FD45DD"/>
    <w:rsid w:val="2A1C5137"/>
    <w:rsid w:val="2A3E70CF"/>
    <w:rsid w:val="2A6B5300"/>
    <w:rsid w:val="2A871926"/>
    <w:rsid w:val="2AC250CD"/>
    <w:rsid w:val="2AD96DF8"/>
    <w:rsid w:val="2AEB2687"/>
    <w:rsid w:val="2B3602D5"/>
    <w:rsid w:val="2B4E7485"/>
    <w:rsid w:val="2B77216D"/>
    <w:rsid w:val="2B801021"/>
    <w:rsid w:val="2B80177F"/>
    <w:rsid w:val="2B90159F"/>
    <w:rsid w:val="2B993748"/>
    <w:rsid w:val="2BAE482F"/>
    <w:rsid w:val="2BBE1DE2"/>
    <w:rsid w:val="2BE36683"/>
    <w:rsid w:val="2BE90021"/>
    <w:rsid w:val="2C22032B"/>
    <w:rsid w:val="2C706F8B"/>
    <w:rsid w:val="2C9B3A25"/>
    <w:rsid w:val="2C9F3729"/>
    <w:rsid w:val="2CC24680"/>
    <w:rsid w:val="2CE81574"/>
    <w:rsid w:val="2D834DF9"/>
    <w:rsid w:val="2D850B71"/>
    <w:rsid w:val="2DA362F7"/>
    <w:rsid w:val="2DAE631A"/>
    <w:rsid w:val="2DC42BAC"/>
    <w:rsid w:val="2DDB1185"/>
    <w:rsid w:val="2DDE1315"/>
    <w:rsid w:val="2E2C5491"/>
    <w:rsid w:val="2E70008E"/>
    <w:rsid w:val="2E795570"/>
    <w:rsid w:val="2EA414CB"/>
    <w:rsid w:val="2EB4177E"/>
    <w:rsid w:val="2EC205E4"/>
    <w:rsid w:val="2F32229C"/>
    <w:rsid w:val="2F474DB3"/>
    <w:rsid w:val="2F950E14"/>
    <w:rsid w:val="2FCC0346"/>
    <w:rsid w:val="30065DDB"/>
    <w:rsid w:val="3034687E"/>
    <w:rsid w:val="308D7FA8"/>
    <w:rsid w:val="30B1378E"/>
    <w:rsid w:val="30BB2AFC"/>
    <w:rsid w:val="30F14E48"/>
    <w:rsid w:val="30F25A6D"/>
    <w:rsid w:val="31202692"/>
    <w:rsid w:val="31202FD3"/>
    <w:rsid w:val="312A5619"/>
    <w:rsid w:val="313034EA"/>
    <w:rsid w:val="31A23AE0"/>
    <w:rsid w:val="31AB2B70"/>
    <w:rsid w:val="31C37AEC"/>
    <w:rsid w:val="31CC3212"/>
    <w:rsid w:val="31E63BA8"/>
    <w:rsid w:val="32004C6A"/>
    <w:rsid w:val="32145CC4"/>
    <w:rsid w:val="32333292"/>
    <w:rsid w:val="32350A5C"/>
    <w:rsid w:val="32477ABF"/>
    <w:rsid w:val="325970B3"/>
    <w:rsid w:val="32CC0E3B"/>
    <w:rsid w:val="32DF1CBC"/>
    <w:rsid w:val="32E84C40"/>
    <w:rsid w:val="33656E24"/>
    <w:rsid w:val="33816DA8"/>
    <w:rsid w:val="33C148CD"/>
    <w:rsid w:val="33F469AE"/>
    <w:rsid w:val="340B3A91"/>
    <w:rsid w:val="34214870"/>
    <w:rsid w:val="345A637A"/>
    <w:rsid w:val="34675474"/>
    <w:rsid w:val="348D4052"/>
    <w:rsid w:val="34930017"/>
    <w:rsid w:val="34960E51"/>
    <w:rsid w:val="34B93037"/>
    <w:rsid w:val="34C2659C"/>
    <w:rsid w:val="34C91C8B"/>
    <w:rsid w:val="34ED24C6"/>
    <w:rsid w:val="350911FE"/>
    <w:rsid w:val="35212153"/>
    <w:rsid w:val="353335A8"/>
    <w:rsid w:val="3544533E"/>
    <w:rsid w:val="354C0B93"/>
    <w:rsid w:val="35527ED3"/>
    <w:rsid w:val="355B423F"/>
    <w:rsid w:val="357D6768"/>
    <w:rsid w:val="35A973C7"/>
    <w:rsid w:val="35BF3B38"/>
    <w:rsid w:val="35E23F6E"/>
    <w:rsid w:val="35EC067D"/>
    <w:rsid w:val="36215071"/>
    <w:rsid w:val="36314683"/>
    <w:rsid w:val="363863FC"/>
    <w:rsid w:val="36472C7B"/>
    <w:rsid w:val="36753A20"/>
    <w:rsid w:val="36B0540D"/>
    <w:rsid w:val="36B326B4"/>
    <w:rsid w:val="36C17BFE"/>
    <w:rsid w:val="36CE2123"/>
    <w:rsid w:val="36D60122"/>
    <w:rsid w:val="36D9255D"/>
    <w:rsid w:val="37290822"/>
    <w:rsid w:val="373206A1"/>
    <w:rsid w:val="378E3DE6"/>
    <w:rsid w:val="37A32806"/>
    <w:rsid w:val="37AE5168"/>
    <w:rsid w:val="37D751E2"/>
    <w:rsid w:val="38084878"/>
    <w:rsid w:val="380B1DFE"/>
    <w:rsid w:val="38276F53"/>
    <w:rsid w:val="382E6775"/>
    <w:rsid w:val="385852A1"/>
    <w:rsid w:val="386F48E8"/>
    <w:rsid w:val="38A16914"/>
    <w:rsid w:val="38A718AB"/>
    <w:rsid w:val="38D91E08"/>
    <w:rsid w:val="38E0103A"/>
    <w:rsid w:val="38E063FB"/>
    <w:rsid w:val="38F230E0"/>
    <w:rsid w:val="39074B30"/>
    <w:rsid w:val="393C79BC"/>
    <w:rsid w:val="3971570C"/>
    <w:rsid w:val="39945652"/>
    <w:rsid w:val="399F2FBB"/>
    <w:rsid w:val="39B234B0"/>
    <w:rsid w:val="39C47956"/>
    <w:rsid w:val="39CC0DE9"/>
    <w:rsid w:val="39CD3FCC"/>
    <w:rsid w:val="39CE1AF2"/>
    <w:rsid w:val="3A0177D1"/>
    <w:rsid w:val="3A056E55"/>
    <w:rsid w:val="3A500759"/>
    <w:rsid w:val="3A5860F9"/>
    <w:rsid w:val="3A6B10EF"/>
    <w:rsid w:val="3A8521B0"/>
    <w:rsid w:val="3A896034"/>
    <w:rsid w:val="3A9F1F4F"/>
    <w:rsid w:val="3AA23B34"/>
    <w:rsid w:val="3AB26D1E"/>
    <w:rsid w:val="3AB45EB9"/>
    <w:rsid w:val="3AD018DF"/>
    <w:rsid w:val="3AEF3ACE"/>
    <w:rsid w:val="3B013692"/>
    <w:rsid w:val="3B0E664A"/>
    <w:rsid w:val="3B1667F3"/>
    <w:rsid w:val="3B3358B7"/>
    <w:rsid w:val="3B493B46"/>
    <w:rsid w:val="3B55625B"/>
    <w:rsid w:val="3B597FFC"/>
    <w:rsid w:val="3B660AEC"/>
    <w:rsid w:val="3B6A75F8"/>
    <w:rsid w:val="3B742225"/>
    <w:rsid w:val="3B760DD2"/>
    <w:rsid w:val="3B86620D"/>
    <w:rsid w:val="3BB421DB"/>
    <w:rsid w:val="3BE552CD"/>
    <w:rsid w:val="3BE70C49"/>
    <w:rsid w:val="3BF2764E"/>
    <w:rsid w:val="3C021C37"/>
    <w:rsid w:val="3C0540D6"/>
    <w:rsid w:val="3C215F09"/>
    <w:rsid w:val="3C24092A"/>
    <w:rsid w:val="3C693243"/>
    <w:rsid w:val="3C814BF9"/>
    <w:rsid w:val="3C976231"/>
    <w:rsid w:val="3C9B25CD"/>
    <w:rsid w:val="3CAA0274"/>
    <w:rsid w:val="3D0D46DF"/>
    <w:rsid w:val="3D1746DC"/>
    <w:rsid w:val="3D1912D6"/>
    <w:rsid w:val="3D237BE8"/>
    <w:rsid w:val="3D2C4D79"/>
    <w:rsid w:val="3D366EF4"/>
    <w:rsid w:val="3D4142F0"/>
    <w:rsid w:val="3D511084"/>
    <w:rsid w:val="3D642282"/>
    <w:rsid w:val="3D670293"/>
    <w:rsid w:val="3D6F1615"/>
    <w:rsid w:val="3D7B5779"/>
    <w:rsid w:val="3D8A5584"/>
    <w:rsid w:val="3D9B2911"/>
    <w:rsid w:val="3D9C39EF"/>
    <w:rsid w:val="3DA235BF"/>
    <w:rsid w:val="3DA54918"/>
    <w:rsid w:val="3DB15E99"/>
    <w:rsid w:val="3DB46368"/>
    <w:rsid w:val="3DBD7EB3"/>
    <w:rsid w:val="3DD8680E"/>
    <w:rsid w:val="3DFD5343"/>
    <w:rsid w:val="3E021D6A"/>
    <w:rsid w:val="3E0C4997"/>
    <w:rsid w:val="3E1D4DF6"/>
    <w:rsid w:val="3E3062DB"/>
    <w:rsid w:val="3E412892"/>
    <w:rsid w:val="3E5E1696"/>
    <w:rsid w:val="3E850F52"/>
    <w:rsid w:val="3E9B2E8A"/>
    <w:rsid w:val="3E9F6A9D"/>
    <w:rsid w:val="3F081602"/>
    <w:rsid w:val="3F141D55"/>
    <w:rsid w:val="3F1672F1"/>
    <w:rsid w:val="3F231079"/>
    <w:rsid w:val="3F2D1069"/>
    <w:rsid w:val="3F4B41E0"/>
    <w:rsid w:val="3F4C5993"/>
    <w:rsid w:val="3F592467"/>
    <w:rsid w:val="3F5D0E23"/>
    <w:rsid w:val="3F8245EF"/>
    <w:rsid w:val="3F8B2040"/>
    <w:rsid w:val="3F913ED2"/>
    <w:rsid w:val="3FAC1725"/>
    <w:rsid w:val="3FAD78C2"/>
    <w:rsid w:val="3FD00372"/>
    <w:rsid w:val="3FDD483D"/>
    <w:rsid w:val="3FF47E41"/>
    <w:rsid w:val="400F00BB"/>
    <w:rsid w:val="405C3701"/>
    <w:rsid w:val="405C39B3"/>
    <w:rsid w:val="40615229"/>
    <w:rsid w:val="40733563"/>
    <w:rsid w:val="40862AA4"/>
    <w:rsid w:val="40B10190"/>
    <w:rsid w:val="40B74800"/>
    <w:rsid w:val="410A340F"/>
    <w:rsid w:val="411613DD"/>
    <w:rsid w:val="41516E1E"/>
    <w:rsid w:val="416027A0"/>
    <w:rsid w:val="416E5398"/>
    <w:rsid w:val="417E3DFD"/>
    <w:rsid w:val="418862CD"/>
    <w:rsid w:val="41A449A2"/>
    <w:rsid w:val="421B2713"/>
    <w:rsid w:val="42284FC8"/>
    <w:rsid w:val="42312C1E"/>
    <w:rsid w:val="42770C8F"/>
    <w:rsid w:val="42892A5A"/>
    <w:rsid w:val="429B2E0A"/>
    <w:rsid w:val="42AA5444"/>
    <w:rsid w:val="42F5056C"/>
    <w:rsid w:val="42FB7CE0"/>
    <w:rsid w:val="43095949"/>
    <w:rsid w:val="431112AD"/>
    <w:rsid w:val="43232F1C"/>
    <w:rsid w:val="43324E9F"/>
    <w:rsid w:val="433663BD"/>
    <w:rsid w:val="43561DE5"/>
    <w:rsid w:val="435E21EF"/>
    <w:rsid w:val="436B4467"/>
    <w:rsid w:val="43917E18"/>
    <w:rsid w:val="43CC52F4"/>
    <w:rsid w:val="43D9345F"/>
    <w:rsid w:val="43DE6DD5"/>
    <w:rsid w:val="440138B3"/>
    <w:rsid w:val="44154208"/>
    <w:rsid w:val="443864E5"/>
    <w:rsid w:val="44394D1C"/>
    <w:rsid w:val="44406011"/>
    <w:rsid w:val="445451F2"/>
    <w:rsid w:val="44620BD2"/>
    <w:rsid w:val="44663053"/>
    <w:rsid w:val="446D7633"/>
    <w:rsid w:val="4488315B"/>
    <w:rsid w:val="4493471C"/>
    <w:rsid w:val="449C2C79"/>
    <w:rsid w:val="44B00229"/>
    <w:rsid w:val="44BE2144"/>
    <w:rsid w:val="44CD1324"/>
    <w:rsid w:val="44DF23A8"/>
    <w:rsid w:val="44EC107E"/>
    <w:rsid w:val="450736B6"/>
    <w:rsid w:val="45341CE2"/>
    <w:rsid w:val="45532B45"/>
    <w:rsid w:val="45621D42"/>
    <w:rsid w:val="45630290"/>
    <w:rsid w:val="45934454"/>
    <w:rsid w:val="4595257E"/>
    <w:rsid w:val="4597723C"/>
    <w:rsid w:val="459D705A"/>
    <w:rsid w:val="45AC0F39"/>
    <w:rsid w:val="45C42CBF"/>
    <w:rsid w:val="45DA2707"/>
    <w:rsid w:val="45EF0E26"/>
    <w:rsid w:val="460E2404"/>
    <w:rsid w:val="46162C84"/>
    <w:rsid w:val="462E0F20"/>
    <w:rsid w:val="465F798A"/>
    <w:rsid w:val="466E61EE"/>
    <w:rsid w:val="46893028"/>
    <w:rsid w:val="46AC1B1A"/>
    <w:rsid w:val="46B80FA9"/>
    <w:rsid w:val="46CD7454"/>
    <w:rsid w:val="46DD15C6"/>
    <w:rsid w:val="46EE5581"/>
    <w:rsid w:val="46FD0BBA"/>
    <w:rsid w:val="473D6FFA"/>
    <w:rsid w:val="47620B5A"/>
    <w:rsid w:val="476A374A"/>
    <w:rsid w:val="47C33349"/>
    <w:rsid w:val="47E32C09"/>
    <w:rsid w:val="47E54BDD"/>
    <w:rsid w:val="47E62852"/>
    <w:rsid w:val="4800556C"/>
    <w:rsid w:val="4809270E"/>
    <w:rsid w:val="48155FBD"/>
    <w:rsid w:val="484F1501"/>
    <w:rsid w:val="48616542"/>
    <w:rsid w:val="487C4B5B"/>
    <w:rsid w:val="488B3ADA"/>
    <w:rsid w:val="489578D5"/>
    <w:rsid w:val="48C51933"/>
    <w:rsid w:val="48C756C4"/>
    <w:rsid w:val="48F347C2"/>
    <w:rsid w:val="48F40872"/>
    <w:rsid w:val="490910CB"/>
    <w:rsid w:val="4910358D"/>
    <w:rsid w:val="49466876"/>
    <w:rsid w:val="49672FCD"/>
    <w:rsid w:val="497D1E37"/>
    <w:rsid w:val="499F2B63"/>
    <w:rsid w:val="49A21D84"/>
    <w:rsid w:val="49AF0FF8"/>
    <w:rsid w:val="49C079A0"/>
    <w:rsid w:val="49E56842"/>
    <w:rsid w:val="4A08695A"/>
    <w:rsid w:val="4A202CB3"/>
    <w:rsid w:val="4A4C0BBD"/>
    <w:rsid w:val="4A741CD0"/>
    <w:rsid w:val="4AB169D3"/>
    <w:rsid w:val="4AE523B5"/>
    <w:rsid w:val="4AFF1CE5"/>
    <w:rsid w:val="4AFF2850"/>
    <w:rsid w:val="4B054C48"/>
    <w:rsid w:val="4B2C2C5C"/>
    <w:rsid w:val="4B3948BD"/>
    <w:rsid w:val="4B4B6AFE"/>
    <w:rsid w:val="4B542445"/>
    <w:rsid w:val="4B8633C6"/>
    <w:rsid w:val="4BAE6978"/>
    <w:rsid w:val="4BF85767"/>
    <w:rsid w:val="4C4609B9"/>
    <w:rsid w:val="4C5719E1"/>
    <w:rsid w:val="4C6B50F5"/>
    <w:rsid w:val="4C6C1422"/>
    <w:rsid w:val="4C7107E7"/>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8602C2"/>
    <w:rsid w:val="4DA21BCB"/>
    <w:rsid w:val="4DA31278"/>
    <w:rsid w:val="4DDF3E76"/>
    <w:rsid w:val="4E022AED"/>
    <w:rsid w:val="4E0F5AA6"/>
    <w:rsid w:val="4E7B47FF"/>
    <w:rsid w:val="4E800E7B"/>
    <w:rsid w:val="4E9702AC"/>
    <w:rsid w:val="4EC57FA6"/>
    <w:rsid w:val="4EDD2F85"/>
    <w:rsid w:val="4EE759E0"/>
    <w:rsid w:val="4EFB1785"/>
    <w:rsid w:val="4EFC0E40"/>
    <w:rsid w:val="4F073576"/>
    <w:rsid w:val="4F0F5217"/>
    <w:rsid w:val="4F277FB1"/>
    <w:rsid w:val="4F32383F"/>
    <w:rsid w:val="4F4201F9"/>
    <w:rsid w:val="4F5440CA"/>
    <w:rsid w:val="4F596DC1"/>
    <w:rsid w:val="4F5B18B4"/>
    <w:rsid w:val="4F616CFF"/>
    <w:rsid w:val="4F746E17"/>
    <w:rsid w:val="4F756840"/>
    <w:rsid w:val="4F7E527E"/>
    <w:rsid w:val="4F9948BE"/>
    <w:rsid w:val="4F9A7281"/>
    <w:rsid w:val="4FAE6D31"/>
    <w:rsid w:val="4FB16A86"/>
    <w:rsid w:val="50114985"/>
    <w:rsid w:val="50173009"/>
    <w:rsid w:val="501C6CBB"/>
    <w:rsid w:val="504B0595"/>
    <w:rsid w:val="508470D2"/>
    <w:rsid w:val="50884351"/>
    <w:rsid w:val="50CC2E3A"/>
    <w:rsid w:val="50E37FBB"/>
    <w:rsid w:val="50EF7D93"/>
    <w:rsid w:val="510065DD"/>
    <w:rsid w:val="515F1555"/>
    <w:rsid w:val="516C1EC9"/>
    <w:rsid w:val="518F192B"/>
    <w:rsid w:val="51A35549"/>
    <w:rsid w:val="51B11685"/>
    <w:rsid w:val="51C96CF8"/>
    <w:rsid w:val="51D3784E"/>
    <w:rsid w:val="51E16B22"/>
    <w:rsid w:val="51E71584"/>
    <w:rsid w:val="51F021AD"/>
    <w:rsid w:val="520134A4"/>
    <w:rsid w:val="52263E21"/>
    <w:rsid w:val="52417CD3"/>
    <w:rsid w:val="525766D1"/>
    <w:rsid w:val="525A2598"/>
    <w:rsid w:val="528D2D69"/>
    <w:rsid w:val="528D5C4E"/>
    <w:rsid w:val="52A72CB9"/>
    <w:rsid w:val="52C378C2"/>
    <w:rsid w:val="52C645C7"/>
    <w:rsid w:val="52E8557B"/>
    <w:rsid w:val="52EA4E4F"/>
    <w:rsid w:val="5308234F"/>
    <w:rsid w:val="531A7701"/>
    <w:rsid w:val="533A7773"/>
    <w:rsid w:val="535A4036"/>
    <w:rsid w:val="535E0C0C"/>
    <w:rsid w:val="536F55E2"/>
    <w:rsid w:val="538F3C48"/>
    <w:rsid w:val="539A7C35"/>
    <w:rsid w:val="53AA2830"/>
    <w:rsid w:val="53EE2B63"/>
    <w:rsid w:val="541259A4"/>
    <w:rsid w:val="54221113"/>
    <w:rsid w:val="54295E4B"/>
    <w:rsid w:val="543625D7"/>
    <w:rsid w:val="54410718"/>
    <w:rsid w:val="54C85664"/>
    <w:rsid w:val="54F63F7F"/>
    <w:rsid w:val="5506526C"/>
    <w:rsid w:val="552A3C28"/>
    <w:rsid w:val="55497B99"/>
    <w:rsid w:val="554D5B69"/>
    <w:rsid w:val="555962BC"/>
    <w:rsid w:val="556F44BF"/>
    <w:rsid w:val="557E0DC2"/>
    <w:rsid w:val="55981C1E"/>
    <w:rsid w:val="559E43DB"/>
    <w:rsid w:val="55C91693"/>
    <w:rsid w:val="55CC0E83"/>
    <w:rsid w:val="5615080D"/>
    <w:rsid w:val="561574B3"/>
    <w:rsid w:val="56250D86"/>
    <w:rsid w:val="564E7DEA"/>
    <w:rsid w:val="566A5330"/>
    <w:rsid w:val="567F26ED"/>
    <w:rsid w:val="568024C8"/>
    <w:rsid w:val="56811F6E"/>
    <w:rsid w:val="568F79BF"/>
    <w:rsid w:val="56A33FC4"/>
    <w:rsid w:val="56A763F2"/>
    <w:rsid w:val="56BE663C"/>
    <w:rsid w:val="56CD2153"/>
    <w:rsid w:val="56E75D17"/>
    <w:rsid w:val="56F312B5"/>
    <w:rsid w:val="56F74C0E"/>
    <w:rsid w:val="571F77CE"/>
    <w:rsid w:val="572B04F0"/>
    <w:rsid w:val="572B4176"/>
    <w:rsid w:val="573B211D"/>
    <w:rsid w:val="57664E51"/>
    <w:rsid w:val="577603E3"/>
    <w:rsid w:val="5789602C"/>
    <w:rsid w:val="57B4323E"/>
    <w:rsid w:val="57D9376A"/>
    <w:rsid w:val="57F24A5B"/>
    <w:rsid w:val="580649F2"/>
    <w:rsid w:val="58226B70"/>
    <w:rsid w:val="58230A94"/>
    <w:rsid w:val="58351BA6"/>
    <w:rsid w:val="584F5D9B"/>
    <w:rsid w:val="586C24D5"/>
    <w:rsid w:val="58795EFF"/>
    <w:rsid w:val="58835B9A"/>
    <w:rsid w:val="58AD0DF8"/>
    <w:rsid w:val="58B22CF9"/>
    <w:rsid w:val="58B840B1"/>
    <w:rsid w:val="58C67791"/>
    <w:rsid w:val="58D740C7"/>
    <w:rsid w:val="58F23A2C"/>
    <w:rsid w:val="58F33BD7"/>
    <w:rsid w:val="5954396A"/>
    <w:rsid w:val="595950A7"/>
    <w:rsid w:val="5983654E"/>
    <w:rsid w:val="599B6043"/>
    <w:rsid w:val="59AB446D"/>
    <w:rsid w:val="59D16D68"/>
    <w:rsid w:val="59EF71EF"/>
    <w:rsid w:val="59FF07A1"/>
    <w:rsid w:val="5A1437A3"/>
    <w:rsid w:val="5A1F2A6A"/>
    <w:rsid w:val="5A321CCA"/>
    <w:rsid w:val="5A4031BD"/>
    <w:rsid w:val="5A742FCA"/>
    <w:rsid w:val="5A7557BC"/>
    <w:rsid w:val="5A7E34D5"/>
    <w:rsid w:val="5A801F1C"/>
    <w:rsid w:val="5AAB0EAB"/>
    <w:rsid w:val="5AC64458"/>
    <w:rsid w:val="5AD56AE1"/>
    <w:rsid w:val="5ADC3431"/>
    <w:rsid w:val="5ADD34EB"/>
    <w:rsid w:val="5ADF54B5"/>
    <w:rsid w:val="5AF42D65"/>
    <w:rsid w:val="5AF50835"/>
    <w:rsid w:val="5AF96C92"/>
    <w:rsid w:val="5B413A7A"/>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ED33FE"/>
    <w:rsid w:val="5CFA65D6"/>
    <w:rsid w:val="5CFE4B36"/>
    <w:rsid w:val="5D152663"/>
    <w:rsid w:val="5D186A5C"/>
    <w:rsid w:val="5D250AE8"/>
    <w:rsid w:val="5D810B69"/>
    <w:rsid w:val="5D8562D6"/>
    <w:rsid w:val="5DA67B5E"/>
    <w:rsid w:val="5DB26B1C"/>
    <w:rsid w:val="5DC77A74"/>
    <w:rsid w:val="5DD80BA4"/>
    <w:rsid w:val="5DE65906"/>
    <w:rsid w:val="5DF10DD6"/>
    <w:rsid w:val="5DF272AD"/>
    <w:rsid w:val="5E107A6E"/>
    <w:rsid w:val="5E240474"/>
    <w:rsid w:val="5E3478C6"/>
    <w:rsid w:val="5E4A08B0"/>
    <w:rsid w:val="5E552402"/>
    <w:rsid w:val="5E581806"/>
    <w:rsid w:val="5E7D126D"/>
    <w:rsid w:val="5E8C3E1E"/>
    <w:rsid w:val="5E8F0FA0"/>
    <w:rsid w:val="5EA954DA"/>
    <w:rsid w:val="5EB50A07"/>
    <w:rsid w:val="5EF60C22"/>
    <w:rsid w:val="5F013C4C"/>
    <w:rsid w:val="5F165F74"/>
    <w:rsid w:val="5F1A6ABC"/>
    <w:rsid w:val="5F3E22C2"/>
    <w:rsid w:val="5F474EA9"/>
    <w:rsid w:val="5F553F98"/>
    <w:rsid w:val="5F5A15AE"/>
    <w:rsid w:val="5F8959EF"/>
    <w:rsid w:val="5F8F3F9D"/>
    <w:rsid w:val="5F993E84"/>
    <w:rsid w:val="5F9E149B"/>
    <w:rsid w:val="5FC33A72"/>
    <w:rsid w:val="5FE44BCC"/>
    <w:rsid w:val="5FED1A34"/>
    <w:rsid w:val="5FFA3215"/>
    <w:rsid w:val="601278AE"/>
    <w:rsid w:val="602074C3"/>
    <w:rsid w:val="60342152"/>
    <w:rsid w:val="607F216A"/>
    <w:rsid w:val="609D0C9B"/>
    <w:rsid w:val="60D3361E"/>
    <w:rsid w:val="60E530F9"/>
    <w:rsid w:val="60EF5D26"/>
    <w:rsid w:val="60F942D1"/>
    <w:rsid w:val="612912AD"/>
    <w:rsid w:val="613220FF"/>
    <w:rsid w:val="61446D7C"/>
    <w:rsid w:val="614B06AC"/>
    <w:rsid w:val="61573FF7"/>
    <w:rsid w:val="61730705"/>
    <w:rsid w:val="61774699"/>
    <w:rsid w:val="617C14DD"/>
    <w:rsid w:val="61B844A8"/>
    <w:rsid w:val="61D62E95"/>
    <w:rsid w:val="61D8581E"/>
    <w:rsid w:val="61FF2F13"/>
    <w:rsid w:val="622218C3"/>
    <w:rsid w:val="6222364C"/>
    <w:rsid w:val="6239511B"/>
    <w:rsid w:val="62473027"/>
    <w:rsid w:val="62641F1A"/>
    <w:rsid w:val="627B7180"/>
    <w:rsid w:val="628539FF"/>
    <w:rsid w:val="6308246A"/>
    <w:rsid w:val="6308767C"/>
    <w:rsid w:val="63287634"/>
    <w:rsid w:val="63396070"/>
    <w:rsid w:val="634867D2"/>
    <w:rsid w:val="63525AAC"/>
    <w:rsid w:val="63531E3F"/>
    <w:rsid w:val="639768D2"/>
    <w:rsid w:val="63C05149"/>
    <w:rsid w:val="63F95E7B"/>
    <w:rsid w:val="64047A76"/>
    <w:rsid w:val="64107C83"/>
    <w:rsid w:val="641761B2"/>
    <w:rsid w:val="64267CB1"/>
    <w:rsid w:val="6429437B"/>
    <w:rsid w:val="648A2DED"/>
    <w:rsid w:val="648A6492"/>
    <w:rsid w:val="64AA5921"/>
    <w:rsid w:val="64E965E9"/>
    <w:rsid w:val="64F613A1"/>
    <w:rsid w:val="64FB67B9"/>
    <w:rsid w:val="650F0297"/>
    <w:rsid w:val="65311AE8"/>
    <w:rsid w:val="65372FB5"/>
    <w:rsid w:val="6545060B"/>
    <w:rsid w:val="6579788B"/>
    <w:rsid w:val="65A56F80"/>
    <w:rsid w:val="65CD5AEB"/>
    <w:rsid w:val="65D200C7"/>
    <w:rsid w:val="65D31262"/>
    <w:rsid w:val="65DE71F4"/>
    <w:rsid w:val="65E7615B"/>
    <w:rsid w:val="66067D88"/>
    <w:rsid w:val="660B3602"/>
    <w:rsid w:val="661C75BD"/>
    <w:rsid w:val="662F3C78"/>
    <w:rsid w:val="66807846"/>
    <w:rsid w:val="66953C5B"/>
    <w:rsid w:val="669B2A9B"/>
    <w:rsid w:val="669F55F1"/>
    <w:rsid w:val="67157EB9"/>
    <w:rsid w:val="673B62F2"/>
    <w:rsid w:val="674F16A7"/>
    <w:rsid w:val="67906BAE"/>
    <w:rsid w:val="67966EFB"/>
    <w:rsid w:val="679D3EE7"/>
    <w:rsid w:val="67A94E81"/>
    <w:rsid w:val="67B11F87"/>
    <w:rsid w:val="67C021CA"/>
    <w:rsid w:val="67D36A56"/>
    <w:rsid w:val="67D56B92"/>
    <w:rsid w:val="67E036E9"/>
    <w:rsid w:val="67E1461B"/>
    <w:rsid w:val="67E5573D"/>
    <w:rsid w:val="67E67E83"/>
    <w:rsid w:val="681D13CB"/>
    <w:rsid w:val="6833299C"/>
    <w:rsid w:val="683E687F"/>
    <w:rsid w:val="68430FB9"/>
    <w:rsid w:val="68C61A50"/>
    <w:rsid w:val="68E311B2"/>
    <w:rsid w:val="68E32614"/>
    <w:rsid w:val="68FF3ACA"/>
    <w:rsid w:val="6900055E"/>
    <w:rsid w:val="690A6C79"/>
    <w:rsid w:val="69223AE7"/>
    <w:rsid w:val="69251ED4"/>
    <w:rsid w:val="692A4AFD"/>
    <w:rsid w:val="69326652"/>
    <w:rsid w:val="69347AF7"/>
    <w:rsid w:val="693A50E1"/>
    <w:rsid w:val="695232F6"/>
    <w:rsid w:val="696E1979"/>
    <w:rsid w:val="69AA7B28"/>
    <w:rsid w:val="69B14B4E"/>
    <w:rsid w:val="69C175E5"/>
    <w:rsid w:val="69C56D45"/>
    <w:rsid w:val="69D32689"/>
    <w:rsid w:val="69DD52B6"/>
    <w:rsid w:val="69F57E4B"/>
    <w:rsid w:val="6A1221A1"/>
    <w:rsid w:val="6A1F767C"/>
    <w:rsid w:val="6A233920"/>
    <w:rsid w:val="6A6366AE"/>
    <w:rsid w:val="6A8B6B18"/>
    <w:rsid w:val="6A9352A2"/>
    <w:rsid w:val="6A9A1577"/>
    <w:rsid w:val="6AA338E6"/>
    <w:rsid w:val="6AAD6A36"/>
    <w:rsid w:val="6ABF393F"/>
    <w:rsid w:val="6AC86E77"/>
    <w:rsid w:val="6AF13C0D"/>
    <w:rsid w:val="6B1940CB"/>
    <w:rsid w:val="6B39651C"/>
    <w:rsid w:val="6B476E8A"/>
    <w:rsid w:val="6B5E2426"/>
    <w:rsid w:val="6B5F4E4D"/>
    <w:rsid w:val="6B654FB0"/>
    <w:rsid w:val="6B6E1CA4"/>
    <w:rsid w:val="6BAF6941"/>
    <w:rsid w:val="6BCA186A"/>
    <w:rsid w:val="6BCC1F13"/>
    <w:rsid w:val="6BD91EBE"/>
    <w:rsid w:val="6BE1101B"/>
    <w:rsid w:val="6BF30DC0"/>
    <w:rsid w:val="6C24259C"/>
    <w:rsid w:val="6C3219E1"/>
    <w:rsid w:val="6C5579CA"/>
    <w:rsid w:val="6C5850C7"/>
    <w:rsid w:val="6C702411"/>
    <w:rsid w:val="6C72726E"/>
    <w:rsid w:val="6CB44AB8"/>
    <w:rsid w:val="6CC4275D"/>
    <w:rsid w:val="6CD509C5"/>
    <w:rsid w:val="6CE4138B"/>
    <w:rsid w:val="6CFA7874"/>
    <w:rsid w:val="6D003795"/>
    <w:rsid w:val="6D0A63C2"/>
    <w:rsid w:val="6D514C03"/>
    <w:rsid w:val="6D69125F"/>
    <w:rsid w:val="6DA76031"/>
    <w:rsid w:val="6DA81CE8"/>
    <w:rsid w:val="6DB602F7"/>
    <w:rsid w:val="6DBE17E3"/>
    <w:rsid w:val="6DC610A3"/>
    <w:rsid w:val="6DCC1FAB"/>
    <w:rsid w:val="6DE537AC"/>
    <w:rsid w:val="6DF40E20"/>
    <w:rsid w:val="6E096EF8"/>
    <w:rsid w:val="6E160574"/>
    <w:rsid w:val="6E241705"/>
    <w:rsid w:val="6E2C2368"/>
    <w:rsid w:val="6E816BBF"/>
    <w:rsid w:val="6E9134A9"/>
    <w:rsid w:val="6E934195"/>
    <w:rsid w:val="6EAD34A8"/>
    <w:rsid w:val="6EC24A7A"/>
    <w:rsid w:val="6ED5286B"/>
    <w:rsid w:val="6F0D3F47"/>
    <w:rsid w:val="6F1A7E1A"/>
    <w:rsid w:val="6F305E87"/>
    <w:rsid w:val="6F314155"/>
    <w:rsid w:val="6FCA1E38"/>
    <w:rsid w:val="6FF85E6E"/>
    <w:rsid w:val="7001169D"/>
    <w:rsid w:val="700A48AB"/>
    <w:rsid w:val="700A492A"/>
    <w:rsid w:val="70245076"/>
    <w:rsid w:val="704E5507"/>
    <w:rsid w:val="705A51FE"/>
    <w:rsid w:val="70814BED"/>
    <w:rsid w:val="70935E14"/>
    <w:rsid w:val="70A4763A"/>
    <w:rsid w:val="70B22023"/>
    <w:rsid w:val="70D45314"/>
    <w:rsid w:val="70DB1C8A"/>
    <w:rsid w:val="712B4B58"/>
    <w:rsid w:val="717B1403"/>
    <w:rsid w:val="71A147B9"/>
    <w:rsid w:val="71B66B18"/>
    <w:rsid w:val="71CA611F"/>
    <w:rsid w:val="71D842FA"/>
    <w:rsid w:val="71E65CC9"/>
    <w:rsid w:val="71F00255"/>
    <w:rsid w:val="71F1377E"/>
    <w:rsid w:val="721434B7"/>
    <w:rsid w:val="721455EC"/>
    <w:rsid w:val="722241AD"/>
    <w:rsid w:val="725F33BF"/>
    <w:rsid w:val="726245AA"/>
    <w:rsid w:val="72651EB0"/>
    <w:rsid w:val="72734A09"/>
    <w:rsid w:val="729C267B"/>
    <w:rsid w:val="72B23E6D"/>
    <w:rsid w:val="72C25048"/>
    <w:rsid w:val="72C251F0"/>
    <w:rsid w:val="72C428F8"/>
    <w:rsid w:val="72D87B33"/>
    <w:rsid w:val="72DD5B9E"/>
    <w:rsid w:val="72F54E01"/>
    <w:rsid w:val="731A2D6E"/>
    <w:rsid w:val="73374395"/>
    <w:rsid w:val="7366202F"/>
    <w:rsid w:val="737A786F"/>
    <w:rsid w:val="73970283"/>
    <w:rsid w:val="73A17354"/>
    <w:rsid w:val="73AA228F"/>
    <w:rsid w:val="73B461E3"/>
    <w:rsid w:val="73B604ED"/>
    <w:rsid w:val="73BE7F06"/>
    <w:rsid w:val="73EE50F4"/>
    <w:rsid w:val="740D3F11"/>
    <w:rsid w:val="741257AC"/>
    <w:rsid w:val="742B1612"/>
    <w:rsid w:val="7441199D"/>
    <w:rsid w:val="74420B02"/>
    <w:rsid w:val="745C550C"/>
    <w:rsid w:val="746565D3"/>
    <w:rsid w:val="749D7B1B"/>
    <w:rsid w:val="74A064AE"/>
    <w:rsid w:val="74D46B08"/>
    <w:rsid w:val="74D55507"/>
    <w:rsid w:val="74D96958"/>
    <w:rsid w:val="74EC2851"/>
    <w:rsid w:val="74FE6B71"/>
    <w:rsid w:val="74FE774A"/>
    <w:rsid w:val="75023274"/>
    <w:rsid w:val="75096F5F"/>
    <w:rsid w:val="750B420F"/>
    <w:rsid w:val="75184790"/>
    <w:rsid w:val="754E52B9"/>
    <w:rsid w:val="75577D7F"/>
    <w:rsid w:val="755D5C19"/>
    <w:rsid w:val="755F3023"/>
    <w:rsid w:val="757022FB"/>
    <w:rsid w:val="75A15325"/>
    <w:rsid w:val="75B01AD0"/>
    <w:rsid w:val="75B2473D"/>
    <w:rsid w:val="75C03D91"/>
    <w:rsid w:val="75EF6235"/>
    <w:rsid w:val="75F71F3B"/>
    <w:rsid w:val="7625426C"/>
    <w:rsid w:val="763563F5"/>
    <w:rsid w:val="76373F9F"/>
    <w:rsid w:val="766C3C49"/>
    <w:rsid w:val="766D57C1"/>
    <w:rsid w:val="76801850"/>
    <w:rsid w:val="769714F7"/>
    <w:rsid w:val="76AC2318"/>
    <w:rsid w:val="76BB697E"/>
    <w:rsid w:val="76BC6C30"/>
    <w:rsid w:val="76C92E49"/>
    <w:rsid w:val="76E17F51"/>
    <w:rsid w:val="76E83D9B"/>
    <w:rsid w:val="76F7624B"/>
    <w:rsid w:val="771E6857"/>
    <w:rsid w:val="772571D5"/>
    <w:rsid w:val="7730088B"/>
    <w:rsid w:val="77411D56"/>
    <w:rsid w:val="774839AC"/>
    <w:rsid w:val="77605E1A"/>
    <w:rsid w:val="77742983"/>
    <w:rsid w:val="77800D5D"/>
    <w:rsid w:val="77827BF3"/>
    <w:rsid w:val="77876861"/>
    <w:rsid w:val="778B633D"/>
    <w:rsid w:val="778D20C9"/>
    <w:rsid w:val="7793327E"/>
    <w:rsid w:val="77BC475C"/>
    <w:rsid w:val="77C232DA"/>
    <w:rsid w:val="77D973E1"/>
    <w:rsid w:val="77E617D9"/>
    <w:rsid w:val="77EA3464"/>
    <w:rsid w:val="78021C7B"/>
    <w:rsid w:val="780C1E19"/>
    <w:rsid w:val="7840538D"/>
    <w:rsid w:val="784C3D32"/>
    <w:rsid w:val="78672956"/>
    <w:rsid w:val="786A41B8"/>
    <w:rsid w:val="786B70AF"/>
    <w:rsid w:val="78760913"/>
    <w:rsid w:val="78774B27"/>
    <w:rsid w:val="7881477B"/>
    <w:rsid w:val="788A03B6"/>
    <w:rsid w:val="788F38A7"/>
    <w:rsid w:val="78A46720"/>
    <w:rsid w:val="78AD0AA4"/>
    <w:rsid w:val="78FD09AB"/>
    <w:rsid w:val="79010BD2"/>
    <w:rsid w:val="79017261"/>
    <w:rsid w:val="79273E57"/>
    <w:rsid w:val="79346435"/>
    <w:rsid w:val="795804B5"/>
    <w:rsid w:val="796608A4"/>
    <w:rsid w:val="79921C19"/>
    <w:rsid w:val="7999176C"/>
    <w:rsid w:val="79AB2DAA"/>
    <w:rsid w:val="79B661E6"/>
    <w:rsid w:val="79CA7D83"/>
    <w:rsid w:val="79F12D18"/>
    <w:rsid w:val="7A461590"/>
    <w:rsid w:val="7A506505"/>
    <w:rsid w:val="7A6822EA"/>
    <w:rsid w:val="7A814BA2"/>
    <w:rsid w:val="7A88510B"/>
    <w:rsid w:val="7A8A0B42"/>
    <w:rsid w:val="7A942566"/>
    <w:rsid w:val="7AAC5343"/>
    <w:rsid w:val="7B4D10C0"/>
    <w:rsid w:val="7B5E19E1"/>
    <w:rsid w:val="7B672C31"/>
    <w:rsid w:val="7B6C0247"/>
    <w:rsid w:val="7B8D502D"/>
    <w:rsid w:val="7BD0668B"/>
    <w:rsid w:val="7BD55037"/>
    <w:rsid w:val="7BEA41E2"/>
    <w:rsid w:val="7C1C27D8"/>
    <w:rsid w:val="7C230E82"/>
    <w:rsid w:val="7C2823C0"/>
    <w:rsid w:val="7C304BF8"/>
    <w:rsid w:val="7C461A40"/>
    <w:rsid w:val="7C5C2009"/>
    <w:rsid w:val="7C647170"/>
    <w:rsid w:val="7C655175"/>
    <w:rsid w:val="7C6D71FD"/>
    <w:rsid w:val="7C7E2620"/>
    <w:rsid w:val="7C8243CE"/>
    <w:rsid w:val="7C8415C1"/>
    <w:rsid w:val="7C9537CE"/>
    <w:rsid w:val="7C9902EC"/>
    <w:rsid w:val="7C9B318C"/>
    <w:rsid w:val="7CCE3276"/>
    <w:rsid w:val="7CCE4670"/>
    <w:rsid w:val="7CDD6CC4"/>
    <w:rsid w:val="7CF91FAF"/>
    <w:rsid w:val="7D2E7EAA"/>
    <w:rsid w:val="7D341239"/>
    <w:rsid w:val="7D374E9E"/>
    <w:rsid w:val="7D477545"/>
    <w:rsid w:val="7D617FEB"/>
    <w:rsid w:val="7D6C6C25"/>
    <w:rsid w:val="7D82688C"/>
    <w:rsid w:val="7D936B21"/>
    <w:rsid w:val="7DB41EC3"/>
    <w:rsid w:val="7DDF11A4"/>
    <w:rsid w:val="7DF84014"/>
    <w:rsid w:val="7E141252"/>
    <w:rsid w:val="7E3F7E95"/>
    <w:rsid w:val="7E492AC2"/>
    <w:rsid w:val="7E5A4CCF"/>
    <w:rsid w:val="7E915EE4"/>
    <w:rsid w:val="7E930BA3"/>
    <w:rsid w:val="7E985166"/>
    <w:rsid w:val="7EA1645A"/>
    <w:rsid w:val="7EAA35F1"/>
    <w:rsid w:val="7EF24F07"/>
    <w:rsid w:val="7EFE7213"/>
    <w:rsid w:val="7F171BCC"/>
    <w:rsid w:val="7F21759B"/>
    <w:rsid w:val="7F37013C"/>
    <w:rsid w:val="7F401C7A"/>
    <w:rsid w:val="7F5F1232"/>
    <w:rsid w:val="7F606315"/>
    <w:rsid w:val="7F6C6A68"/>
    <w:rsid w:val="7F7316D3"/>
    <w:rsid w:val="7F755C75"/>
    <w:rsid w:val="7F7D0C75"/>
    <w:rsid w:val="7FA119C3"/>
    <w:rsid w:val="7FA3150B"/>
    <w:rsid w:val="7FB34697"/>
    <w:rsid w:val="7FC239A0"/>
    <w:rsid w:val="7FCE7723"/>
    <w:rsid w:val="7FE505C8"/>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3"/>
    <w:qFormat/>
    <w:uiPriority w:val="0"/>
    <w:rPr>
      <w:rFonts w:asciiTheme="minorHAnsi" w:hAnsiTheme="minorHAnsi" w:eastAsiaTheme="minorEastAsia" w:cstheme="minorBidi"/>
      <w:b/>
      <w:bCs/>
      <w:kern w:val="44"/>
      <w:sz w:val="44"/>
      <w:szCs w:val="44"/>
    </w:rPr>
  </w:style>
  <w:style w:type="paragraph" w:customStyle="1" w:styleId="11">
    <w:name w:val="TOC 标题1"/>
    <w:basedOn w:val="3"/>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3"/>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6345</Words>
  <Characters>6963</Characters>
  <Lines>86</Lines>
  <Paragraphs>24</Paragraphs>
  <TotalTime>0</TotalTime>
  <ScaleCrop>false</ScaleCrop>
  <LinksUpToDate>false</LinksUpToDate>
  <CharactersWithSpaces>6975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王淑红</cp:lastModifiedBy>
  <cp:lastPrinted>2022-09-27T01:49:00Z</cp:lastPrinted>
  <dcterms:modified xsi:type="dcterms:W3CDTF">2024-10-18T08:31:40Z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462967812C1E474C94D3CB0B61D37F3B_13</vt:lpwstr>
  </property>
</Properties>
</file>